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4CBD0E1" w14:textId="109995F9" w:rsidR="00867BDF" w:rsidRPr="0099267E" w:rsidRDefault="00CE4F8D">
      <w:pPr>
        <w:spacing w:after="0pt" w:line="12pt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99267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SÚMULA DA </w:t>
      </w:r>
      <w:r w:rsidR="005D5635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24</w:t>
      </w:r>
      <w:r w:rsidRPr="0099267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ª REUNIÃO </w:t>
      </w:r>
      <w:r w:rsidR="003D0A9B" w:rsidRPr="0099267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EXTRA</w:t>
      </w:r>
      <w:r w:rsidRPr="0099267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ORDINÁRIA CPP-CAU/BR</w:t>
      </w:r>
    </w:p>
    <w:p w14:paraId="1A190448" w14:textId="77777777" w:rsidR="00867BDF" w:rsidRPr="0099267E" w:rsidRDefault="00867BDF">
      <w:pPr>
        <w:spacing w:after="0pt" w:line="12pt" w:lineRule="auto"/>
        <w:jc w:val="center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</w:p>
    <w:tbl>
      <w:tblPr>
        <w:tblStyle w:val="a"/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firstRow="0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867BDF" w:rsidRPr="0099267E" w14:paraId="4DB08A9A" w14:textId="7777777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CC60F01" w14:textId="77777777" w:rsidR="00867BDF" w:rsidRPr="0099267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53A72D3" w14:textId="60927050" w:rsidR="00867BDF" w:rsidRPr="0099267E" w:rsidRDefault="003D0A9B" w:rsidP="0088036F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24</w:t>
            </w:r>
            <w:r w:rsidR="00CE4F8D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de ju</w:t>
            </w:r>
            <w:r w:rsidR="0088036F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</w:t>
            </w:r>
            <w:r w:rsidR="00CE4F8D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E540436" w14:textId="77777777" w:rsidR="00867BDF" w:rsidRPr="0099267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8325340" w14:textId="0A59C882" w:rsidR="00867BDF" w:rsidRPr="0099267E" w:rsidRDefault="003D0A9B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17</w:t>
            </w:r>
            <w:r w:rsidR="00CE4F8D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 às 18h</w:t>
            </w:r>
          </w:p>
        </w:tc>
      </w:tr>
      <w:tr w:rsidR="00867BDF" w:rsidRPr="0099267E" w14:paraId="6EBEC78D" w14:textId="7777777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8C2134F" w14:textId="77777777" w:rsidR="00867BDF" w:rsidRPr="0099267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86B7D9E" w14:textId="6C72E467" w:rsidR="00867BDF" w:rsidRPr="0099267E" w:rsidRDefault="00A05AE7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Videoconferência</w:t>
            </w:r>
          </w:p>
        </w:tc>
      </w:tr>
    </w:tbl>
    <w:p w14:paraId="27FA4C0F" w14:textId="77777777" w:rsidR="00867BDF" w:rsidRPr="0099267E" w:rsidRDefault="00867BDF">
      <w:pPr>
        <w:spacing w:after="0pt" w:line="12pt" w:lineRule="auto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</w:p>
    <w:tbl>
      <w:tblPr>
        <w:tblStyle w:val="a0"/>
        <w:tblW w:w="511.75pt" w:type="dxa"/>
        <w:tblInd w:w="0.2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firstRow="0" w:lastRow="0" w:firstColumn="0" w:lastColumn="0" w:noHBand="0" w:noVBand="1"/>
      </w:tblPr>
      <w:tblGrid>
        <w:gridCol w:w="2104"/>
        <w:gridCol w:w="4693"/>
        <w:gridCol w:w="3438"/>
      </w:tblGrid>
      <w:tr w:rsidR="00867BDF" w:rsidRPr="0099267E" w14:paraId="55678F7B" w14:textId="77777777">
        <w:trPr>
          <w:trHeight w:val="365"/>
        </w:trPr>
        <w:tc>
          <w:tcPr>
            <w:tcW w:w="105.20pt" w:type="dxa"/>
            <w:vMerge w:val="restart"/>
            <w:shd w:val="clear" w:color="auto" w:fill="D9D9D9"/>
            <w:vAlign w:val="center"/>
          </w:tcPr>
          <w:p w14:paraId="48449B37" w14:textId="77777777" w:rsidR="00867BDF" w:rsidRPr="0099267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PARTICIPANTES</w:t>
            </w:r>
          </w:p>
        </w:tc>
        <w:tc>
          <w:tcPr>
            <w:tcW w:w="234.65pt" w:type="dxa"/>
            <w:shd w:val="clear" w:color="auto" w:fill="auto"/>
            <w:vAlign w:val="center"/>
          </w:tcPr>
          <w:p w14:paraId="0B035690" w14:textId="77777777" w:rsidR="00867BDF" w:rsidRPr="0099267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Marcelo Machado Rodrigues (MA)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1A1C9407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Coordenador</w:t>
            </w:r>
          </w:p>
        </w:tc>
      </w:tr>
      <w:tr w:rsidR="00867BDF" w:rsidRPr="0099267E" w14:paraId="7135DCB3" w14:textId="77777777" w:rsidTr="0088036F">
        <w:trPr>
          <w:trHeight w:val="326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00F851B5" w14:textId="77777777" w:rsidR="00867BDF" w:rsidRPr="0099267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51632F12" w14:textId="77777777" w:rsidR="00867BDF" w:rsidRPr="0099267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Luis Hildebrando Ferreira Paz (TO)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6511A6B8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99267E" w14:paraId="01EC1219" w14:textId="77777777">
        <w:trPr>
          <w:trHeight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3A60A288" w14:textId="77777777" w:rsidR="00867BDF" w:rsidRPr="0099267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28481DA4" w14:textId="77777777" w:rsidR="00867BDF" w:rsidRPr="0099267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Sérgio Rodrigo Lebre Ferreira</w:t>
            </w:r>
            <w:r w:rsidR="00CE4F8D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(PI)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71A5D512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99267E" w14:paraId="38EFA8B7" w14:textId="77777777">
        <w:trPr>
          <w:trHeight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38D5D7C4" w14:textId="77777777" w:rsidR="00867BDF" w:rsidRPr="0099267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7EC3438E" w14:textId="77777777" w:rsidR="00867BDF" w:rsidRPr="0099267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Cesar Augusto Gonçalez Gonçalves (MT)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2403981F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99267E" w14:paraId="7652BA13" w14:textId="77777777" w:rsidTr="0088036F">
        <w:trPr>
          <w:trHeight w:val="148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5D284AF2" w14:textId="77777777" w:rsidR="00867BDF" w:rsidRPr="0099267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6DD01747" w14:textId="77777777" w:rsidR="00867BDF" w:rsidRPr="0099267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João Eduardo Martins Dantas </w:t>
            </w:r>
            <w:r w:rsidR="00CE4F8D"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(DF)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6319F82D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99267E" w14:paraId="6A5F470B" w14:textId="77777777">
        <w:trPr>
          <w:trHeight w:val="342"/>
        </w:trPr>
        <w:tc>
          <w:tcPr>
            <w:tcW w:w="105.20pt" w:type="dxa"/>
            <w:shd w:val="clear" w:color="auto" w:fill="D0CECE"/>
            <w:vAlign w:val="center"/>
          </w:tcPr>
          <w:p w14:paraId="5EB96209" w14:textId="77777777" w:rsidR="00867BDF" w:rsidRPr="0099267E" w:rsidRDefault="00CE4F8D">
            <w:pPr>
              <w:spacing w:after="0pt"/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ASSESSORIA</w:t>
            </w:r>
          </w:p>
        </w:tc>
        <w:tc>
          <w:tcPr>
            <w:tcW w:w="406.55pt" w:type="dxa"/>
            <w:gridSpan w:val="2"/>
            <w:vAlign w:val="center"/>
          </w:tcPr>
          <w:p w14:paraId="08F2EC48" w14:textId="77777777" w:rsidR="00867BDF" w:rsidRPr="0099267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Alessandra Beine Lacerda</w:t>
            </w:r>
          </w:p>
        </w:tc>
      </w:tr>
    </w:tbl>
    <w:p w14:paraId="6435565F" w14:textId="77777777" w:rsidR="00867BDF" w:rsidRPr="0099267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2F0D8A85" w14:textId="77777777" w:rsidR="00867BDF" w:rsidRPr="0099267E" w:rsidRDefault="00CE4F8D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  <w:r w:rsidRPr="0099267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>ORDEM DO DIA</w:t>
      </w:r>
    </w:p>
    <w:p w14:paraId="3587EB35" w14:textId="77777777" w:rsidR="00867BDF" w:rsidRPr="0099267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5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867BDF" w:rsidRPr="0099267E" w14:paraId="2DC35E57" w14:textId="77777777">
        <w:trPr>
          <w:trHeight w:val="678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18315F3" w14:textId="0C41BC0B" w:rsidR="00867BDF" w:rsidRPr="0099267E" w:rsidRDefault="003D0A9B">
            <w:pPr>
              <w:spacing w:after="0pt" w:line="12pt" w:lineRule="auto"/>
              <w:ind w:start="3.40pt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EDE6FD" w14:textId="76ED3480" w:rsidR="00867BDF" w:rsidRPr="0099267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Acordos de Cooperação e Editais de patrocínio firmados em 2023 e em andamento</w:t>
            </w:r>
          </w:p>
        </w:tc>
      </w:tr>
      <w:tr w:rsidR="00867BDF" w:rsidRPr="0099267E" w14:paraId="5E30766A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06EEB2" w14:textId="77777777" w:rsidR="00867BDF" w:rsidRPr="0099267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3FFFA42" w14:textId="246B105B" w:rsidR="00867BDF" w:rsidRPr="0099267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z w:val="24"/>
                <w:szCs w:val="24"/>
              </w:rPr>
              <w:t>Acordos e protocolos de intenção assinados pela Presidência, Plano de Ação 2024 e chamamentos públicos 01 e 02/2023</w:t>
            </w:r>
          </w:p>
        </w:tc>
      </w:tr>
      <w:tr w:rsidR="00867BDF" w:rsidRPr="0099267E" w14:paraId="14B01DF3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43BA271" w14:textId="77777777" w:rsidR="00867BDF" w:rsidRPr="0099267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</w:tcPr>
          <w:p w14:paraId="7ED38C08" w14:textId="0C35F47F" w:rsidR="00867BDF" w:rsidRPr="0099267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z w:val="24"/>
                <w:szCs w:val="24"/>
              </w:rPr>
              <w:t>Coordenador Marcelo Machado Rodrigues (MA)</w:t>
            </w:r>
          </w:p>
        </w:tc>
      </w:tr>
      <w:tr w:rsidR="00867BDF" w:rsidRPr="0099267E" w14:paraId="5C9F616D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3799D50" w14:textId="77777777" w:rsidR="00867BDF" w:rsidRPr="0099267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CE06D01" w14:textId="4593682F" w:rsidR="003C0AC2" w:rsidRDefault="00560634" w:rsidP="00B41CB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smallCaps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Deliberação Nº </w:t>
            </w:r>
            <w:r>
              <w:rPr>
                <w:rFonts w:asciiTheme="minorHAnsi" w:eastAsia="Cambria" w:hAnsiTheme="minorHAnsi" w:cstheme="minorHAnsi"/>
                <w:smallCaps/>
                <w:sz w:val="24"/>
                <w:szCs w:val="24"/>
              </w:rPr>
              <w:t>016</w:t>
            </w:r>
            <w:r w:rsidRPr="0001491E">
              <w:rPr>
                <w:rFonts w:asciiTheme="minorHAnsi" w:eastAsia="Cambria" w:hAnsiTheme="minorHAnsi" w:cstheme="minorHAnsi"/>
                <w:smallCaps/>
                <w:sz w:val="24"/>
                <w:szCs w:val="24"/>
              </w:rPr>
              <w:t>/2024 – CPP-CAU/BR</w:t>
            </w:r>
          </w:p>
          <w:p w14:paraId="797BE8C3" w14:textId="77777777" w:rsidR="00560634" w:rsidRPr="0099267E" w:rsidRDefault="00560634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265D641" w14:textId="147F7FBC" w:rsidR="000A05DB" w:rsidRPr="0099267E" w:rsidRDefault="003D0A9B" w:rsidP="003D0A9B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9267E">
              <w:rPr>
                <w:rFonts w:asciiTheme="minorHAnsi" w:eastAsia="Calibri" w:hAnsiTheme="minorHAnsi" w:cstheme="minorHAnsi"/>
                <w:sz w:val="24"/>
                <w:szCs w:val="24"/>
              </w:rPr>
              <w:t>A COMISSÃO DE POLÍTICA PROFISSIONAL DO CAU/BR (CPP-CAU/BR), reunida extraordinariamente, de forma on-line, via Teams, no dia 24 de julho de 2024, a</w:t>
            </w:r>
            <w:r w:rsidR="000A05DB"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tendendo aos ritos da </w:t>
            </w:r>
            <w:hyperlink r:id="rId9" w:history="1">
              <w:r w:rsidR="000A05DB" w:rsidRPr="0099267E">
                <w:rPr>
                  <w:rFonts w:asciiTheme="minorHAnsi" w:eastAsia="Cambria" w:hAnsiTheme="minorHAnsi" w:cstheme="minorHAnsi"/>
                  <w:sz w:val="24"/>
                  <w:szCs w:val="24"/>
                </w:rPr>
                <w:t>Portaria Normativa N° 115, de 20 de março de 2023</w:t>
              </w:r>
            </w:hyperlink>
            <w:r w:rsidR="000A05DB"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que disciplina os procedimentos administrativos relativos às compras, licitações e contratos no âmbito do CAU/BR, desde a fase interna de planejamento até a execução, gestão e fiscalização dos contratos administrativos, </w:t>
            </w:r>
            <w:r w:rsidR="00701DC6"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>havia solicitado na reunião anterior</w:t>
            </w:r>
            <w:r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</w:t>
            </w:r>
            <w:r w:rsidR="000A05DB"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consulta de preço estimado com as empresas Target e ABNT, para verificar as condições para ofertar serviços de visualização digital gratuita das Normas Técnicas Brasileiras, bem como condições facilitadas de download e aquisição e outros benefícios relacionados ao acesso à conteúdos técnicos.</w:t>
            </w:r>
          </w:p>
          <w:p w14:paraId="48D01E09" w14:textId="263E4DA3" w:rsidR="00701DC6" w:rsidRPr="0099267E" w:rsidRDefault="00701DC6" w:rsidP="003D0A9B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01C8D6A7" w14:textId="7C978D53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analisar as propostas e considerando que proposta comercial encaminhada pela ABNT, em 24/07/2024, além da renovação do contrato de acesso ao Serviço ABNTColeção de todas as normas vigentes do acervo da ABNT (Associação Brasileira de Normas Técnicas) e da AMN (Associação Mercosul de Normalização) para visualização de normas técnicas, possibilita ao CAU/BR atuar como Colaborador Mantenedor da ABNT, com os seguintes benefícios: </w:t>
            </w:r>
          </w:p>
          <w:p w14:paraId="10DF6D95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“(...) a) tomar parte nas Assembleias Gerais; </w:t>
            </w:r>
          </w:p>
          <w:p w14:paraId="667BA759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b) votar em Assembleia Geral, respeitada a carência mínima de 120 (cento e vinte) dias na condição de associado; </w:t>
            </w:r>
          </w:p>
          <w:p w14:paraId="30CFF758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lastRenderedPageBreak/>
              <w:t xml:space="preserve">c) votar e ser votado para os cargos eletivos dos Conselhos Deliberativo e Fiscal, Superintendência dos Comitês Brasileiros e Conselho Técnico; </w:t>
            </w:r>
          </w:p>
          <w:p w14:paraId="3550C808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d) propor à Diretoria Executiva a criação de Comitês Brasileiros, suas respectivas cisões, fusões e incorporações, além da criação de Comissões Específicas; </w:t>
            </w:r>
          </w:p>
          <w:p w14:paraId="7716A54F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e) inscrever profissionais formalmente indicados pelo CAU nos Comitês Brasileiros (CB) ou nos Organismos de Normalização Setorial (ONS) da ABNT para elaboração de normas técnicas; </w:t>
            </w:r>
          </w:p>
          <w:p w14:paraId="3AD0AFB3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f) frequentar as dependências da ABNT, e participar das atividades promovidas pela ABNT; </w:t>
            </w:r>
          </w:p>
          <w:p w14:paraId="72F1445C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g) obter acesso a informações sobre o movimento da Normalização nacional, regional e internacional, que afeta seu campo de atuação; </w:t>
            </w:r>
          </w:p>
          <w:p w14:paraId="2CD87190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>h) indicar profissionais para participar da Normalização Internacional;</w:t>
            </w:r>
          </w:p>
          <w:p w14:paraId="068969C6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 xml:space="preserve">i) sediar secretaria técnica de Comitês Brasileiros; e </w:t>
            </w:r>
          </w:p>
          <w:p w14:paraId="60AB76D7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99.25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  <w:t>j) divulgar ser um associado, utilizando o logotipo de Associado ABNT.”</w:t>
            </w:r>
          </w:p>
          <w:p w14:paraId="2CFB12DD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ind w:start="113.40pt"/>
              <w:jc w:val="both"/>
              <w:rPr>
                <w:rFonts w:asciiTheme="minorHAnsi" w:eastAsia="Cambria" w:hAnsiTheme="minorHAnsi" w:cstheme="minorHAnsi"/>
                <w:i/>
                <w:color w:val="000000"/>
                <w:sz w:val="24"/>
                <w:szCs w:val="24"/>
              </w:rPr>
            </w:pPr>
          </w:p>
          <w:p w14:paraId="370F6C52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6pt" w:line="12pt" w:lineRule="auto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Considerando que além da Associação supracitada, do acesso ilimitado para a visualização do acervo completo de normas ABNT e AMN, e do desconto de 66% (sessenta e seis por cento) para aquisição das Normas Técnicas Brasileiras, a ABNT proporcionará aos profissionais de arquitetura e urbanismo, registrados e adimplentes ao Sistema CAU: </w:t>
            </w:r>
          </w:p>
          <w:p w14:paraId="65BB5CEE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6pt" w:line="12pt" w:lineRule="auto"/>
              <w:ind w:start="99.25pt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a) desconto de 30% (trinta por cento) nos preços praticados pela ABNT no ato da inscrição em cursos da grade regular de capacitação da ABNT;</w:t>
            </w:r>
          </w:p>
          <w:p w14:paraId="5FE8F9D0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6pt" w:line="12pt" w:lineRule="auto"/>
              <w:ind w:start="99.25pt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b) desconto de 15 % (quinze por cento) em cursos realizados em parceria com outras instituições, a exemplo dos cursos de “lead implementer” e “lead auditor”; e</w:t>
            </w:r>
          </w:p>
          <w:p w14:paraId="07C49B39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6pt" w:line="12pt" w:lineRule="auto"/>
              <w:ind w:start="99.25pt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c) prioridade aos profissionais indicados pelo Sistema e devidamente qualificados na contratação de novos auditores para a certificadora da ABNT, instrutores para cursos e profissionais para desenvolvimento de normas ABNT NBR comentadas.</w:t>
            </w:r>
          </w:p>
          <w:p w14:paraId="1C839A73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Considerando que, assim como a formalização da associação, os itens elencados acima são atividades exclusivas da ABNT, justificando seguir o rito de contratações por dispensa ou inexigibilidade de licitação, à luz da </w:t>
            </w:r>
            <w:hyperlink r:id="rId10" w:history="1">
              <w:r w:rsidRPr="0099267E">
                <w:rPr>
                  <w:rFonts w:asciiTheme="minorHAnsi" w:eastAsia="Cambria" w:hAnsiTheme="minorHAnsi" w:cstheme="minorHAnsi"/>
                  <w:color w:val="000000"/>
                  <w:sz w:val="24"/>
                  <w:szCs w:val="24"/>
                </w:rPr>
                <w:t>Portaria Normativa N° 115, de 20 de março de 2023</w:t>
              </w:r>
            </w:hyperlink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, que disciplina os procedimentos administrativos relativos às compras, licitações e contratos no âmbito do CAU/BR, desde a fase interna de planejamento até a execução, gestão e fiscalização dos contratos administrativos;</w:t>
            </w:r>
          </w:p>
          <w:p w14:paraId="7FC8DEDA" w14:textId="77777777" w:rsidR="00701DC6" w:rsidRPr="0099267E" w:rsidRDefault="00701DC6" w:rsidP="00701DC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</w:p>
          <w:p w14:paraId="10232320" w14:textId="77777777" w:rsidR="00701DC6" w:rsidRPr="0099267E" w:rsidRDefault="00701DC6" w:rsidP="00701DC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DELIBERA:</w:t>
            </w:r>
          </w:p>
          <w:p w14:paraId="2F0743BD" w14:textId="77777777" w:rsidR="00701DC6" w:rsidRPr="0099267E" w:rsidRDefault="00701DC6" w:rsidP="00701DC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14:paraId="44BE7D94" w14:textId="77777777" w:rsidR="00701DC6" w:rsidRPr="0099267E" w:rsidRDefault="00701DC6" w:rsidP="00701DC6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Dar prosseguimento ao processo de negociação de valores e elaboração dos documentos necessários para o </w:t>
            </w:r>
            <w:r w:rsidRPr="0099267E">
              <w:rPr>
                <w:rFonts w:asciiTheme="minorHAnsi" w:hAnsiTheme="minorHAnsi" w:cstheme="minorHAnsi"/>
                <w:sz w:val="24"/>
                <w:szCs w:val="24"/>
              </w:rPr>
              <w:t xml:space="preserve">processo de Contratações Diretas previstos nos </w:t>
            </w:r>
            <w:r w:rsidRPr="0099267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procedimentos administrativos relativos às compras, licitações e contratos no âmbito do CAU/BR, p</w:t>
            </w:r>
            <w:r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ara apreciação do </w:t>
            </w:r>
            <w:r w:rsidRPr="0099267E">
              <w:rPr>
                <w:rFonts w:asciiTheme="minorHAnsi" w:hAnsiTheme="minorHAnsi" w:cstheme="minorHAnsi"/>
                <w:sz w:val="24"/>
                <w:szCs w:val="24"/>
              </w:rPr>
              <w:t>Núcleo de Compras e Licitações</w:t>
            </w:r>
            <w:r w:rsidRPr="0099267E">
              <w:rPr>
                <w:rFonts w:asciiTheme="minorHAnsi" w:eastAsia="Cambria" w:hAnsiTheme="minorHAnsi" w:cstheme="minorHAnsi"/>
                <w:sz w:val="24"/>
                <w:szCs w:val="24"/>
              </w:rPr>
              <w:t>.</w:t>
            </w:r>
          </w:p>
          <w:p w14:paraId="5AE48163" w14:textId="77777777" w:rsidR="00701DC6" w:rsidRPr="0099267E" w:rsidRDefault="00701DC6" w:rsidP="00701DC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294DED" w14:textId="22FB6F8F" w:rsidR="00C3030C" w:rsidRPr="0099267E" w:rsidRDefault="00C3030C" w:rsidP="00701DC6">
            <w:pPr>
              <w:framePr w:wrap="around" w:vAnchor="text" w:hAnchor="text" w:y="0.05pt"/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96974C0" w14:textId="77777777" w:rsidR="00867BDF" w:rsidRPr="00FA0ABA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libri" w:hAnsi="Calibri" w:cs="Calibri"/>
          <w:b/>
          <w:color w:val="000000"/>
          <w:highlight w:val="yellow"/>
        </w:rPr>
      </w:pPr>
    </w:p>
    <w:p w14:paraId="7DFD6754" w14:textId="77777777" w:rsidR="005D5635" w:rsidRDefault="005D5635" w:rsidP="005D5635">
      <w:pPr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  <w:r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Considerando o art. 116, § 3°-A do Regimento Interno do CAU/BR e a Deliberação nº 002/2024 – CD – CAU/BR, o coordenador e a assessoria técnica da CPP-CAU/BR, </w:t>
      </w:r>
      <w:r>
        <w:rPr>
          <w:rFonts w:asciiTheme="minorHAnsi" w:hAnsiTheme="minorHAnsi" w:cstheme="minorHAnsi"/>
          <w:bCs/>
          <w:sz w:val="24"/>
          <w:szCs w:val="24"/>
        </w:rPr>
        <w:t>Marcelo Machado Rodrigues e Alessandra Beine Lacerda, respectivamente,</w:t>
      </w:r>
      <w:r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ratificam as informações acima e dá fé pública a este documento.</w:t>
      </w:r>
    </w:p>
    <w:p w14:paraId="7D71F919" w14:textId="77777777" w:rsidR="005D5635" w:rsidRDefault="005D5635" w:rsidP="005D5635">
      <w:pPr>
        <w:tabs>
          <w:tab w:val="start" w:pos="352.50pt"/>
        </w:tabs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</w:p>
    <w:p w14:paraId="186E3064" w14:textId="77777777" w:rsidR="005D5635" w:rsidRDefault="005D5635" w:rsidP="005D5635">
      <w:pPr>
        <w:tabs>
          <w:tab w:val="start" w:pos="352.50pt"/>
        </w:tabs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5D5635" w14:paraId="4E4138D2" w14:textId="77777777" w:rsidTr="005D5635">
        <w:tc>
          <w:tcPr>
            <w:tcW w:w="255.15pt" w:type="dxa"/>
            <w:hideMark/>
          </w:tcPr>
          <w:p w14:paraId="56432CFD" w14:textId="77777777" w:rsidR="005D5635" w:rsidRDefault="005D5635">
            <w:pPr>
              <w:spacing w:after="0pt" w:line="12pt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A21DCBF" w14:textId="77777777" w:rsidR="005D5635" w:rsidRDefault="005D563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301E6860" w14:textId="77777777" w:rsidR="005D5635" w:rsidRDefault="005D563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BEINE LACERDA</w:t>
            </w:r>
          </w:p>
          <w:p w14:paraId="1996EE50" w14:textId="77777777" w:rsidR="005D5635" w:rsidRDefault="005D563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Assessora Especial da Presidência</w:t>
            </w:r>
          </w:p>
        </w:tc>
      </w:tr>
    </w:tbl>
    <w:p w14:paraId="24CCFF02" w14:textId="3D1F89FC" w:rsidR="00867BDF" w:rsidRPr="00FA0ABA" w:rsidRDefault="00867BDF" w:rsidP="005D5635">
      <w:pPr>
        <w:tabs>
          <w:tab w:val="start" w:pos="352.50pt"/>
        </w:tabs>
        <w:rPr>
          <w:rFonts w:ascii="Calibri" w:eastAsia="Calibri" w:hAnsi="Calibri" w:cs="Calibri"/>
          <w:color w:val="000000"/>
        </w:rPr>
      </w:pPr>
    </w:p>
    <w:sectPr w:rsidR="00867BDF" w:rsidRPr="00FA0AB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pgNumType w:start="1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251FAA1" w14:textId="77777777" w:rsidR="00FA67BF" w:rsidRDefault="00FA67BF">
      <w:pPr>
        <w:spacing w:after="0pt" w:line="12pt" w:lineRule="auto"/>
      </w:pPr>
      <w:r>
        <w:separator/>
      </w:r>
    </w:p>
  </w:endnote>
  <w:endnote w:type="continuationSeparator" w:id="0">
    <w:p w14:paraId="6CDC7183" w14:textId="77777777" w:rsidR="00FA67BF" w:rsidRDefault="00FA67B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characterSet="iso-8859-1"/>
    <w:family w:val="auto"/>
    <w:pitch w:val="default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1466705638"/>
      <w:docPartObj>
        <w:docPartGallery w:val="Page Numbers (Bottom of Page)"/>
        <w:docPartUnique/>
      </w:docPartObj>
    </w:sdtPr>
    <w:sdtEndPr/>
    <w:sdtContent>
      <w:p w14:paraId="5738AA76" w14:textId="32C3EF82" w:rsidR="00B672B3" w:rsidRPr="00ED6B56" w:rsidRDefault="00ED6B56" w:rsidP="00ED6B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83DDB68" w14:textId="77777777" w:rsidR="00FA67BF" w:rsidRDefault="00FA67BF">
      <w:pPr>
        <w:spacing w:after="0pt" w:line="12pt" w:lineRule="auto"/>
      </w:pPr>
      <w:r>
        <w:separator/>
      </w:r>
    </w:p>
  </w:footnote>
  <w:footnote w:type="continuationSeparator" w:id="0">
    <w:p w14:paraId="75134CDA" w14:textId="77777777" w:rsidR="00FA67BF" w:rsidRDefault="00FA67BF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34E989" w14:textId="77777777" w:rsidR="00B672B3" w:rsidRDefault="00B672B3">
    <w:pPr>
      <w:spacing w:after="0pt" w:line="13.80pt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>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2B8EE69" wp14:editId="4B9F137A">
          <wp:simplePos x="0" y="0"/>
          <wp:positionH relativeFrom="column">
            <wp:posOffset>-720089</wp:posOffset>
          </wp:positionH>
          <wp:positionV relativeFrom="paragraph">
            <wp:posOffset>-1107830</wp:posOffset>
          </wp:positionV>
          <wp:extent cx="7570373" cy="1261432"/>
          <wp:effectExtent l="0" t="0" r="0" b="0"/>
          <wp:wrapNone/>
          <wp:docPr id="6" name="image2.png" descr="CAU/BR&#10;Serviço Público Federal&#10;Conselho de Arquitetura e Urbanismo do Brasil&#10;Setor de Edifícios Públicos Sul (SEPS), Quadra 702/902, Conjunto B, 2º Andar&#10;Edifício General Alencastro, CEP 70.390-025, Brasília-DF | www.caubr,gov.br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2.png" descr="CAU/BR&#10;Serviço Público Federal&#10;Conselho de Arquitetura e Urbanismo do Brasil&#10;Setor de Edifícios Públicos Sul (SEPS), Quadra 702/902, Conjunto B, 2º Andar&#10;Edifício General Alencastro, CEP 70.390-025, Brasília-DF | www.caubr,gov.b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072DB8"/>
    <w:multiLevelType w:val="multilevel"/>
    <w:tmpl w:val="4B8CB31E"/>
    <w:lvl w:ilvl="0">
      <w:start w:val="1"/>
      <w:numFmt w:val="decimal"/>
      <w:pStyle w:val="Ttulo1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2225011"/>
    <w:multiLevelType w:val="multilevel"/>
    <w:tmpl w:val="9F8426F8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3E74597"/>
    <w:multiLevelType w:val="multilevel"/>
    <w:tmpl w:val="D4FEB19A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1F864CC"/>
    <w:multiLevelType w:val="hybridMultilevel"/>
    <w:tmpl w:val="525C0682"/>
    <w:lvl w:ilvl="0" w:tplc="7F460F6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A979165"/>
    <w:multiLevelType w:val="hybridMultilevel"/>
    <w:tmpl w:val="50AEAA5C"/>
    <w:lvl w:ilvl="0" w:tplc="FC342200">
      <w:start w:val="1"/>
      <w:numFmt w:val="decimal"/>
      <w:lvlText w:val="%1-"/>
      <w:lvlJc w:val="start"/>
      <w:pPr>
        <w:ind w:start="54pt" w:hanging="18pt"/>
      </w:pPr>
    </w:lvl>
    <w:lvl w:ilvl="1" w:tplc="BB0EB9EA">
      <w:start w:val="1"/>
      <w:numFmt w:val="lowerLetter"/>
      <w:lvlText w:val="%2."/>
      <w:lvlJc w:val="start"/>
      <w:pPr>
        <w:ind w:start="90pt" w:hanging="18pt"/>
      </w:pPr>
    </w:lvl>
    <w:lvl w:ilvl="2" w:tplc="E064FD60">
      <w:start w:val="1"/>
      <w:numFmt w:val="lowerRoman"/>
      <w:lvlText w:val="%3."/>
      <w:lvlJc w:val="end"/>
      <w:pPr>
        <w:ind w:start="126pt" w:hanging="9pt"/>
      </w:pPr>
    </w:lvl>
    <w:lvl w:ilvl="3" w:tplc="D4EA95B0">
      <w:start w:val="1"/>
      <w:numFmt w:val="decimal"/>
      <w:lvlText w:val="%4."/>
      <w:lvlJc w:val="start"/>
      <w:pPr>
        <w:ind w:start="162pt" w:hanging="18pt"/>
      </w:pPr>
    </w:lvl>
    <w:lvl w:ilvl="4" w:tplc="18668958">
      <w:start w:val="1"/>
      <w:numFmt w:val="lowerLetter"/>
      <w:lvlText w:val="%5."/>
      <w:lvlJc w:val="start"/>
      <w:pPr>
        <w:ind w:start="198pt" w:hanging="18pt"/>
      </w:pPr>
    </w:lvl>
    <w:lvl w:ilvl="5" w:tplc="7A7EBEAC">
      <w:start w:val="1"/>
      <w:numFmt w:val="lowerRoman"/>
      <w:lvlText w:val="%6."/>
      <w:lvlJc w:val="end"/>
      <w:pPr>
        <w:ind w:start="234pt" w:hanging="9pt"/>
      </w:pPr>
    </w:lvl>
    <w:lvl w:ilvl="6" w:tplc="7E3C639E">
      <w:start w:val="1"/>
      <w:numFmt w:val="decimal"/>
      <w:lvlText w:val="%7."/>
      <w:lvlJc w:val="start"/>
      <w:pPr>
        <w:ind w:start="270pt" w:hanging="18pt"/>
      </w:pPr>
    </w:lvl>
    <w:lvl w:ilvl="7" w:tplc="29A64180">
      <w:start w:val="1"/>
      <w:numFmt w:val="lowerLetter"/>
      <w:lvlText w:val="%8."/>
      <w:lvlJc w:val="start"/>
      <w:pPr>
        <w:ind w:start="306pt" w:hanging="18pt"/>
      </w:pPr>
    </w:lvl>
    <w:lvl w:ilvl="8" w:tplc="4300B45A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368965D0"/>
    <w:multiLevelType w:val="multilevel"/>
    <w:tmpl w:val="6CE6220E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A313C65"/>
    <w:multiLevelType w:val="hybridMultilevel"/>
    <w:tmpl w:val="CF14EAAC"/>
    <w:lvl w:ilvl="0" w:tplc="6DD85C4C">
      <w:start w:val="1"/>
      <w:numFmt w:val="decimal"/>
      <w:lvlText w:val="%1-"/>
      <w:lvlJc w:val="start"/>
      <w:pPr>
        <w:ind w:start="36pt" w:hanging="18pt"/>
      </w:pPr>
    </w:lvl>
    <w:lvl w:ilvl="1" w:tplc="5EE8413E">
      <w:start w:val="1"/>
      <w:numFmt w:val="lowerLetter"/>
      <w:lvlText w:val="%2."/>
      <w:lvlJc w:val="start"/>
      <w:pPr>
        <w:ind w:start="72pt" w:hanging="18pt"/>
      </w:pPr>
    </w:lvl>
    <w:lvl w:ilvl="2" w:tplc="5BC611E6">
      <w:start w:val="1"/>
      <w:numFmt w:val="lowerRoman"/>
      <w:lvlText w:val="%3."/>
      <w:lvlJc w:val="end"/>
      <w:pPr>
        <w:ind w:start="108pt" w:hanging="9pt"/>
      </w:pPr>
    </w:lvl>
    <w:lvl w:ilvl="3" w:tplc="23FA735A">
      <w:start w:val="1"/>
      <w:numFmt w:val="decimal"/>
      <w:lvlText w:val="%4."/>
      <w:lvlJc w:val="start"/>
      <w:pPr>
        <w:ind w:start="144pt" w:hanging="18pt"/>
      </w:pPr>
    </w:lvl>
    <w:lvl w:ilvl="4" w:tplc="C0BA431A">
      <w:start w:val="1"/>
      <w:numFmt w:val="lowerLetter"/>
      <w:lvlText w:val="%5."/>
      <w:lvlJc w:val="start"/>
      <w:pPr>
        <w:ind w:start="180pt" w:hanging="18pt"/>
      </w:pPr>
    </w:lvl>
    <w:lvl w:ilvl="5" w:tplc="A95E19D4">
      <w:start w:val="1"/>
      <w:numFmt w:val="lowerRoman"/>
      <w:lvlText w:val="%6."/>
      <w:lvlJc w:val="end"/>
      <w:pPr>
        <w:ind w:start="216pt" w:hanging="9pt"/>
      </w:pPr>
    </w:lvl>
    <w:lvl w:ilvl="6" w:tplc="3C505ADC">
      <w:start w:val="1"/>
      <w:numFmt w:val="decimal"/>
      <w:lvlText w:val="%7."/>
      <w:lvlJc w:val="start"/>
      <w:pPr>
        <w:ind w:start="252pt" w:hanging="18pt"/>
      </w:pPr>
    </w:lvl>
    <w:lvl w:ilvl="7" w:tplc="2A682F10">
      <w:start w:val="1"/>
      <w:numFmt w:val="lowerLetter"/>
      <w:lvlText w:val="%8."/>
      <w:lvlJc w:val="start"/>
      <w:pPr>
        <w:ind w:start="288pt" w:hanging="18pt"/>
      </w:pPr>
    </w:lvl>
    <w:lvl w:ilvl="8" w:tplc="EB84B8EA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C361E19"/>
    <w:multiLevelType w:val="multilevel"/>
    <w:tmpl w:val="7EFE3E82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  <w:sz w:val="22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hint="default"/>
      </w:rPr>
    </w:lvl>
  </w:abstractNum>
  <w:abstractNum w:abstractNumId="9" w15:restartNumberingAfterBreak="0">
    <w:nsid w:val="3CEA0F6E"/>
    <w:multiLevelType w:val="multilevel"/>
    <w:tmpl w:val="2252F96E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hint="default"/>
      </w:rPr>
    </w:lvl>
  </w:abstractNum>
  <w:abstractNum w:abstractNumId="10" w15:restartNumberingAfterBreak="0">
    <w:nsid w:val="4ACB0B1B"/>
    <w:multiLevelType w:val="hybridMultilevel"/>
    <w:tmpl w:val="57E6AC26"/>
    <w:lvl w:ilvl="0" w:tplc="0416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D8C0A0E"/>
    <w:multiLevelType w:val="multilevel"/>
    <w:tmpl w:val="E13C5E76"/>
    <w:lvl w:ilvl="0">
      <w:start w:val="1"/>
      <w:numFmt w:val="lowerRoman"/>
      <w:lvlText w:val="(%1)"/>
      <w:lvlJc w:val="start"/>
      <w:pPr>
        <w:ind w:start="54pt" w:hanging="36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D0F16A6"/>
    <w:multiLevelType w:val="multilevel"/>
    <w:tmpl w:val="03E23C28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3" w15:restartNumberingAfterBreak="0">
    <w:nsid w:val="76B83109"/>
    <w:multiLevelType w:val="multilevel"/>
    <w:tmpl w:val="C6949A7C"/>
    <w:lvl w:ilvl="0">
      <w:start w:val="1"/>
      <w:numFmt w:val="bullet"/>
      <w:lvlText w:val="●"/>
      <w:lvlJc w:val="start"/>
      <w:pPr>
        <w:ind w:start="36pt" w:hanging="18pt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DF"/>
    <w:rsid w:val="000227E1"/>
    <w:rsid w:val="0003485A"/>
    <w:rsid w:val="0004319D"/>
    <w:rsid w:val="0006219F"/>
    <w:rsid w:val="000960A6"/>
    <w:rsid w:val="000A05DB"/>
    <w:rsid w:val="000F595F"/>
    <w:rsid w:val="00120893"/>
    <w:rsid w:val="0012180A"/>
    <w:rsid w:val="0014237F"/>
    <w:rsid w:val="00151DF7"/>
    <w:rsid w:val="00192F43"/>
    <w:rsid w:val="001F5461"/>
    <w:rsid w:val="0027127F"/>
    <w:rsid w:val="002C27D2"/>
    <w:rsid w:val="00352EFA"/>
    <w:rsid w:val="003C0AC2"/>
    <w:rsid w:val="003D0A9B"/>
    <w:rsid w:val="00420369"/>
    <w:rsid w:val="0042282A"/>
    <w:rsid w:val="004C210D"/>
    <w:rsid w:val="00560634"/>
    <w:rsid w:val="005D5635"/>
    <w:rsid w:val="0061223E"/>
    <w:rsid w:val="006312BA"/>
    <w:rsid w:val="00666251"/>
    <w:rsid w:val="00701DC6"/>
    <w:rsid w:val="007978B6"/>
    <w:rsid w:val="00837DD6"/>
    <w:rsid w:val="0085578A"/>
    <w:rsid w:val="00867BDF"/>
    <w:rsid w:val="0088036F"/>
    <w:rsid w:val="008C5918"/>
    <w:rsid w:val="008F6622"/>
    <w:rsid w:val="009043D7"/>
    <w:rsid w:val="009136CA"/>
    <w:rsid w:val="00930E99"/>
    <w:rsid w:val="009322B7"/>
    <w:rsid w:val="00947F6F"/>
    <w:rsid w:val="00960982"/>
    <w:rsid w:val="0099267E"/>
    <w:rsid w:val="009A72D3"/>
    <w:rsid w:val="009E6249"/>
    <w:rsid w:val="00A05AE7"/>
    <w:rsid w:val="00A25EB3"/>
    <w:rsid w:val="00A3439A"/>
    <w:rsid w:val="00A95E6C"/>
    <w:rsid w:val="00B41CBA"/>
    <w:rsid w:val="00B6150B"/>
    <w:rsid w:val="00B672B3"/>
    <w:rsid w:val="00B830E7"/>
    <w:rsid w:val="00C3030C"/>
    <w:rsid w:val="00CE4F8D"/>
    <w:rsid w:val="00CF745A"/>
    <w:rsid w:val="00D650C7"/>
    <w:rsid w:val="00D71367"/>
    <w:rsid w:val="00DD4949"/>
    <w:rsid w:val="00DE61AE"/>
    <w:rsid w:val="00E70FD5"/>
    <w:rsid w:val="00E800B1"/>
    <w:rsid w:val="00ED6B56"/>
    <w:rsid w:val="00FA0ABA"/>
    <w:rsid w:val="00FA67BF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8743D"/>
  <w15:docId w15:val="{95484129-5F8B-470A-9745-25544A7F91C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11pt" w:after="2pt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27849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pt" w:line="12pt" w:lineRule="auto"/>
    </w:pPr>
    <w:rPr>
      <w:rFonts w:ascii="Calibri" w:hAnsi="Calibri" w:cs="Calibri"/>
    </w:rPr>
  </w:style>
  <w:style w:type="table" w:styleId="TabeladeGrade1Clara">
    <w:name w:val="Grid Table 1 Light"/>
    <w:basedOn w:val="Tabelanormal"/>
    <w:uiPriority w:val="46"/>
    <w:rsid w:val="00FD4B7F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ontepargpadro"/>
    <w:rsid w:val="002240BC"/>
  </w:style>
  <w:style w:type="character" w:customStyle="1" w:styleId="PargrafodaListaChar">
    <w:name w:val="Parágrafo da Lista Char"/>
    <w:link w:val="PargrafodaLista"/>
    <w:uiPriority w:val="34"/>
    <w:locked/>
    <w:rsid w:val="000150A0"/>
  </w:style>
  <w:style w:type="character" w:styleId="Refdecomentrio">
    <w:name w:val="annotation reference"/>
    <w:basedOn w:val="Fontepargpadro"/>
    <w:uiPriority w:val="99"/>
    <w:semiHidden/>
    <w:unhideWhenUsed/>
    <w:rsid w:val="00416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6576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6576"/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C2784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.70pt" w:type="dxa"/>
        <w:start w:w="4.30pt" w:type="dxa"/>
        <w:bottom w:w="0.70pt" w:type="dxa"/>
        <w:end w:w="4.3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paragraph" w:customStyle="1" w:styleId="paragraph">
    <w:name w:val="paragraph"/>
    <w:basedOn w:val="Normal"/>
    <w:rsid w:val="00FA0ABA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A0ABA"/>
  </w:style>
  <w:style w:type="character" w:customStyle="1" w:styleId="eop">
    <w:name w:val="eop"/>
    <w:basedOn w:val="Fontepargpadro"/>
    <w:rsid w:val="00FA0AB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367"/>
    <w:pPr>
      <w:spacing w:after="8pt"/>
      <w:jc w:val="star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12345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fontTable" Target="fontTable.xml"/><Relationship Id="rId3" Type="http://purl.oclc.org/ooxml/officeDocument/relationships/numbering" Target="numbering.xml"/><Relationship Id="rId7" Type="http://purl.oclc.org/ooxml/officeDocument/relationships/footnotes" Target="footnote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header" Target="header1.xml"/><Relationship Id="rId5" Type="http://purl.oclc.org/ooxml/officeDocument/relationships/settings" Target="settings.xml"/><Relationship Id="rId10" Type="http://purl.oclc.org/ooxml/officeDocument/relationships/hyperlink" Target="https://transparencia.caubr.gov.br/portarianormativa115/" TargetMode="External"/><Relationship Id="rId4" Type="http://purl.oclc.org/ooxml/officeDocument/relationships/styles" Target="styles.xml"/><Relationship Id="rId9" Type="http://purl.oclc.org/ooxml/officeDocument/relationships/hyperlink" Target="https://transparencia.caubr.gov.br/portarianormativa115/" TargetMode="Externa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y/LPg5nz/SiFueRhPijclqGtA==">CgMxLjAyCGguZ2pkZ3hzMgloLjMwajB6bGwyCWguMWZvYjl0ZTIJaC4zem55c2g3MgloLjJldDkycDAyCGgudHlqY3d0OAByITFuS0tQY1E2UEFjNnBzVDNQVHJOZFJrWFVJemlpZTRfLQ==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purl.oclc.org/ooxml/officeDocument/customXml" ds:itemID="{05BC6384-2F15-4601-B690-C3919135FFE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lastModifiedBy>Myria Luanna Lima Costa</cp:lastModifiedBy>
  <cp:revision>2</cp:revision>
  <dcterms:created xsi:type="dcterms:W3CDTF">2024-09-24T15:09:00Z</dcterms:created>
  <dcterms:modified xsi:type="dcterms:W3CDTF">2024-09-24T15:09:00Z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