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C" w:rsidRDefault="00DA105E">
      <w:pPr>
        <w:pStyle w:val="Corpodetexto"/>
        <w:spacing w:before="1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68431815" behindDoc="1" locked="0" layoutInCell="1" allowOverlap="1">
            <wp:simplePos x="0" y="0"/>
            <wp:positionH relativeFrom="page">
              <wp:posOffset>78738</wp:posOffset>
            </wp:positionH>
            <wp:positionV relativeFrom="page">
              <wp:posOffset>366546</wp:posOffset>
            </wp:positionV>
            <wp:extent cx="7477249" cy="9536277"/>
            <wp:effectExtent l="0" t="0" r="9401" b="7773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77249" cy="95362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E1DBC" w:rsidRDefault="00DA105E">
      <w:pPr>
        <w:pStyle w:val="Ttulo1"/>
        <w:spacing w:before="51"/>
      </w:pPr>
      <w:r>
        <w:t>RESOLUÇÃO N° 83, DE 25 DE JULHO DE 2014</w:t>
      </w:r>
    </w:p>
    <w:p w:rsidR="007E1DBC" w:rsidRDefault="007E1DBC">
      <w:pPr>
        <w:pStyle w:val="Corpodetexto"/>
        <w:spacing w:before="2"/>
        <w:rPr>
          <w:b/>
        </w:rPr>
      </w:pPr>
    </w:p>
    <w:p w:rsidR="007E1DBC" w:rsidRDefault="00DA105E">
      <w:pPr>
        <w:pStyle w:val="Corpodetexto"/>
        <w:ind w:left="4355" w:right="106"/>
        <w:jc w:val="both"/>
      </w:pPr>
      <w:r>
        <w:rPr>
          <w:strike/>
          <w:spacing w:val="-3"/>
        </w:rPr>
        <w:t xml:space="preserve">Disciplina </w:t>
      </w:r>
      <w:r>
        <w:rPr>
          <w:strike/>
        </w:rPr>
        <w:t xml:space="preserve">o registro, em </w:t>
      </w:r>
      <w:r>
        <w:rPr>
          <w:strike/>
          <w:spacing w:val="-3"/>
        </w:rPr>
        <w:t xml:space="preserve">caráter excepcional, </w:t>
      </w:r>
      <w:r>
        <w:rPr>
          <w:strike/>
        </w:rPr>
        <w:t xml:space="preserve">em </w:t>
      </w:r>
      <w:r>
        <w:rPr>
          <w:strike/>
          <w:spacing w:val="-3"/>
        </w:rPr>
        <w:t xml:space="preserve">razão </w:t>
      </w:r>
      <w:r>
        <w:rPr>
          <w:strike/>
        </w:rPr>
        <w:t xml:space="preserve">de ordem </w:t>
      </w:r>
      <w:r>
        <w:rPr>
          <w:strike/>
          <w:spacing w:val="-3"/>
        </w:rPr>
        <w:t xml:space="preserve">judicial,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arquitetos </w:t>
      </w:r>
      <w:r>
        <w:rPr>
          <w:strike/>
        </w:rPr>
        <w:t xml:space="preserve">e </w:t>
      </w:r>
      <w:r>
        <w:rPr>
          <w:strike/>
          <w:spacing w:val="-3"/>
        </w:rPr>
        <w:t xml:space="preserve">urbanistas egressos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cursos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Arquitetura </w:t>
      </w:r>
      <w:r>
        <w:rPr>
          <w:strike/>
        </w:rPr>
        <w:t xml:space="preserve">e </w:t>
      </w:r>
      <w:r>
        <w:rPr>
          <w:strike/>
          <w:spacing w:val="-3"/>
        </w:rPr>
        <w:t xml:space="preserve">Urbanismo </w:t>
      </w:r>
      <w:r>
        <w:rPr>
          <w:strike/>
        </w:rPr>
        <w:t xml:space="preserve">não </w:t>
      </w:r>
      <w:r>
        <w:rPr>
          <w:strike/>
          <w:spacing w:val="-3"/>
        </w:rPr>
        <w:t xml:space="preserve">reconhecidos </w:t>
      </w:r>
      <w:r>
        <w:rPr>
          <w:strike/>
        </w:rPr>
        <w:t xml:space="preserve">na forma da Lei n° 9.394, de 1996, e dá </w:t>
      </w:r>
      <w:r>
        <w:rPr>
          <w:strike/>
          <w:spacing w:val="-3"/>
        </w:rPr>
        <w:t>outras</w:t>
      </w:r>
      <w:r>
        <w:rPr>
          <w:strike/>
          <w:spacing w:val="-32"/>
        </w:rPr>
        <w:t xml:space="preserve"> </w:t>
      </w:r>
      <w:r>
        <w:rPr>
          <w:strike/>
          <w:spacing w:val="-3"/>
        </w:rPr>
        <w:t>providências.</w:t>
      </w:r>
    </w:p>
    <w:p w:rsidR="007E1DBC" w:rsidRDefault="007E1DBC">
      <w:pPr>
        <w:pStyle w:val="Corpodetexto"/>
        <w:ind w:left="4355" w:right="106"/>
        <w:jc w:val="both"/>
        <w:rPr>
          <w:spacing w:val="-3"/>
        </w:rPr>
      </w:pPr>
    </w:p>
    <w:p w:rsidR="007E1DBC" w:rsidRDefault="00DA105E">
      <w:pPr>
        <w:pStyle w:val="Corpodetexto"/>
        <w:ind w:left="4355" w:right="106"/>
        <w:jc w:val="both"/>
        <w:rPr>
          <w:spacing w:val="-3"/>
        </w:rPr>
      </w:pPr>
      <w:r>
        <w:rPr>
          <w:spacing w:val="-3"/>
        </w:rPr>
        <w:t>Disciplina o registro, em caráter excepcional, em razão de ordem judicial, de arquitetos e urbanistas egressos de cursos de graduação em Arquitetura e Urbanismo e dá o</w:t>
      </w:r>
      <w:r>
        <w:rPr>
          <w:spacing w:val="-3"/>
        </w:rPr>
        <w:t>utras providências. (Redação dada pela Resolução n° 235, de 18 de maio de 2023)</w:t>
      </w:r>
    </w:p>
    <w:p w:rsidR="007E1DBC" w:rsidRDefault="007E1DBC">
      <w:pPr>
        <w:pStyle w:val="Corpodetexto"/>
        <w:spacing w:before="11"/>
        <w:rPr>
          <w:sz w:val="23"/>
        </w:rPr>
      </w:pPr>
    </w:p>
    <w:p w:rsidR="007E1DBC" w:rsidRDefault="00DA105E">
      <w:pPr>
        <w:pStyle w:val="Corpodetexto"/>
        <w:spacing w:before="1"/>
        <w:ind w:left="102" w:right="107"/>
        <w:jc w:val="both"/>
      </w:pPr>
      <w:r>
        <w:t xml:space="preserve">O Presidente do Conselho de Arquitetura e Urbanismo do Brasil (CAU/BR), no uso das competências previstas no art. 29 da Lei n° 12.378, de 31 de dezembro de 2010, e no art. 70 </w:t>
      </w:r>
      <w:r>
        <w:t>do Regimento Geral aprovado pela Resolução CAU/BR n° 33, de 6 de setembro de 2012;</w:t>
      </w:r>
    </w:p>
    <w:p w:rsidR="007E1DBC" w:rsidRDefault="007E1DBC">
      <w:pPr>
        <w:pStyle w:val="Corpodetexto"/>
        <w:spacing w:before="12"/>
        <w:rPr>
          <w:sz w:val="23"/>
        </w:rPr>
      </w:pPr>
    </w:p>
    <w:p w:rsidR="007E1DBC" w:rsidRDefault="00DA105E">
      <w:pPr>
        <w:pStyle w:val="Corpodetexto"/>
        <w:ind w:left="102" w:right="105"/>
        <w:jc w:val="both"/>
      </w:pPr>
      <w:r>
        <w:t>Considerando a recorrência de decisões judiciais determinando, aos Conselho de Arquitetura e Urbanismo dos Estados e do Distrito Federal (CAU/UF), o registro de egressos de</w:t>
      </w:r>
      <w:r>
        <w:t xml:space="preserve"> cursos de Arquitetura e Urbanismo não reconhecidos na forma da Lei n° 9.394, de 1996;</w:t>
      </w:r>
    </w:p>
    <w:p w:rsidR="007E1DBC" w:rsidRDefault="007E1DBC">
      <w:pPr>
        <w:pStyle w:val="Corpodetexto"/>
        <w:spacing w:before="1"/>
      </w:pPr>
    </w:p>
    <w:p w:rsidR="007E1DBC" w:rsidRDefault="00DA105E">
      <w:pPr>
        <w:pStyle w:val="Corpodetexto"/>
        <w:ind w:left="102" w:right="106"/>
        <w:jc w:val="both"/>
      </w:pPr>
      <w:r>
        <w:t xml:space="preserve">Considerando que tais decisões são proferidas em relação aos casos em que, também por força de decisões judiciais precedentes, os egressos são </w:t>
      </w:r>
      <w:r>
        <w:rPr>
          <w:spacing w:val="-3"/>
        </w:rPr>
        <w:t xml:space="preserve">portadores </w:t>
      </w:r>
      <w:r>
        <w:t xml:space="preserve">de </w:t>
      </w:r>
      <w:r>
        <w:rPr>
          <w:spacing w:val="-3"/>
        </w:rPr>
        <w:t xml:space="preserve">diplomas </w:t>
      </w:r>
      <w:r>
        <w:t>de</w:t>
      </w:r>
      <w:r>
        <w:t xml:space="preserve"> </w:t>
      </w:r>
      <w:r>
        <w:rPr>
          <w:spacing w:val="-3"/>
        </w:rPr>
        <w:t xml:space="preserve">graduação </w:t>
      </w:r>
      <w:r>
        <w:t xml:space="preserve">em </w:t>
      </w:r>
      <w:r>
        <w:rPr>
          <w:spacing w:val="-3"/>
        </w:rPr>
        <w:t xml:space="preserve">Arquitetura </w:t>
      </w:r>
      <w:r>
        <w:t xml:space="preserve">e </w:t>
      </w:r>
      <w:r>
        <w:rPr>
          <w:spacing w:val="-3"/>
        </w:rPr>
        <w:t xml:space="preserve">Urbanismo registrados </w:t>
      </w:r>
      <w:r>
        <w:t xml:space="preserve">por </w:t>
      </w:r>
      <w:r>
        <w:rPr>
          <w:spacing w:val="-3"/>
        </w:rPr>
        <w:t xml:space="preserve">universidades públicas competentes </w:t>
      </w:r>
      <w:r>
        <w:t>para tais</w:t>
      </w:r>
      <w:r>
        <w:rPr>
          <w:spacing w:val="-10"/>
        </w:rPr>
        <w:t xml:space="preserve"> </w:t>
      </w:r>
      <w:r>
        <w:rPr>
          <w:spacing w:val="-3"/>
        </w:rPr>
        <w:t>registros;</w:t>
      </w:r>
    </w:p>
    <w:p w:rsidR="007E1DBC" w:rsidRDefault="007E1DBC">
      <w:pPr>
        <w:pStyle w:val="Corpodetexto"/>
      </w:pPr>
    </w:p>
    <w:p w:rsidR="007E1DBC" w:rsidRDefault="00DA105E">
      <w:pPr>
        <w:pStyle w:val="Corpodetexto"/>
        <w:ind w:left="102" w:right="109"/>
        <w:jc w:val="both"/>
      </w:pPr>
      <w:r>
        <w:rPr>
          <w:spacing w:val="-3"/>
        </w:rPr>
        <w:t xml:space="preserve">Considerando </w:t>
      </w:r>
      <w:r>
        <w:t xml:space="preserve">que a </w:t>
      </w:r>
      <w:r>
        <w:rPr>
          <w:spacing w:val="-3"/>
        </w:rPr>
        <w:t xml:space="preserve">Resolução CAU/BR </w:t>
      </w:r>
      <w:r>
        <w:t xml:space="preserve">n° 18, de 2 de </w:t>
      </w:r>
      <w:r>
        <w:rPr>
          <w:spacing w:val="-3"/>
        </w:rPr>
        <w:t xml:space="preserve">março </w:t>
      </w:r>
      <w:r>
        <w:t xml:space="preserve">de 2012, </w:t>
      </w:r>
      <w:r>
        <w:rPr>
          <w:spacing w:val="-3"/>
        </w:rPr>
        <w:t xml:space="preserve">alterada </w:t>
      </w:r>
      <w:r>
        <w:t xml:space="preserve">pela </w:t>
      </w:r>
      <w:r>
        <w:rPr>
          <w:spacing w:val="-3"/>
        </w:rPr>
        <w:t xml:space="preserve">Resolução CAU/BR </w:t>
      </w:r>
      <w:r>
        <w:t xml:space="preserve">n° 32, de 2 de </w:t>
      </w:r>
      <w:r>
        <w:rPr>
          <w:spacing w:val="-3"/>
        </w:rPr>
        <w:t xml:space="preserve">agosto </w:t>
      </w:r>
      <w:r>
        <w:t xml:space="preserve">de </w:t>
      </w:r>
      <w:r>
        <w:rPr>
          <w:spacing w:val="-3"/>
        </w:rPr>
        <w:t xml:space="preserve">2012, estabelece </w:t>
      </w:r>
      <w:r>
        <w:t xml:space="preserve">que </w:t>
      </w:r>
      <w:r>
        <w:rPr>
          <w:spacing w:val="-3"/>
        </w:rPr>
        <w:t xml:space="preserve">“quando apresentado </w:t>
      </w:r>
      <w:r>
        <w:t xml:space="preserve">o </w:t>
      </w:r>
      <w:r>
        <w:rPr>
          <w:spacing w:val="-3"/>
        </w:rPr>
        <w:t xml:space="preserve">certificado </w:t>
      </w:r>
      <w:r>
        <w:t xml:space="preserve">de </w:t>
      </w:r>
      <w:r>
        <w:rPr>
          <w:spacing w:val="-3"/>
        </w:rPr>
        <w:t xml:space="preserve">conclusão </w:t>
      </w:r>
      <w:r>
        <w:t xml:space="preserve">de </w:t>
      </w:r>
      <w:r>
        <w:rPr>
          <w:spacing w:val="-3"/>
        </w:rPr>
        <w:t xml:space="preserve">curso </w:t>
      </w:r>
      <w:r>
        <w:t xml:space="preserve">no requerimento de </w:t>
      </w:r>
      <w:r>
        <w:rPr>
          <w:spacing w:val="-3"/>
        </w:rPr>
        <w:t xml:space="preserve">registro profissional, </w:t>
      </w:r>
      <w:r>
        <w:t xml:space="preserve">o registro será feito em </w:t>
      </w:r>
      <w:r>
        <w:rPr>
          <w:spacing w:val="-3"/>
        </w:rPr>
        <w:t xml:space="preserve">caráter provisório </w:t>
      </w:r>
      <w:r>
        <w:rPr>
          <w:spacing w:val="-2"/>
        </w:rPr>
        <w:t xml:space="preserve">com </w:t>
      </w:r>
      <w:r>
        <w:rPr>
          <w:spacing w:val="-3"/>
        </w:rPr>
        <w:t xml:space="preserve">validade máxima </w:t>
      </w:r>
      <w:r>
        <w:t xml:space="preserve">de um ano” e que </w:t>
      </w:r>
      <w:r>
        <w:rPr>
          <w:spacing w:val="-3"/>
        </w:rPr>
        <w:t xml:space="preserve">“quando apresentado </w:t>
      </w:r>
      <w:r>
        <w:t xml:space="preserve">o </w:t>
      </w:r>
      <w:r>
        <w:rPr>
          <w:spacing w:val="-3"/>
        </w:rPr>
        <w:t xml:space="preserve">diploma </w:t>
      </w:r>
      <w:r>
        <w:t xml:space="preserve">de </w:t>
      </w:r>
      <w:r>
        <w:rPr>
          <w:spacing w:val="-3"/>
        </w:rPr>
        <w:t xml:space="preserve">graduação, </w:t>
      </w:r>
      <w:r>
        <w:t xml:space="preserve">o </w:t>
      </w:r>
      <w:r>
        <w:rPr>
          <w:spacing w:val="-3"/>
        </w:rPr>
        <w:t xml:space="preserve">registro </w:t>
      </w:r>
      <w:r>
        <w:t xml:space="preserve">será feito em </w:t>
      </w:r>
      <w:r>
        <w:rPr>
          <w:spacing w:val="-3"/>
        </w:rPr>
        <w:t xml:space="preserve">caráter </w:t>
      </w:r>
      <w:r>
        <w:rPr>
          <w:spacing w:val="-3"/>
        </w:rPr>
        <w:t xml:space="preserve">definitivo” (art. </w:t>
      </w:r>
      <w:r>
        <w:t xml:space="preserve">5°, §§ 2° e </w:t>
      </w:r>
      <w:r>
        <w:rPr>
          <w:spacing w:val="-3"/>
        </w:rPr>
        <w:t>3°);</w:t>
      </w:r>
    </w:p>
    <w:p w:rsidR="007E1DBC" w:rsidRDefault="007E1DBC">
      <w:pPr>
        <w:pStyle w:val="Corpodetexto"/>
      </w:pPr>
    </w:p>
    <w:p w:rsidR="007E1DBC" w:rsidRDefault="007E1DBC">
      <w:pPr>
        <w:pStyle w:val="Corpodetexto"/>
        <w:spacing w:before="11"/>
        <w:rPr>
          <w:sz w:val="23"/>
        </w:rPr>
      </w:pPr>
    </w:p>
    <w:p w:rsidR="007E1DBC" w:rsidRDefault="00DA105E">
      <w:pPr>
        <w:ind w:left="102"/>
        <w:jc w:val="both"/>
      </w:pPr>
      <w:r>
        <w:rPr>
          <w:b/>
          <w:sz w:val="24"/>
        </w:rPr>
        <w:t xml:space="preserve">RESOLVE, </w:t>
      </w:r>
      <w:r>
        <w:rPr>
          <w:b/>
          <w:i/>
          <w:sz w:val="24"/>
        </w:rPr>
        <w:t xml:space="preserve">AD REFERENDUM </w:t>
      </w:r>
      <w:r>
        <w:rPr>
          <w:b/>
          <w:sz w:val="24"/>
        </w:rPr>
        <w:t>DO PLENÁRIO DO CAU/BR:</w:t>
      </w:r>
    </w:p>
    <w:p w:rsidR="007E1DBC" w:rsidRDefault="007E1DBC">
      <w:pPr>
        <w:pStyle w:val="Corpodetexto"/>
        <w:rPr>
          <w:b/>
        </w:rPr>
      </w:pPr>
    </w:p>
    <w:p w:rsidR="007E1DBC" w:rsidRDefault="007E1DBC">
      <w:pPr>
        <w:pStyle w:val="Corpodetexto"/>
        <w:spacing w:before="2"/>
        <w:rPr>
          <w:b/>
        </w:rPr>
      </w:pPr>
    </w:p>
    <w:p w:rsidR="007E1DBC" w:rsidRDefault="00DA105E">
      <w:pPr>
        <w:pStyle w:val="Corpodetexto"/>
        <w:ind w:left="102" w:right="104"/>
        <w:jc w:val="both"/>
      </w:pPr>
      <w:r>
        <w:rPr>
          <w:strike/>
        </w:rPr>
        <w:t xml:space="preserve">Art. 1° Autoriza o registro definitivo, na forma prevista no art. 5°, § 3° da </w:t>
      </w:r>
      <w:r>
        <w:rPr>
          <w:strike/>
          <w:spacing w:val="-3"/>
        </w:rPr>
        <w:t xml:space="preserve">Resolução CAU/BR </w:t>
      </w:r>
      <w:r>
        <w:rPr>
          <w:strike/>
        </w:rPr>
        <w:t xml:space="preserve">n° 18, de 2 de </w:t>
      </w:r>
      <w:r>
        <w:rPr>
          <w:strike/>
          <w:spacing w:val="-3"/>
        </w:rPr>
        <w:t xml:space="preserve">março </w:t>
      </w:r>
      <w:r>
        <w:rPr>
          <w:strike/>
        </w:rPr>
        <w:t xml:space="preserve">de 2012, </w:t>
      </w:r>
      <w:r>
        <w:rPr>
          <w:strike/>
          <w:spacing w:val="-3"/>
        </w:rPr>
        <w:t xml:space="preserve">alterada </w:t>
      </w:r>
      <w:r>
        <w:rPr>
          <w:strike/>
        </w:rPr>
        <w:t xml:space="preserve">pela </w:t>
      </w:r>
      <w:r>
        <w:rPr>
          <w:strike/>
          <w:spacing w:val="-3"/>
        </w:rPr>
        <w:t xml:space="preserve">Resolução CAU/BR </w:t>
      </w:r>
      <w:r>
        <w:rPr>
          <w:strike/>
        </w:rPr>
        <w:t xml:space="preserve">n° 32, de 2 de </w:t>
      </w:r>
      <w:r>
        <w:rPr>
          <w:strike/>
          <w:spacing w:val="-3"/>
        </w:rPr>
        <w:t xml:space="preserve">agosto </w:t>
      </w:r>
      <w:r>
        <w:rPr>
          <w:strike/>
        </w:rPr>
        <w:t xml:space="preserve">de 2012, de </w:t>
      </w:r>
      <w:r>
        <w:rPr>
          <w:strike/>
          <w:spacing w:val="-3"/>
        </w:rPr>
        <w:t xml:space="preserve">egressos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cursos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Arquitetura </w:t>
      </w:r>
      <w:r>
        <w:rPr>
          <w:strike/>
        </w:rPr>
        <w:t xml:space="preserve">e </w:t>
      </w:r>
      <w:r>
        <w:rPr>
          <w:strike/>
          <w:spacing w:val="-3"/>
        </w:rPr>
        <w:t xml:space="preserve">Urbanismo </w:t>
      </w:r>
      <w:r>
        <w:rPr>
          <w:strike/>
        </w:rPr>
        <w:t xml:space="preserve">não </w:t>
      </w:r>
      <w:r>
        <w:rPr>
          <w:strike/>
          <w:spacing w:val="-3"/>
        </w:rPr>
        <w:t xml:space="preserve">reconhecidos </w:t>
      </w:r>
      <w:r>
        <w:rPr>
          <w:strike/>
        </w:rPr>
        <w:t xml:space="preserve">na </w:t>
      </w:r>
      <w:r>
        <w:rPr>
          <w:strike/>
          <w:spacing w:val="-3"/>
        </w:rPr>
        <w:t xml:space="preserve">forma </w:t>
      </w:r>
      <w:r>
        <w:rPr>
          <w:strike/>
        </w:rPr>
        <w:t xml:space="preserve">da Lei n° 9.394, de 1996, </w:t>
      </w:r>
      <w:r>
        <w:rPr>
          <w:strike/>
          <w:spacing w:val="-2"/>
        </w:rPr>
        <w:t xml:space="preserve">nos </w:t>
      </w:r>
      <w:r>
        <w:rPr>
          <w:strike/>
          <w:spacing w:val="-3"/>
        </w:rPr>
        <w:t xml:space="preserve">casos </w:t>
      </w:r>
      <w:r>
        <w:rPr>
          <w:strike/>
        </w:rPr>
        <w:t xml:space="preserve">em que </w:t>
      </w:r>
      <w:r>
        <w:rPr>
          <w:strike/>
          <w:spacing w:val="-3"/>
        </w:rPr>
        <w:t xml:space="preserve">sejam portadores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diplomas </w:t>
      </w:r>
      <w:r>
        <w:rPr>
          <w:strike/>
        </w:rPr>
        <w:t xml:space="preserve">de </w:t>
      </w:r>
      <w:r>
        <w:rPr>
          <w:strike/>
          <w:spacing w:val="-3"/>
        </w:rPr>
        <w:t xml:space="preserve">graduação </w:t>
      </w:r>
      <w:r>
        <w:rPr>
          <w:strike/>
        </w:rPr>
        <w:t xml:space="preserve">expedidos por instituições de ensino superior de </w:t>
      </w:r>
      <w:r>
        <w:rPr>
          <w:strike/>
          <w:spacing w:val="-3"/>
        </w:rPr>
        <w:t xml:space="preserve">Arquitetura </w:t>
      </w:r>
      <w:r>
        <w:rPr>
          <w:strike/>
        </w:rPr>
        <w:t xml:space="preserve">e </w:t>
      </w:r>
      <w:r>
        <w:rPr>
          <w:strike/>
          <w:spacing w:val="-3"/>
        </w:rPr>
        <w:t>Urbanismo, devida</w:t>
      </w:r>
      <w:r>
        <w:rPr>
          <w:strike/>
          <w:spacing w:val="-3"/>
        </w:rPr>
        <w:t xml:space="preserve">mente registrados </w:t>
      </w:r>
      <w:r>
        <w:rPr>
          <w:strike/>
        </w:rPr>
        <w:t xml:space="preserve">por </w:t>
      </w:r>
      <w:r>
        <w:rPr>
          <w:strike/>
          <w:spacing w:val="-3"/>
        </w:rPr>
        <w:t xml:space="preserve">universidades públicas competentes </w:t>
      </w:r>
      <w:r>
        <w:rPr>
          <w:strike/>
        </w:rPr>
        <w:t xml:space="preserve">para tais </w:t>
      </w:r>
      <w:r>
        <w:rPr>
          <w:strike/>
          <w:spacing w:val="-3"/>
        </w:rPr>
        <w:t xml:space="preserve">registros, </w:t>
      </w:r>
      <w:r>
        <w:rPr>
          <w:strike/>
        </w:rPr>
        <w:t xml:space="preserve">e </w:t>
      </w:r>
      <w:r>
        <w:rPr>
          <w:strike/>
          <w:spacing w:val="-3"/>
        </w:rPr>
        <w:t xml:space="preserve">cujo registro </w:t>
      </w:r>
      <w:r>
        <w:rPr>
          <w:strike/>
        </w:rPr>
        <w:t xml:space="preserve">tenha sido </w:t>
      </w:r>
      <w:r>
        <w:rPr>
          <w:strike/>
          <w:spacing w:val="-3"/>
        </w:rPr>
        <w:t xml:space="preserve">determinado </w:t>
      </w:r>
      <w:r>
        <w:rPr>
          <w:strike/>
        </w:rPr>
        <w:t xml:space="preserve">por ordem </w:t>
      </w:r>
      <w:r>
        <w:rPr>
          <w:strike/>
          <w:spacing w:val="-3"/>
        </w:rPr>
        <w:t>judicial.</w:t>
      </w:r>
    </w:p>
    <w:p w:rsidR="007E1DBC" w:rsidRDefault="007E1DBC">
      <w:pPr>
        <w:pStyle w:val="Corpodetexto"/>
        <w:ind w:left="102" w:right="104"/>
        <w:jc w:val="both"/>
        <w:rPr>
          <w:spacing w:val="-3"/>
        </w:rPr>
      </w:pPr>
    </w:p>
    <w:p w:rsidR="007E1DBC" w:rsidRDefault="007E1DBC">
      <w:pPr>
        <w:pStyle w:val="Corpodetexto"/>
        <w:ind w:left="102" w:right="104"/>
        <w:jc w:val="both"/>
      </w:pPr>
    </w:p>
    <w:p w:rsidR="007E1DBC" w:rsidRDefault="007E1DBC">
      <w:pPr>
        <w:pStyle w:val="Corpodetexto"/>
        <w:ind w:left="102" w:right="104"/>
        <w:jc w:val="both"/>
      </w:pPr>
    </w:p>
    <w:p w:rsidR="007E1DBC" w:rsidRDefault="00DA105E">
      <w:pPr>
        <w:pStyle w:val="Corpodetexto"/>
        <w:ind w:left="102" w:right="104"/>
        <w:jc w:val="both"/>
      </w:pPr>
      <w:r>
        <w:lastRenderedPageBreak/>
        <w:t xml:space="preserve">Art. 1° </w:t>
      </w:r>
      <w:r>
        <w:rPr>
          <w:spacing w:val="-3"/>
        </w:rPr>
        <w:t xml:space="preserve">Autoriza o registro na forma prevista no art. 5°, § 3°, da Resolução CAU/BR n° 18, de 2 de março de 2012, </w:t>
      </w:r>
      <w:r>
        <w:rPr>
          <w:spacing w:val="-3"/>
        </w:rPr>
        <w:t>alterada pela Resolução CAU/BR n° 32, de 2 de agosto de 2012, de egressos de cursos de graduação em Arquitetura e Urbanismo cujo registro tenha sido determinado por ordem judicial. (Redação dada pela Resolução n° 235, de 18 de maio de 2023)</w:t>
      </w:r>
    </w:p>
    <w:p w:rsidR="007E1DBC" w:rsidRDefault="007E1DBC">
      <w:pPr>
        <w:pStyle w:val="Corpodetexto"/>
        <w:spacing w:before="11"/>
        <w:rPr>
          <w:sz w:val="23"/>
        </w:rPr>
      </w:pPr>
    </w:p>
    <w:p w:rsidR="007E1DBC" w:rsidRDefault="00DA105E">
      <w:pPr>
        <w:pStyle w:val="Corpodetexto"/>
        <w:ind w:left="102" w:right="106"/>
        <w:jc w:val="both"/>
      </w:pPr>
      <w:r>
        <w:rPr>
          <w:strike/>
        </w:rPr>
        <w:t>Art. 2° O regi</w:t>
      </w:r>
      <w:r>
        <w:rPr>
          <w:strike/>
        </w:rPr>
        <w:t xml:space="preserve">stro de que trata esta Resolução será efetuado na condição de </w:t>
      </w:r>
      <w:r>
        <w:rPr>
          <w:i/>
          <w:strike/>
        </w:rPr>
        <w:t>sub judice</w:t>
      </w:r>
      <w:r>
        <w:rPr>
          <w:strike/>
        </w:rPr>
        <w:t>, pelo que ficará sujeito a mudanças e, excepcionalmente, ao cancelamento, nos seguintes casos:</w:t>
      </w:r>
    </w:p>
    <w:p w:rsidR="007E1DBC" w:rsidRDefault="007E1DBC">
      <w:pPr>
        <w:pStyle w:val="Corpodetexto"/>
        <w:rPr>
          <w:strike/>
        </w:rPr>
      </w:pPr>
    </w:p>
    <w:p w:rsidR="007E1DBC" w:rsidRDefault="00DA105E">
      <w:pPr>
        <w:pStyle w:val="PargrafodaLista"/>
        <w:numPr>
          <w:ilvl w:val="0"/>
          <w:numId w:val="1"/>
        </w:numPr>
        <w:tabs>
          <w:tab w:val="left" w:pos="-242"/>
        </w:tabs>
        <w:ind w:hanging="115"/>
      </w:pPr>
      <w:r>
        <w:rPr>
          <w:strike/>
          <w:sz w:val="24"/>
        </w:rPr>
        <w:t xml:space="preserve">- </w:t>
      </w:r>
      <w:proofErr w:type="gramStart"/>
      <w:r>
        <w:rPr>
          <w:strike/>
          <w:sz w:val="24"/>
        </w:rPr>
        <w:t>o</w:t>
      </w:r>
      <w:proofErr w:type="gramEnd"/>
      <w:r>
        <w:rPr>
          <w:strike/>
          <w:sz w:val="24"/>
        </w:rPr>
        <w:t xml:space="preserve"> reconhecimento do curso seja negado pelo Ministério da</w:t>
      </w:r>
      <w:r>
        <w:rPr>
          <w:strike/>
          <w:spacing w:val="-12"/>
          <w:sz w:val="24"/>
        </w:rPr>
        <w:t xml:space="preserve"> </w:t>
      </w:r>
      <w:r>
        <w:rPr>
          <w:strike/>
          <w:sz w:val="24"/>
        </w:rPr>
        <w:t>Educação;</w:t>
      </w:r>
    </w:p>
    <w:p w:rsidR="007E1DBC" w:rsidRDefault="007E1DBC">
      <w:pPr>
        <w:pStyle w:val="Corpodetexto"/>
        <w:rPr>
          <w:strike/>
        </w:rPr>
      </w:pPr>
    </w:p>
    <w:p w:rsidR="007E1DBC" w:rsidRDefault="00DA105E">
      <w:pPr>
        <w:pStyle w:val="PargrafodaLista"/>
        <w:numPr>
          <w:ilvl w:val="0"/>
          <w:numId w:val="1"/>
        </w:numPr>
        <w:tabs>
          <w:tab w:val="left" w:pos="278"/>
        </w:tabs>
        <w:spacing w:before="38"/>
        <w:ind w:left="102" w:right="111" w:firstLine="0"/>
      </w:pPr>
      <w:r>
        <w:rPr>
          <w:strike/>
          <w:sz w:val="24"/>
        </w:rPr>
        <w:t xml:space="preserve">- </w:t>
      </w:r>
      <w:proofErr w:type="gramStart"/>
      <w:r>
        <w:rPr>
          <w:strike/>
          <w:sz w:val="24"/>
        </w:rPr>
        <w:t>o</w:t>
      </w:r>
      <w:proofErr w:type="gramEnd"/>
      <w:r>
        <w:rPr>
          <w:strike/>
          <w:sz w:val="24"/>
        </w:rPr>
        <w:t xml:space="preserve"> reconheciment</w:t>
      </w:r>
      <w:r>
        <w:rPr>
          <w:strike/>
          <w:sz w:val="24"/>
        </w:rPr>
        <w:t>o do curso seja concedido com restrições pelo Ministério da</w:t>
      </w:r>
      <w:r>
        <w:rPr>
          <w:strike/>
          <w:spacing w:val="-25"/>
          <w:sz w:val="24"/>
        </w:rPr>
        <w:t xml:space="preserve"> </w:t>
      </w:r>
      <w:r>
        <w:rPr>
          <w:strike/>
          <w:sz w:val="24"/>
        </w:rPr>
        <w:t>Educação;</w:t>
      </w:r>
    </w:p>
    <w:p w:rsidR="007E1DBC" w:rsidRDefault="007E1DBC">
      <w:pPr>
        <w:pStyle w:val="PargrafodaLista"/>
        <w:rPr>
          <w:strike/>
          <w:sz w:val="24"/>
        </w:rPr>
      </w:pPr>
    </w:p>
    <w:p w:rsidR="007E1DBC" w:rsidRDefault="00DA105E">
      <w:pPr>
        <w:pStyle w:val="PargrafodaLista"/>
        <w:numPr>
          <w:ilvl w:val="0"/>
          <w:numId w:val="1"/>
        </w:numPr>
        <w:tabs>
          <w:tab w:val="left" w:pos="278"/>
        </w:tabs>
        <w:spacing w:before="38"/>
        <w:ind w:left="102" w:right="111" w:firstLine="0"/>
      </w:pPr>
      <w:r>
        <w:rPr>
          <w:strike/>
          <w:sz w:val="24"/>
        </w:rPr>
        <w:t xml:space="preserve">- </w:t>
      </w:r>
      <w:proofErr w:type="gramStart"/>
      <w:r>
        <w:rPr>
          <w:strike/>
          <w:sz w:val="24"/>
        </w:rPr>
        <w:t>a</w:t>
      </w:r>
      <w:proofErr w:type="gramEnd"/>
      <w:r>
        <w:rPr>
          <w:strike/>
          <w:sz w:val="24"/>
        </w:rPr>
        <w:t xml:space="preserve"> decisão judicial seja alterada ou reformada, com efeitos sobre o registro inicialmente deferido.</w:t>
      </w:r>
    </w:p>
    <w:p w:rsidR="007E1DBC" w:rsidRDefault="007E1DBC">
      <w:pPr>
        <w:pStyle w:val="Corpodetexto"/>
        <w:spacing w:before="2"/>
        <w:rPr>
          <w:strike/>
        </w:rPr>
      </w:pPr>
    </w:p>
    <w:p w:rsidR="007E1DBC" w:rsidRDefault="00DA105E">
      <w:pPr>
        <w:pStyle w:val="Corpodetexto"/>
        <w:ind w:left="102" w:right="109"/>
        <w:jc w:val="both"/>
      </w:pPr>
      <w:r>
        <w:rPr>
          <w:strike/>
        </w:rPr>
        <w:t xml:space="preserve">Parágrafo único. Em conformidade com o </w:t>
      </w:r>
      <w:r>
        <w:rPr>
          <w:i/>
          <w:strike/>
        </w:rPr>
        <w:t xml:space="preserve">caput </w:t>
      </w:r>
      <w:r>
        <w:rPr>
          <w:strike/>
        </w:rPr>
        <w:t xml:space="preserve">deste artigo o registro de que trata </w:t>
      </w:r>
      <w:r>
        <w:rPr>
          <w:strike/>
        </w:rPr>
        <w:t>esta Resolução conterá as seguintes ressalvas:</w:t>
      </w:r>
    </w:p>
    <w:p w:rsidR="007E1DBC" w:rsidRDefault="007E1DBC">
      <w:pPr>
        <w:pStyle w:val="Corpodetexto"/>
        <w:spacing w:before="11"/>
        <w:rPr>
          <w:sz w:val="23"/>
        </w:rPr>
      </w:pPr>
    </w:p>
    <w:p w:rsidR="007E1DBC" w:rsidRDefault="00DA105E">
      <w:pPr>
        <w:pStyle w:val="PargrafodaLista"/>
        <w:numPr>
          <w:ilvl w:val="0"/>
          <w:numId w:val="2"/>
        </w:numPr>
        <w:tabs>
          <w:tab w:val="left" w:pos="239"/>
        </w:tabs>
        <w:spacing w:before="1"/>
        <w:ind w:right="107" w:firstLine="0"/>
      </w:pPr>
      <w:r>
        <w:rPr>
          <w:strike/>
          <w:sz w:val="24"/>
        </w:rPr>
        <w:t xml:space="preserve">- </w:t>
      </w:r>
      <w:proofErr w:type="gramStart"/>
      <w:r>
        <w:rPr>
          <w:strike/>
          <w:sz w:val="24"/>
        </w:rPr>
        <w:t>no</w:t>
      </w:r>
      <w:proofErr w:type="gramEnd"/>
      <w:r>
        <w:rPr>
          <w:strike/>
          <w:sz w:val="24"/>
        </w:rPr>
        <w:t xml:space="preserve"> </w:t>
      </w:r>
      <w:r>
        <w:rPr>
          <w:strike/>
          <w:spacing w:val="-3"/>
          <w:sz w:val="24"/>
        </w:rPr>
        <w:t xml:space="preserve">processo </w:t>
      </w:r>
      <w:r>
        <w:rPr>
          <w:strike/>
          <w:sz w:val="24"/>
        </w:rPr>
        <w:t xml:space="preserve">de </w:t>
      </w:r>
      <w:r>
        <w:rPr>
          <w:strike/>
          <w:spacing w:val="-3"/>
          <w:sz w:val="24"/>
        </w:rPr>
        <w:t xml:space="preserve">registro </w:t>
      </w:r>
      <w:r>
        <w:rPr>
          <w:strike/>
          <w:sz w:val="24"/>
        </w:rPr>
        <w:t xml:space="preserve">será anotada a </w:t>
      </w:r>
      <w:r>
        <w:rPr>
          <w:strike/>
          <w:spacing w:val="-3"/>
          <w:sz w:val="24"/>
        </w:rPr>
        <w:t xml:space="preserve">situação </w:t>
      </w:r>
      <w:r>
        <w:rPr>
          <w:i/>
          <w:strike/>
          <w:spacing w:val="-3"/>
          <w:sz w:val="24"/>
        </w:rPr>
        <w:t xml:space="preserve">sub </w:t>
      </w:r>
      <w:r>
        <w:rPr>
          <w:i/>
          <w:strike/>
          <w:sz w:val="24"/>
        </w:rPr>
        <w:t xml:space="preserve">judice </w:t>
      </w:r>
      <w:r>
        <w:rPr>
          <w:strike/>
          <w:sz w:val="24"/>
        </w:rPr>
        <w:t xml:space="preserve">da sua </w:t>
      </w:r>
      <w:r>
        <w:rPr>
          <w:strike/>
          <w:spacing w:val="-3"/>
          <w:sz w:val="24"/>
        </w:rPr>
        <w:t xml:space="preserve">concessão, </w:t>
      </w:r>
      <w:r>
        <w:rPr>
          <w:strike/>
          <w:sz w:val="24"/>
        </w:rPr>
        <w:t xml:space="preserve">bem </w:t>
      </w:r>
      <w:r>
        <w:rPr>
          <w:strike/>
          <w:spacing w:val="-3"/>
          <w:sz w:val="24"/>
        </w:rPr>
        <w:t xml:space="preserve">como </w:t>
      </w:r>
      <w:r>
        <w:rPr>
          <w:strike/>
          <w:sz w:val="24"/>
        </w:rPr>
        <w:t xml:space="preserve">será </w:t>
      </w:r>
      <w:r>
        <w:rPr>
          <w:strike/>
          <w:spacing w:val="-3"/>
          <w:sz w:val="24"/>
        </w:rPr>
        <w:t xml:space="preserve">consignado </w:t>
      </w:r>
      <w:r>
        <w:rPr>
          <w:strike/>
          <w:sz w:val="24"/>
        </w:rPr>
        <w:t xml:space="preserve">que o </w:t>
      </w:r>
      <w:r>
        <w:rPr>
          <w:strike/>
          <w:spacing w:val="-3"/>
          <w:sz w:val="24"/>
        </w:rPr>
        <w:t xml:space="preserve">registro estará sujeito </w:t>
      </w:r>
      <w:r>
        <w:rPr>
          <w:strike/>
          <w:sz w:val="24"/>
        </w:rPr>
        <w:t xml:space="preserve">a </w:t>
      </w:r>
      <w:r>
        <w:rPr>
          <w:strike/>
          <w:spacing w:val="-3"/>
          <w:sz w:val="24"/>
        </w:rPr>
        <w:t xml:space="preserve">mudanças </w:t>
      </w:r>
      <w:r>
        <w:rPr>
          <w:strike/>
          <w:sz w:val="24"/>
        </w:rPr>
        <w:t xml:space="preserve">e, excepcionalmente, ao cancelamento, nos </w:t>
      </w:r>
      <w:r>
        <w:rPr>
          <w:strike/>
          <w:spacing w:val="-3"/>
          <w:sz w:val="24"/>
        </w:rPr>
        <w:t xml:space="preserve">casos </w:t>
      </w:r>
      <w:r>
        <w:rPr>
          <w:strike/>
          <w:sz w:val="24"/>
        </w:rPr>
        <w:t xml:space="preserve">em que o </w:t>
      </w:r>
      <w:r>
        <w:rPr>
          <w:strike/>
          <w:spacing w:val="-3"/>
          <w:sz w:val="24"/>
        </w:rPr>
        <w:t>reconh</w:t>
      </w:r>
      <w:r>
        <w:rPr>
          <w:strike/>
          <w:spacing w:val="-3"/>
          <w:sz w:val="24"/>
        </w:rPr>
        <w:t xml:space="preserve">ecimento </w:t>
      </w:r>
      <w:r>
        <w:rPr>
          <w:strike/>
          <w:sz w:val="24"/>
        </w:rPr>
        <w:t xml:space="preserve">do </w:t>
      </w:r>
      <w:r>
        <w:rPr>
          <w:strike/>
          <w:spacing w:val="-3"/>
          <w:sz w:val="24"/>
        </w:rPr>
        <w:t xml:space="preserve">curso </w:t>
      </w:r>
      <w:r>
        <w:rPr>
          <w:strike/>
          <w:sz w:val="24"/>
        </w:rPr>
        <w:t>seja negado ou concedido com restrições pela autoridade federal de ensino, ou alterada ou reformada a decisão</w:t>
      </w:r>
      <w:r>
        <w:rPr>
          <w:strike/>
          <w:spacing w:val="-23"/>
          <w:sz w:val="24"/>
        </w:rPr>
        <w:t xml:space="preserve"> </w:t>
      </w:r>
      <w:r>
        <w:rPr>
          <w:strike/>
          <w:sz w:val="24"/>
        </w:rPr>
        <w:t>judicial;</w:t>
      </w:r>
    </w:p>
    <w:p w:rsidR="007E1DBC" w:rsidRDefault="007E1DBC">
      <w:pPr>
        <w:pStyle w:val="Corpodetexto"/>
        <w:spacing w:before="11"/>
        <w:rPr>
          <w:strike/>
          <w:sz w:val="23"/>
        </w:rPr>
      </w:pPr>
    </w:p>
    <w:p w:rsidR="007E1DBC" w:rsidRDefault="00DA105E">
      <w:pPr>
        <w:pStyle w:val="PargrafodaLista"/>
        <w:numPr>
          <w:ilvl w:val="0"/>
          <w:numId w:val="2"/>
        </w:numPr>
        <w:tabs>
          <w:tab w:val="left" w:pos="343"/>
        </w:tabs>
        <w:spacing w:before="1"/>
        <w:ind w:right="107" w:firstLine="0"/>
      </w:pPr>
      <w:r>
        <w:rPr>
          <w:strike/>
          <w:sz w:val="24"/>
        </w:rPr>
        <w:t xml:space="preserve">- </w:t>
      </w:r>
      <w:proofErr w:type="gramStart"/>
      <w:r>
        <w:rPr>
          <w:strike/>
          <w:sz w:val="24"/>
        </w:rPr>
        <w:t>nas</w:t>
      </w:r>
      <w:proofErr w:type="gramEnd"/>
      <w:r>
        <w:rPr>
          <w:strike/>
          <w:sz w:val="24"/>
        </w:rPr>
        <w:t xml:space="preserve"> </w:t>
      </w:r>
      <w:r>
        <w:rPr>
          <w:strike/>
          <w:spacing w:val="-3"/>
          <w:sz w:val="24"/>
        </w:rPr>
        <w:t xml:space="preserve">carteiras </w:t>
      </w:r>
      <w:r>
        <w:rPr>
          <w:strike/>
          <w:sz w:val="24"/>
        </w:rPr>
        <w:t xml:space="preserve">de identidade </w:t>
      </w:r>
      <w:r>
        <w:rPr>
          <w:strike/>
          <w:spacing w:val="-3"/>
          <w:sz w:val="24"/>
        </w:rPr>
        <w:t xml:space="preserve">profissional </w:t>
      </w:r>
      <w:r>
        <w:rPr>
          <w:strike/>
          <w:sz w:val="24"/>
        </w:rPr>
        <w:t xml:space="preserve">será </w:t>
      </w:r>
      <w:r>
        <w:rPr>
          <w:strike/>
          <w:spacing w:val="-3"/>
          <w:sz w:val="24"/>
        </w:rPr>
        <w:t xml:space="preserve">consignado </w:t>
      </w:r>
      <w:r>
        <w:rPr>
          <w:strike/>
          <w:sz w:val="24"/>
        </w:rPr>
        <w:t xml:space="preserve">que o registro está sendo </w:t>
      </w:r>
      <w:r>
        <w:rPr>
          <w:strike/>
          <w:spacing w:val="-3"/>
          <w:sz w:val="24"/>
        </w:rPr>
        <w:t xml:space="preserve">concedido </w:t>
      </w:r>
      <w:r>
        <w:rPr>
          <w:strike/>
          <w:spacing w:val="-2"/>
          <w:sz w:val="24"/>
        </w:rPr>
        <w:t xml:space="preserve">com </w:t>
      </w:r>
      <w:r>
        <w:rPr>
          <w:strike/>
          <w:sz w:val="24"/>
        </w:rPr>
        <w:t xml:space="preserve">base </w:t>
      </w:r>
      <w:r>
        <w:rPr>
          <w:strike/>
          <w:spacing w:val="-3"/>
          <w:sz w:val="24"/>
        </w:rPr>
        <w:t>nesta</w:t>
      </w:r>
      <w:r>
        <w:rPr>
          <w:strike/>
          <w:spacing w:val="-11"/>
          <w:sz w:val="24"/>
        </w:rPr>
        <w:t xml:space="preserve"> </w:t>
      </w:r>
      <w:r>
        <w:rPr>
          <w:strike/>
          <w:spacing w:val="-3"/>
          <w:sz w:val="24"/>
        </w:rPr>
        <w:t>Resolução</w:t>
      </w:r>
      <w:r>
        <w:rPr>
          <w:spacing w:val="-3"/>
          <w:sz w:val="24"/>
        </w:rPr>
        <w:t>.</w:t>
      </w:r>
    </w:p>
    <w:p w:rsidR="007E1DBC" w:rsidRDefault="007E1DBC">
      <w:pPr>
        <w:pStyle w:val="PargrafodaLista"/>
        <w:rPr>
          <w:sz w:val="24"/>
          <w:szCs w:val="24"/>
        </w:rPr>
      </w:pPr>
    </w:p>
    <w:p w:rsidR="007E1DBC" w:rsidRDefault="00DA105E">
      <w:pPr>
        <w:pStyle w:val="PargrafodaLista"/>
        <w:tabs>
          <w:tab w:val="left" w:pos="343"/>
        </w:tabs>
        <w:spacing w:before="1"/>
        <w:ind w:right="107"/>
      </w:pPr>
      <w:r>
        <w:rPr>
          <w:sz w:val="24"/>
          <w:szCs w:val="24"/>
        </w:rPr>
        <w:t>Art. 2° O registro de que trata esta Resolução será efetuado na condição de sub judice nos casos em que a origem da demanda seja de determinação judicial.</w:t>
      </w:r>
      <w:r>
        <w:rPr>
          <w:rFonts w:ascii="Arial" w:hAnsi="Arial" w:cs="Arial"/>
          <w:color w:val="474747"/>
          <w:shd w:val="clear" w:color="auto" w:fill="F6F6F6"/>
        </w:rPr>
        <w:t xml:space="preserve"> </w:t>
      </w:r>
      <w:r>
        <w:rPr>
          <w:spacing w:val="-3"/>
          <w:sz w:val="24"/>
          <w:szCs w:val="24"/>
        </w:rPr>
        <w:t>(Redação dada pela Resolução n° 235, de 18 de maio de 2023)</w:t>
      </w:r>
    </w:p>
    <w:p w:rsidR="007E1DBC" w:rsidRDefault="007E1DBC">
      <w:pPr>
        <w:pStyle w:val="PargrafodaLista"/>
        <w:tabs>
          <w:tab w:val="left" w:pos="343"/>
        </w:tabs>
        <w:spacing w:before="1"/>
        <w:ind w:right="107"/>
        <w:rPr>
          <w:rFonts w:ascii="Arial" w:hAnsi="Arial" w:cs="Arial"/>
          <w:color w:val="474747"/>
          <w:shd w:val="clear" w:color="auto" w:fill="F6F6F6"/>
        </w:rPr>
      </w:pPr>
    </w:p>
    <w:p w:rsidR="007E1DBC" w:rsidRDefault="00DA105E">
      <w:pPr>
        <w:pStyle w:val="PargrafodaLista"/>
        <w:tabs>
          <w:tab w:val="left" w:pos="343"/>
        </w:tabs>
        <w:spacing w:before="1"/>
        <w:ind w:right="107"/>
      </w:pPr>
      <w:r>
        <w:rPr>
          <w:sz w:val="24"/>
          <w:szCs w:val="24"/>
        </w:rPr>
        <w:t>Art. 2°-A O registro sub jud</w:t>
      </w:r>
      <w:r>
        <w:rPr>
          <w:sz w:val="24"/>
          <w:szCs w:val="24"/>
        </w:rPr>
        <w:t xml:space="preserve">ice será cancelado ou transformado em registro definitivo, quando a decisão judicial que deu origem ao processo for transitada em julgado. </w:t>
      </w:r>
      <w:r>
        <w:rPr>
          <w:spacing w:val="-3"/>
          <w:sz w:val="24"/>
          <w:szCs w:val="24"/>
        </w:rPr>
        <w:t>(Inserido pela Resolução n° 235, de 18 de maio de 2023)</w:t>
      </w:r>
    </w:p>
    <w:p w:rsidR="007E1DBC" w:rsidRDefault="007E1DBC">
      <w:pPr>
        <w:pStyle w:val="PargrafodaLista"/>
        <w:tabs>
          <w:tab w:val="left" w:pos="343"/>
        </w:tabs>
        <w:spacing w:before="1"/>
        <w:ind w:right="107"/>
        <w:rPr>
          <w:sz w:val="24"/>
          <w:szCs w:val="24"/>
        </w:rPr>
      </w:pPr>
    </w:p>
    <w:p w:rsidR="007E1DBC" w:rsidRDefault="00DA105E">
      <w:pPr>
        <w:pStyle w:val="PargrafodaLista"/>
        <w:tabs>
          <w:tab w:val="left" w:pos="343"/>
        </w:tabs>
        <w:spacing w:before="1"/>
        <w:ind w:right="107"/>
      </w:pPr>
      <w:r>
        <w:rPr>
          <w:sz w:val="24"/>
          <w:szCs w:val="24"/>
        </w:rPr>
        <w:t>Parágrafo único. Em conformidade com o caput deste artigo, o</w:t>
      </w:r>
      <w:r>
        <w:rPr>
          <w:sz w:val="24"/>
          <w:szCs w:val="24"/>
        </w:rPr>
        <w:t xml:space="preserve"> registro de que trata esta Resolução conterá as seguintes ressalvas: </w:t>
      </w:r>
      <w:r>
        <w:rPr>
          <w:spacing w:val="-3"/>
          <w:sz w:val="24"/>
          <w:szCs w:val="24"/>
        </w:rPr>
        <w:t>(Redação dada pela Resolução n° 235, de 18 de maio de 2023)</w:t>
      </w:r>
    </w:p>
    <w:p w:rsidR="007E1DBC" w:rsidRDefault="007E1DBC">
      <w:pPr>
        <w:pStyle w:val="PargrafodaLista"/>
        <w:tabs>
          <w:tab w:val="left" w:pos="343"/>
        </w:tabs>
        <w:spacing w:before="1"/>
        <w:ind w:right="107"/>
        <w:rPr>
          <w:sz w:val="24"/>
          <w:szCs w:val="24"/>
        </w:rPr>
      </w:pPr>
    </w:p>
    <w:p w:rsidR="007E1DBC" w:rsidRDefault="00DA105E">
      <w:pPr>
        <w:pStyle w:val="PargrafodaLista"/>
        <w:tabs>
          <w:tab w:val="left" w:pos="343"/>
        </w:tabs>
        <w:spacing w:before="1"/>
        <w:ind w:right="107"/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processo de registro será anotada a situação sub judice da sua concessão, bem como, consignado que o registro está suj</w:t>
      </w:r>
      <w:r>
        <w:rPr>
          <w:sz w:val="24"/>
          <w:szCs w:val="24"/>
        </w:rPr>
        <w:t xml:space="preserve">eito a mudanças ou cancelamento, quando a decisão judicial que deu origem ao processo for transitada em julgado; </w:t>
      </w:r>
      <w:r>
        <w:rPr>
          <w:spacing w:val="-3"/>
          <w:sz w:val="24"/>
          <w:szCs w:val="24"/>
        </w:rPr>
        <w:t>(Redação dada pela Resolução n° 235, de 18 de maio de 2023)</w:t>
      </w:r>
    </w:p>
    <w:p w:rsidR="007E1DBC" w:rsidRDefault="007E1DBC">
      <w:pPr>
        <w:pStyle w:val="PargrafodaLista"/>
        <w:tabs>
          <w:tab w:val="left" w:pos="343"/>
        </w:tabs>
        <w:spacing w:before="1"/>
        <w:ind w:right="107"/>
        <w:rPr>
          <w:sz w:val="24"/>
          <w:szCs w:val="24"/>
        </w:rPr>
      </w:pPr>
    </w:p>
    <w:p w:rsidR="007E1DBC" w:rsidRDefault="00DA105E">
      <w:pPr>
        <w:pStyle w:val="PargrafodaLista"/>
        <w:tabs>
          <w:tab w:val="left" w:pos="343"/>
        </w:tabs>
        <w:spacing w:before="1"/>
        <w:ind w:right="107"/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carteiras de identidade profissional será consignado que o registro fora </w:t>
      </w:r>
      <w:r>
        <w:rPr>
          <w:sz w:val="24"/>
          <w:szCs w:val="24"/>
        </w:rPr>
        <w:t xml:space="preserve">concedido nos termos desta Resolução. </w:t>
      </w:r>
      <w:r>
        <w:rPr>
          <w:spacing w:val="-3"/>
          <w:sz w:val="24"/>
          <w:szCs w:val="24"/>
        </w:rPr>
        <w:t>(Redação dada pela Resolução n° 235, de 18 de maio de 2023)</w:t>
      </w:r>
    </w:p>
    <w:p w:rsidR="007E1DBC" w:rsidRDefault="007E1DBC">
      <w:pPr>
        <w:pStyle w:val="PargrafodaLista"/>
        <w:tabs>
          <w:tab w:val="left" w:pos="343"/>
        </w:tabs>
        <w:spacing w:before="1"/>
        <w:ind w:right="107"/>
        <w:rPr>
          <w:sz w:val="24"/>
          <w:szCs w:val="24"/>
        </w:rPr>
      </w:pPr>
    </w:p>
    <w:p w:rsidR="007E1DBC" w:rsidRDefault="00DA105E">
      <w:pPr>
        <w:pStyle w:val="Corpodetexto"/>
        <w:ind w:left="102"/>
        <w:jc w:val="both"/>
      </w:pPr>
      <w:r>
        <w:t>Art. 3° Esta Resolução entrará em vigor na data de sua publicação.</w:t>
      </w:r>
    </w:p>
    <w:p w:rsidR="007E1DBC" w:rsidRDefault="007E1DBC">
      <w:pPr>
        <w:pStyle w:val="Corpodetexto"/>
      </w:pPr>
    </w:p>
    <w:p w:rsidR="007E1DBC" w:rsidRDefault="00DA105E">
      <w:pPr>
        <w:pStyle w:val="Corpodetexto"/>
        <w:ind w:left="2627" w:right="2632"/>
        <w:jc w:val="center"/>
      </w:pPr>
      <w:r>
        <w:lastRenderedPageBreak/>
        <w:t>Brasília, 25 de julho de 2014.</w:t>
      </w:r>
    </w:p>
    <w:p w:rsidR="007E1DBC" w:rsidRDefault="007E1DBC">
      <w:pPr>
        <w:pStyle w:val="Corpodetexto"/>
      </w:pPr>
    </w:p>
    <w:p w:rsidR="007E1DBC" w:rsidRDefault="007E1DBC">
      <w:pPr>
        <w:pStyle w:val="Corpodetexto"/>
      </w:pPr>
    </w:p>
    <w:p w:rsidR="007E1DBC" w:rsidRDefault="007E1DBC">
      <w:pPr>
        <w:pStyle w:val="Corpodetexto"/>
        <w:spacing w:before="1"/>
      </w:pPr>
    </w:p>
    <w:p w:rsidR="007E1DBC" w:rsidRDefault="00DA105E">
      <w:pPr>
        <w:pStyle w:val="Ttulo1"/>
        <w:ind w:left="2627" w:right="2636"/>
        <w:jc w:val="center"/>
      </w:pPr>
      <w:r>
        <w:t>HAROLDO PINHEIRO VILAR DE QUEIROZ</w:t>
      </w:r>
    </w:p>
    <w:p w:rsidR="007E1DBC" w:rsidRDefault="00DA105E">
      <w:pPr>
        <w:pStyle w:val="Corpodetexto"/>
        <w:ind w:left="2627" w:right="2635"/>
        <w:jc w:val="center"/>
      </w:pPr>
      <w:r>
        <w:t>Presidente do CAU/BR</w:t>
      </w:r>
    </w:p>
    <w:p w:rsidR="007E1DBC" w:rsidRDefault="00DA105E">
      <w:pPr>
        <w:pStyle w:val="Corpodetexto"/>
        <w:ind w:left="102" w:right="105"/>
        <w:jc w:val="both"/>
      </w:pPr>
      <w:r>
        <w:t>(Publicada no Diário Oficial da União, Edição n° 148, Seção 1, de 5 de agosto de 2014. Referendada pelo Plenário do CAU/BR na 33ª Reunião Plenária Ordinária, realizada nos dias 14 e 15 de agosto de 2014)</w:t>
      </w:r>
    </w:p>
    <w:sectPr w:rsidR="007E1DBC">
      <w:footerReference w:type="default" r:id="rId8"/>
      <w:pgSz w:w="11900" w:h="16850"/>
      <w:pgMar w:top="1540" w:right="1020" w:bottom="11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5E" w:rsidRDefault="00DA105E">
      <w:r>
        <w:separator/>
      </w:r>
    </w:p>
  </w:endnote>
  <w:endnote w:type="continuationSeparator" w:id="0">
    <w:p w:rsidR="00DA105E" w:rsidRDefault="00DA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75" w:rsidRDefault="00DA105E">
    <w:pPr>
      <w:pStyle w:val="Corpodetexto"/>
      <w:spacing w:line="12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1287776</wp:posOffset>
              </wp:positionH>
              <wp:positionV relativeFrom="page">
                <wp:posOffset>9946642</wp:posOffset>
              </wp:positionV>
              <wp:extent cx="5342894" cy="388620"/>
              <wp:effectExtent l="0" t="0" r="10156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2894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7375" w:rsidRDefault="00DA105E">
                          <w:pPr>
                            <w:spacing w:before="12"/>
                            <w:ind w:left="20"/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>SCS Quadra 2, Bloco C, Entrada 22, Edifício Serra Dourada, Salas 401/409 – CEP 70300-902</w:t>
                          </w:r>
                        </w:p>
                        <w:p w:rsidR="00887375" w:rsidRDefault="00DA105E">
                          <w:pPr>
                            <w:spacing w:before="121"/>
                            <w:ind w:left="836"/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Brasília, Distrito Federal | </w:t>
                          </w:r>
                          <w:hyperlink r:id="rId1" w:history="1">
                            <w:r>
                              <w:t xml:space="preserve">www.caubr.gov.br </w:t>
                            </w:r>
                          </w:hyperlink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– </w:t>
                          </w:r>
                          <w:hyperlink r:id="rId2" w:history="1">
                            <w:r>
                              <w:t>atendimento@caubr.gov.br</w:t>
                            </w:r>
                          </w:hyperlink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4pt;margin-top:783.2pt;width:420.7pt;height:30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" filled="f" stroked="f">
              <v:textbox inset="0,0,0,0">
                <w:txbxContent>
                  <w:p w:rsidR="00887375" w:rsidRDefault="00DA105E">
                    <w:pPr>
                      <w:spacing w:before="12"/>
                      <w:ind w:left="20"/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>SCS Quadra 2, Bloco C, Entrada 22, Edifício Serra Dourada, Salas 401/409 – CEP 70300-902</w:t>
                    </w:r>
                  </w:p>
                  <w:p w:rsidR="00887375" w:rsidRDefault="00DA105E">
                    <w:pPr>
                      <w:spacing w:before="121"/>
                      <w:ind w:left="836"/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Brasília, Distrito Federal | </w:t>
                    </w:r>
                    <w:hyperlink r:id="rId3" w:history="1">
                      <w:r>
                        <w:t xml:space="preserve">www.caubr.gov.br </w:t>
                      </w:r>
                    </w:hyperlink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– </w:t>
                    </w:r>
                    <w:hyperlink r:id="rId4" w:history="1">
                      <w:r>
                        <w:t>atendimento@caubr.gov.br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5E" w:rsidRDefault="00DA105E">
      <w:r>
        <w:rPr>
          <w:color w:val="000000"/>
        </w:rPr>
        <w:separator/>
      </w:r>
    </w:p>
  </w:footnote>
  <w:footnote w:type="continuationSeparator" w:id="0">
    <w:p w:rsidR="00DA105E" w:rsidRDefault="00DA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C16"/>
    <w:multiLevelType w:val="multilevel"/>
    <w:tmpl w:val="53CAE606"/>
    <w:lvl w:ilvl="0">
      <w:start w:val="1"/>
      <w:numFmt w:val="upperRoman"/>
      <w:lvlText w:val="%1"/>
      <w:lvlJc w:val="left"/>
      <w:pPr>
        <w:ind w:left="102" w:hanging="137"/>
      </w:pPr>
      <w:rPr>
        <w:rFonts w:ascii="Calibri" w:eastAsia="Calibri" w:hAnsi="Calibri" w:cs="Calibri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017" w:hanging="137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935" w:hanging="13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853" w:hanging="13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771" w:hanging="13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689" w:hanging="13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07" w:hanging="13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25" w:hanging="13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43" w:hanging="137"/>
      </w:pPr>
      <w:rPr>
        <w:lang w:val="pt-BR" w:eastAsia="pt-BR" w:bidi="pt-BR"/>
      </w:rPr>
    </w:lvl>
  </w:abstractNum>
  <w:abstractNum w:abstractNumId="1" w15:restartNumberingAfterBreak="0">
    <w:nsid w:val="3DEC3F39"/>
    <w:multiLevelType w:val="multilevel"/>
    <w:tmpl w:val="70260206"/>
    <w:lvl w:ilvl="0">
      <w:start w:val="1"/>
      <w:numFmt w:val="upperRoman"/>
      <w:lvlText w:val="%1"/>
      <w:lvlJc w:val="left"/>
      <w:pPr>
        <w:ind w:left="217" w:hanging="116"/>
      </w:pPr>
      <w:rPr>
        <w:rFonts w:ascii="Calibri" w:eastAsia="Calibri" w:hAnsi="Calibri" w:cs="Calibri"/>
        <w:spacing w:val="-3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125" w:hanging="116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2031" w:hanging="116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937" w:hanging="116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843" w:hanging="116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749" w:hanging="116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55" w:hanging="116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61" w:hanging="116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67" w:hanging="116"/>
      </w:pPr>
      <w:rPr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1DBC"/>
    <w:rsid w:val="00785910"/>
    <w:rsid w:val="007E1DBC"/>
    <w:rsid w:val="00D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2D61B-3E78-4D04-9C5A-A1D7DB2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Calibri"/>
      <w:lang w:val="pt-BR" w:eastAsia="pt-BR" w:bidi="pt-BR"/>
    </w:rPr>
  </w:style>
  <w:style w:type="paragraph" w:styleId="Ttulo1">
    <w:name w:val="heading 1"/>
    <w:basedOn w:val="Normal"/>
    <w:pPr>
      <w:spacing w:before="1"/>
      <w:ind w:left="24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pPr>
      <w:ind w:left="102"/>
      <w:jc w:val="both"/>
    </w:pPr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pPr>
      <w:widowControl/>
      <w:suppressAutoHyphens w:val="0"/>
      <w:autoSpaceDE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rFonts w:cs="Calibri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br.gov.br/" TargetMode="External"/><Relationship Id="rId2" Type="http://schemas.openxmlformats.org/officeDocument/2006/relationships/hyperlink" Target="mailto:atendimento@caubr.gov.br" TargetMode="External"/><Relationship Id="rId1" Type="http://schemas.openxmlformats.org/officeDocument/2006/relationships/hyperlink" Target="http://www.caubr.gov.br/" TargetMode="External"/><Relationship Id="rId4" Type="http://schemas.openxmlformats.org/officeDocument/2006/relationships/hyperlink" Target="mailto:atendimento@caubr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Guilherme Almeida Dias</cp:lastModifiedBy>
  <cp:revision>2</cp:revision>
  <dcterms:created xsi:type="dcterms:W3CDTF">2023-12-13T16:04:00Z</dcterms:created>
  <dcterms:modified xsi:type="dcterms:W3CDTF">2023-12-13T16:04:00Z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