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5729" w14:textId="228D6848" w:rsidR="00601AC2" w:rsidRPr="00EB4854" w:rsidRDefault="00601AC2" w:rsidP="00BC0885">
      <w:pPr>
        <w:pStyle w:val="NormalWeb"/>
        <w:spacing w:beforeLines="0" w:afterLines="0"/>
        <w:jc w:val="center"/>
        <w:rPr>
          <w:rFonts w:ascii="Times New Roman" w:hAnsi="Times New Roman"/>
          <w:b/>
          <w:sz w:val="22"/>
          <w:szCs w:val="22"/>
        </w:rPr>
      </w:pPr>
      <w:r w:rsidRPr="00F45716">
        <w:rPr>
          <w:rFonts w:ascii="Times New Roman" w:hAnsi="Times New Roman"/>
          <w:b/>
          <w:sz w:val="22"/>
          <w:szCs w:val="22"/>
        </w:rPr>
        <w:t>RESOLUÇÃO N</w:t>
      </w:r>
      <w:r w:rsidRPr="00EB4854">
        <w:rPr>
          <w:rFonts w:ascii="Times New Roman" w:hAnsi="Times New Roman"/>
          <w:b/>
          <w:sz w:val="22"/>
          <w:szCs w:val="22"/>
        </w:rPr>
        <w:t>° 2</w:t>
      </w:r>
      <w:r w:rsidR="009E5E82" w:rsidRPr="00EB4854">
        <w:rPr>
          <w:rFonts w:ascii="Times New Roman" w:hAnsi="Times New Roman"/>
          <w:b/>
          <w:sz w:val="22"/>
          <w:szCs w:val="22"/>
        </w:rPr>
        <w:t>3</w:t>
      </w:r>
      <w:r w:rsidR="005B6048" w:rsidRPr="00EB4854">
        <w:rPr>
          <w:rFonts w:ascii="Times New Roman" w:hAnsi="Times New Roman"/>
          <w:b/>
          <w:sz w:val="22"/>
          <w:szCs w:val="22"/>
        </w:rPr>
        <w:t>9</w:t>
      </w:r>
      <w:r w:rsidRPr="00EB4854">
        <w:rPr>
          <w:rFonts w:ascii="Times New Roman" w:hAnsi="Times New Roman"/>
          <w:b/>
          <w:sz w:val="22"/>
          <w:szCs w:val="22"/>
        </w:rPr>
        <w:t xml:space="preserve">, DE </w:t>
      </w:r>
      <w:r w:rsidR="00773437" w:rsidRPr="00EB4854">
        <w:rPr>
          <w:rFonts w:ascii="Times New Roman" w:hAnsi="Times New Roman"/>
          <w:b/>
          <w:sz w:val="22"/>
          <w:szCs w:val="22"/>
        </w:rPr>
        <w:t>6</w:t>
      </w:r>
      <w:r w:rsidRPr="00EB4854">
        <w:rPr>
          <w:rFonts w:ascii="Times New Roman" w:hAnsi="Times New Roman"/>
          <w:b/>
          <w:sz w:val="22"/>
          <w:szCs w:val="22"/>
        </w:rPr>
        <w:t xml:space="preserve"> DE</w:t>
      </w:r>
      <w:r w:rsidR="009E5E82" w:rsidRPr="00EB4854">
        <w:rPr>
          <w:rFonts w:ascii="Times New Roman" w:hAnsi="Times New Roman"/>
          <w:b/>
          <w:sz w:val="22"/>
          <w:szCs w:val="22"/>
        </w:rPr>
        <w:t xml:space="preserve"> SETEMBRO</w:t>
      </w:r>
      <w:r w:rsidRPr="00EB4854">
        <w:rPr>
          <w:rFonts w:ascii="Times New Roman" w:hAnsi="Times New Roman"/>
          <w:b/>
          <w:sz w:val="22"/>
          <w:szCs w:val="22"/>
        </w:rPr>
        <w:t xml:space="preserve"> DE 202</w:t>
      </w:r>
      <w:r w:rsidR="009E5E82" w:rsidRPr="00EB4854">
        <w:rPr>
          <w:rFonts w:ascii="Times New Roman" w:hAnsi="Times New Roman"/>
          <w:b/>
          <w:sz w:val="22"/>
          <w:szCs w:val="22"/>
        </w:rPr>
        <w:t>3</w:t>
      </w:r>
    </w:p>
    <w:p w14:paraId="24359ED5" w14:textId="77777777" w:rsidR="00601AC2" w:rsidRPr="00EB4854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 </w:t>
      </w:r>
    </w:p>
    <w:p w14:paraId="2578CB9A" w14:textId="08DD2519" w:rsidR="00635191" w:rsidRPr="00EB4854" w:rsidRDefault="00635191" w:rsidP="00F7069F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Altera</w:t>
      </w:r>
      <w:r w:rsidRPr="00EB4854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Pr="00EB4854">
        <w:rPr>
          <w:rFonts w:ascii="Times New Roman" w:eastAsia="Times New Roman" w:hAnsi="Times New Roman"/>
          <w:i/>
          <w:sz w:val="22"/>
          <w:szCs w:val="22"/>
          <w:lang w:eastAsia="pt-BR"/>
        </w:rPr>
        <w:t xml:space="preserve">ad referendum </w:t>
      </w:r>
      <w:r w:rsidRPr="00EB4854">
        <w:rPr>
          <w:rFonts w:ascii="Times New Roman" w:eastAsia="Times New Roman" w:hAnsi="Times New Roman"/>
          <w:sz w:val="22"/>
          <w:szCs w:val="22"/>
          <w:lang w:eastAsia="pt-BR"/>
        </w:rPr>
        <w:t>do Plenário do CAU/BR,</w:t>
      </w:r>
      <w:r w:rsidRPr="00EB4854">
        <w:rPr>
          <w:rFonts w:ascii="Times New Roman" w:hAnsi="Times New Roman"/>
          <w:bCs/>
          <w:sz w:val="22"/>
          <w:szCs w:val="22"/>
        </w:rPr>
        <w:t xml:space="preserve"> a cláusula de vigência da Resolução CAU/BR n° 224, de 23 de setembro de 2022, que altera a Resolução CAU/BR nº 143, de 23 de junho de 2017, que “Dispõe sobre as normas para condução do processo ético-disciplinar no âmbito dos Conselhos de Arquitetura e Urbanismo dos Estados e do Distrito Federal (CAU/UF) e do Conselho de Arquitetura e Urbanismo do Brasil (CAU/BR), para aplicação e execução das sanções de mesma natureza, para o pedido de revisão e para a reabilitação profissional, e dá outras providências”.</w:t>
      </w:r>
    </w:p>
    <w:p w14:paraId="478B4A58" w14:textId="77777777" w:rsidR="00635191" w:rsidRPr="00EB4854" w:rsidRDefault="00635191" w:rsidP="00F7069F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</w:p>
    <w:p w14:paraId="518D6A0F" w14:textId="77777777" w:rsidR="00601AC2" w:rsidRPr="00EB4854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 </w:t>
      </w:r>
    </w:p>
    <w:p w14:paraId="392AAA47" w14:textId="782C9F3A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 </w:t>
      </w:r>
      <w:r w:rsidRPr="00EB4854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</w:rPr>
        <w:t>Ad Referendum 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n° </w:t>
      </w:r>
      <w:r w:rsidR="00634AC8"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4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863128"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3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, de </w:t>
      </w:r>
      <w:r w:rsidR="00FF6E2D"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6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de </w:t>
      </w:r>
      <w:r w:rsidR="00863128"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setembro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de 202</w:t>
      </w:r>
      <w:r w:rsidR="00863128"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3</w:t>
      </w:r>
      <w:r w:rsidRPr="00EB4854">
        <w:rPr>
          <w:rFonts w:ascii="Times New Roman" w:hAnsi="Times New Roman"/>
          <w:bCs/>
          <w:sz w:val="22"/>
          <w:szCs w:val="22"/>
          <w:shd w:val="clear" w:color="auto" w:fill="FFFFFF"/>
        </w:rPr>
        <w:t>, adotada na mesma data pela Presidente do CAU/BR;</w:t>
      </w:r>
    </w:p>
    <w:p w14:paraId="34D32C14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44EBD48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RESOLVE:</w:t>
      </w:r>
    </w:p>
    <w:p w14:paraId="7BC0279A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6E9045E8" w14:textId="51DC3FCE" w:rsidR="00684C09" w:rsidRPr="00684C09" w:rsidRDefault="00684C09" w:rsidP="00684C09">
      <w:pPr>
        <w:jc w:val="both"/>
        <w:rPr>
          <w:rFonts w:ascii="Times New Roman" w:hAnsi="Times New Roman"/>
          <w:bCs/>
          <w:sz w:val="22"/>
          <w:szCs w:val="22"/>
        </w:rPr>
      </w:pPr>
      <w:r w:rsidRPr="00684C09">
        <w:rPr>
          <w:rFonts w:ascii="Times New Roman" w:hAnsi="Times New Roman"/>
          <w:bCs/>
          <w:sz w:val="22"/>
          <w:szCs w:val="22"/>
        </w:rPr>
        <w:t xml:space="preserve">Art. 1° A Resolução CAU/BR n° 224, de 23 de setembro de 2022, publicada no Diário Oficial da União, Edição n° 213, Seção 1, Páginas 212 a 218, de 10 de novembro de 2022, </w:t>
      </w:r>
      <w:r w:rsidR="00A52545">
        <w:rPr>
          <w:rFonts w:ascii="Times New Roman" w:hAnsi="Times New Roman"/>
          <w:bCs/>
          <w:sz w:val="22"/>
          <w:szCs w:val="22"/>
        </w:rPr>
        <w:t xml:space="preserve">alterada pela </w:t>
      </w:r>
      <w:r w:rsidR="00A52545" w:rsidRPr="00A52545">
        <w:rPr>
          <w:rFonts w:ascii="Times New Roman" w:hAnsi="Times New Roman"/>
          <w:bCs/>
          <w:sz w:val="22"/>
          <w:szCs w:val="22"/>
        </w:rPr>
        <w:t>Resolução CAU/BR n° 232, de 25 de janeiro de</w:t>
      </w:r>
      <w:r w:rsidR="005C240E">
        <w:rPr>
          <w:rFonts w:ascii="Times New Roman" w:hAnsi="Times New Roman"/>
          <w:bCs/>
          <w:sz w:val="22"/>
          <w:szCs w:val="22"/>
        </w:rPr>
        <w:t xml:space="preserve"> </w:t>
      </w:r>
      <w:r w:rsidR="00A52545" w:rsidRPr="00A52545">
        <w:rPr>
          <w:rFonts w:ascii="Times New Roman" w:hAnsi="Times New Roman"/>
          <w:bCs/>
          <w:sz w:val="22"/>
          <w:szCs w:val="22"/>
        </w:rPr>
        <w:t>2023, publicada no Diário Oficial da União, Edição nº 26, Seção 1, Página 200, de 6 de fevereiro de 2023</w:t>
      </w:r>
      <w:r w:rsidR="00A52545">
        <w:rPr>
          <w:rFonts w:ascii="Times New Roman" w:hAnsi="Times New Roman"/>
          <w:bCs/>
          <w:sz w:val="22"/>
          <w:szCs w:val="22"/>
        </w:rPr>
        <w:t xml:space="preserve">, alterada pela </w:t>
      </w:r>
      <w:r w:rsidR="00DA063D" w:rsidRPr="00D23C66">
        <w:rPr>
          <w:rFonts w:ascii="Times New Roman" w:hAnsi="Times New Roman"/>
          <w:bCs/>
          <w:sz w:val="22"/>
          <w:szCs w:val="22"/>
        </w:rPr>
        <w:t xml:space="preserve">Resolução </w:t>
      </w:r>
      <w:r w:rsidR="00DA063D">
        <w:rPr>
          <w:rFonts w:ascii="Times New Roman" w:hAnsi="Times New Roman"/>
          <w:bCs/>
          <w:sz w:val="22"/>
          <w:szCs w:val="22"/>
        </w:rPr>
        <w:t>n</w:t>
      </w:r>
      <w:r w:rsidR="00D23C66" w:rsidRPr="00D23C66">
        <w:rPr>
          <w:rFonts w:ascii="Times New Roman" w:hAnsi="Times New Roman"/>
          <w:bCs/>
          <w:sz w:val="22"/>
          <w:szCs w:val="22"/>
        </w:rPr>
        <w:t xml:space="preserve">º 233, </w:t>
      </w:r>
      <w:r w:rsidR="00DA063D" w:rsidRPr="00D23C66">
        <w:rPr>
          <w:rFonts w:ascii="Times New Roman" w:hAnsi="Times New Roman"/>
          <w:bCs/>
          <w:sz w:val="22"/>
          <w:szCs w:val="22"/>
        </w:rPr>
        <w:t xml:space="preserve">de 18 de maio de </w:t>
      </w:r>
      <w:r w:rsidR="00D23C66" w:rsidRPr="00D23C66">
        <w:rPr>
          <w:rFonts w:ascii="Times New Roman" w:hAnsi="Times New Roman"/>
          <w:bCs/>
          <w:sz w:val="22"/>
          <w:szCs w:val="22"/>
        </w:rPr>
        <w:t>2023</w:t>
      </w:r>
      <w:r w:rsidR="00D23C66">
        <w:rPr>
          <w:rFonts w:ascii="Times New Roman" w:hAnsi="Times New Roman"/>
          <w:bCs/>
          <w:sz w:val="22"/>
          <w:szCs w:val="22"/>
        </w:rPr>
        <w:t xml:space="preserve">, </w:t>
      </w:r>
      <w:r w:rsidR="005B4773">
        <w:rPr>
          <w:rFonts w:ascii="Times New Roman" w:hAnsi="Times New Roman"/>
          <w:bCs/>
          <w:sz w:val="22"/>
          <w:szCs w:val="22"/>
        </w:rPr>
        <w:t>p</w:t>
      </w:r>
      <w:r w:rsidR="00D23C66" w:rsidRPr="00D23C66">
        <w:rPr>
          <w:rFonts w:ascii="Times New Roman" w:hAnsi="Times New Roman"/>
          <w:bCs/>
          <w:sz w:val="22"/>
          <w:szCs w:val="22"/>
        </w:rPr>
        <w:t>ublicada no Diário Oficial da União, Edição nº 102, Seção 1, Página 124, de 30 de maio de 2023</w:t>
      </w:r>
      <w:r w:rsidR="005B4773">
        <w:rPr>
          <w:rFonts w:ascii="Times New Roman" w:hAnsi="Times New Roman"/>
          <w:bCs/>
          <w:sz w:val="22"/>
          <w:szCs w:val="22"/>
        </w:rPr>
        <w:t xml:space="preserve">, </w:t>
      </w:r>
      <w:r w:rsidRPr="00684C09">
        <w:rPr>
          <w:rFonts w:ascii="Times New Roman" w:hAnsi="Times New Roman"/>
          <w:bCs/>
          <w:sz w:val="22"/>
          <w:szCs w:val="22"/>
        </w:rPr>
        <w:t>passa a vigorar com a seguinte alteração:</w:t>
      </w:r>
    </w:p>
    <w:p w14:paraId="2FD6C29A" w14:textId="77777777" w:rsidR="00684C09" w:rsidRPr="00684C09" w:rsidRDefault="00684C09" w:rsidP="00684C09">
      <w:pPr>
        <w:ind w:left="1440"/>
        <w:jc w:val="both"/>
        <w:rPr>
          <w:rFonts w:ascii="Times New Roman" w:hAnsi="Times New Roman"/>
          <w:bCs/>
          <w:sz w:val="22"/>
          <w:szCs w:val="22"/>
        </w:rPr>
      </w:pPr>
    </w:p>
    <w:p w14:paraId="3AAD0C2E" w14:textId="77777777" w:rsidR="00903DA8" w:rsidRPr="00903DA8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903DA8">
        <w:rPr>
          <w:rFonts w:ascii="Times New Roman" w:hAnsi="Times New Roman"/>
          <w:bCs/>
          <w:sz w:val="22"/>
          <w:szCs w:val="22"/>
        </w:rPr>
        <w:t>“Art. 5º (…)</w:t>
      </w:r>
    </w:p>
    <w:p w14:paraId="551C9CDC" w14:textId="77777777" w:rsidR="00903DA8" w:rsidRPr="00903DA8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45BA754B" w14:textId="77777777" w:rsidR="00903DA8" w:rsidRPr="00903DA8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903DA8">
        <w:rPr>
          <w:rFonts w:ascii="Times New Roman" w:hAnsi="Times New Roman"/>
          <w:bCs/>
          <w:sz w:val="22"/>
          <w:szCs w:val="22"/>
        </w:rPr>
        <w:t>(…)</w:t>
      </w:r>
    </w:p>
    <w:p w14:paraId="3C1BA17F" w14:textId="77777777" w:rsidR="00903DA8" w:rsidRPr="00903DA8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0B0F5F34" w14:textId="4F180998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 xml:space="preserve">II – quanto às demais alterações promovidas pelo art. 1º, em </w:t>
      </w:r>
      <w:r w:rsidR="00C357DC" w:rsidRPr="00EB4854">
        <w:rPr>
          <w:rFonts w:ascii="Times New Roman" w:hAnsi="Times New Roman"/>
          <w:bCs/>
          <w:sz w:val="22"/>
          <w:szCs w:val="22"/>
        </w:rPr>
        <w:t>11</w:t>
      </w:r>
      <w:r w:rsidRPr="00EB4854">
        <w:rPr>
          <w:rFonts w:ascii="Times New Roman" w:hAnsi="Times New Roman"/>
          <w:bCs/>
          <w:sz w:val="22"/>
          <w:szCs w:val="22"/>
        </w:rPr>
        <w:t xml:space="preserve"> de </w:t>
      </w:r>
      <w:r w:rsidR="00921B9F" w:rsidRPr="00EB4854">
        <w:rPr>
          <w:rFonts w:ascii="Times New Roman" w:hAnsi="Times New Roman"/>
          <w:bCs/>
          <w:sz w:val="22"/>
          <w:szCs w:val="22"/>
        </w:rPr>
        <w:t>setembro</w:t>
      </w:r>
      <w:r w:rsidRPr="00EB4854">
        <w:rPr>
          <w:rFonts w:ascii="Times New Roman" w:hAnsi="Times New Roman"/>
          <w:bCs/>
          <w:sz w:val="22"/>
          <w:szCs w:val="22"/>
        </w:rPr>
        <w:t xml:space="preserve"> de 2023;</w:t>
      </w:r>
    </w:p>
    <w:p w14:paraId="19A05718" w14:textId="77777777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3739F4E8" w14:textId="2A6154B2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 xml:space="preserve">III – quanto ao art. 2º, em </w:t>
      </w:r>
      <w:r w:rsidR="00C357DC" w:rsidRPr="00EB4854">
        <w:rPr>
          <w:rFonts w:ascii="Times New Roman" w:hAnsi="Times New Roman"/>
          <w:bCs/>
          <w:sz w:val="22"/>
          <w:szCs w:val="22"/>
        </w:rPr>
        <w:t>11</w:t>
      </w:r>
      <w:r w:rsidRPr="00EB4854">
        <w:rPr>
          <w:rFonts w:ascii="Times New Roman" w:hAnsi="Times New Roman"/>
          <w:bCs/>
          <w:sz w:val="22"/>
          <w:szCs w:val="22"/>
        </w:rPr>
        <w:t xml:space="preserve"> de </w:t>
      </w:r>
      <w:r w:rsidR="00921B9F" w:rsidRPr="00EB4854">
        <w:rPr>
          <w:rFonts w:ascii="Times New Roman" w:hAnsi="Times New Roman"/>
          <w:bCs/>
          <w:sz w:val="22"/>
          <w:szCs w:val="22"/>
        </w:rPr>
        <w:t>setembro</w:t>
      </w:r>
      <w:r w:rsidRPr="00EB4854">
        <w:rPr>
          <w:rFonts w:ascii="Times New Roman" w:hAnsi="Times New Roman"/>
          <w:bCs/>
          <w:sz w:val="22"/>
          <w:szCs w:val="22"/>
        </w:rPr>
        <w:t xml:space="preserve"> de 2023;</w:t>
      </w:r>
    </w:p>
    <w:p w14:paraId="68B124AE" w14:textId="77777777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6ED9210B" w14:textId="77777777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(…)</w:t>
      </w:r>
    </w:p>
    <w:p w14:paraId="03400F4F" w14:textId="77777777" w:rsidR="00903DA8" w:rsidRPr="00EB4854" w:rsidRDefault="00903DA8" w:rsidP="00903DA8">
      <w:pPr>
        <w:pStyle w:val="NormalWeb"/>
        <w:spacing w:before="2" w:after="2"/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2A2DD4AD" w14:textId="6EFA2873" w:rsidR="00903DA8" w:rsidRPr="00EB4854" w:rsidRDefault="00903DA8" w:rsidP="00903DA8">
      <w:pPr>
        <w:pStyle w:val="NormalWeb"/>
        <w:spacing w:beforeLines="0" w:afterLines="0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 xml:space="preserve">VI – quanto aos demais incisos do art. 4º, em </w:t>
      </w:r>
      <w:r w:rsidR="00C357DC" w:rsidRPr="00EB4854">
        <w:rPr>
          <w:rFonts w:ascii="Times New Roman" w:hAnsi="Times New Roman"/>
          <w:bCs/>
          <w:sz w:val="22"/>
          <w:szCs w:val="22"/>
        </w:rPr>
        <w:t>11</w:t>
      </w:r>
      <w:r w:rsidRPr="00EB4854">
        <w:rPr>
          <w:rFonts w:ascii="Times New Roman" w:hAnsi="Times New Roman"/>
          <w:bCs/>
          <w:sz w:val="22"/>
          <w:szCs w:val="22"/>
        </w:rPr>
        <w:t xml:space="preserve"> de </w:t>
      </w:r>
      <w:r w:rsidR="00921B9F" w:rsidRPr="00EB4854">
        <w:rPr>
          <w:rFonts w:ascii="Times New Roman" w:hAnsi="Times New Roman"/>
          <w:bCs/>
          <w:sz w:val="22"/>
          <w:szCs w:val="22"/>
        </w:rPr>
        <w:t>setembro</w:t>
      </w:r>
      <w:r w:rsidRPr="00EB4854">
        <w:rPr>
          <w:rFonts w:ascii="Times New Roman" w:hAnsi="Times New Roman"/>
          <w:bCs/>
          <w:sz w:val="22"/>
          <w:szCs w:val="22"/>
        </w:rPr>
        <w:t xml:space="preserve"> de 2023.”</w:t>
      </w:r>
    </w:p>
    <w:p w14:paraId="56E1AD79" w14:textId="77777777" w:rsidR="00903DA8" w:rsidRPr="00EB4854" w:rsidRDefault="00903DA8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</w:p>
    <w:p w14:paraId="7850087B" w14:textId="77777777" w:rsidR="00903DA8" w:rsidRPr="00EB4854" w:rsidRDefault="00903DA8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</w:p>
    <w:p w14:paraId="79857F45" w14:textId="2AC8E6EE" w:rsidR="00601AC2" w:rsidRPr="00EB4854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Art. 2° Esta Resolução entra em vigor na d</w:t>
      </w:r>
      <w:bookmarkStart w:id="0" w:name="_GoBack"/>
      <w:bookmarkEnd w:id="0"/>
      <w:r w:rsidRPr="00EB4854">
        <w:rPr>
          <w:rFonts w:ascii="Times New Roman" w:hAnsi="Times New Roman"/>
          <w:bCs/>
          <w:sz w:val="22"/>
          <w:szCs w:val="22"/>
        </w:rPr>
        <w:t>ata de sua publicação</w:t>
      </w:r>
      <w:r w:rsidR="00F450D0" w:rsidRPr="00EB4854">
        <w:rPr>
          <w:rFonts w:ascii="Times New Roman" w:hAnsi="Times New Roman"/>
          <w:bCs/>
          <w:sz w:val="22"/>
          <w:szCs w:val="22"/>
        </w:rPr>
        <w:t>.</w:t>
      </w:r>
    </w:p>
    <w:p w14:paraId="117060CC" w14:textId="77777777" w:rsidR="00601AC2" w:rsidRPr="00EB4854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 </w:t>
      </w:r>
    </w:p>
    <w:p w14:paraId="37282AC6" w14:textId="4E6718FA" w:rsidR="00601AC2" w:rsidRPr="00EB4854" w:rsidRDefault="00601AC2" w:rsidP="00373CC4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 xml:space="preserve">Brasília, </w:t>
      </w:r>
      <w:r w:rsidR="00FF6E2D" w:rsidRPr="00EB4854">
        <w:rPr>
          <w:rFonts w:ascii="Times New Roman" w:hAnsi="Times New Roman"/>
          <w:bCs/>
          <w:sz w:val="22"/>
          <w:szCs w:val="22"/>
        </w:rPr>
        <w:t>6</w:t>
      </w:r>
      <w:r w:rsidRPr="00EB4854">
        <w:rPr>
          <w:rFonts w:ascii="Times New Roman" w:hAnsi="Times New Roman"/>
          <w:bCs/>
          <w:sz w:val="22"/>
          <w:szCs w:val="22"/>
        </w:rPr>
        <w:t xml:space="preserve"> de </w:t>
      </w:r>
      <w:r w:rsidR="005C0EB6" w:rsidRPr="00EB4854">
        <w:rPr>
          <w:rFonts w:ascii="Times New Roman" w:hAnsi="Times New Roman"/>
          <w:bCs/>
          <w:sz w:val="22"/>
          <w:szCs w:val="22"/>
        </w:rPr>
        <w:t>setembro</w:t>
      </w:r>
      <w:r w:rsidR="00F450D0" w:rsidRPr="00EB4854">
        <w:rPr>
          <w:rFonts w:ascii="Times New Roman" w:hAnsi="Times New Roman"/>
          <w:bCs/>
          <w:sz w:val="22"/>
          <w:szCs w:val="22"/>
        </w:rPr>
        <w:t xml:space="preserve"> </w:t>
      </w:r>
      <w:r w:rsidRPr="00EB4854">
        <w:rPr>
          <w:rFonts w:ascii="Times New Roman" w:hAnsi="Times New Roman"/>
          <w:bCs/>
          <w:sz w:val="22"/>
          <w:szCs w:val="22"/>
        </w:rPr>
        <w:t>de 202</w:t>
      </w:r>
      <w:r w:rsidR="005C0EB6" w:rsidRPr="00EB4854">
        <w:rPr>
          <w:rFonts w:ascii="Times New Roman" w:hAnsi="Times New Roman"/>
          <w:bCs/>
          <w:sz w:val="22"/>
          <w:szCs w:val="22"/>
        </w:rPr>
        <w:t>3</w:t>
      </w:r>
      <w:r w:rsidRPr="00EB4854">
        <w:rPr>
          <w:rFonts w:ascii="Times New Roman" w:hAnsi="Times New Roman"/>
          <w:bCs/>
          <w:sz w:val="22"/>
          <w:szCs w:val="22"/>
        </w:rPr>
        <w:t>.</w:t>
      </w:r>
    </w:p>
    <w:p w14:paraId="1AFDCE11" w14:textId="77777777" w:rsidR="00601AC2" w:rsidRPr="00EB4854" w:rsidRDefault="00601AC2" w:rsidP="00C6054A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0F654AA1" w14:textId="77777777" w:rsidR="00637952" w:rsidRPr="00EB4854" w:rsidRDefault="00637952" w:rsidP="00C6054A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2364BD70" w14:textId="77777777" w:rsidR="00174DFF" w:rsidRPr="00EB4854" w:rsidRDefault="00174DFF" w:rsidP="00C6054A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15D71761" w14:textId="77777777" w:rsidR="00601AC2" w:rsidRPr="00EB4854" w:rsidRDefault="00601AC2" w:rsidP="00C6054A">
      <w:pPr>
        <w:pStyle w:val="NormalWeb"/>
        <w:spacing w:beforeLines="0" w:afterLines="0"/>
        <w:jc w:val="center"/>
        <w:rPr>
          <w:rFonts w:ascii="Times New Roman" w:hAnsi="Times New Roman"/>
          <w:sz w:val="22"/>
          <w:szCs w:val="22"/>
        </w:rPr>
      </w:pPr>
      <w:r w:rsidRPr="00EB4854">
        <w:rPr>
          <w:rStyle w:val="Forte"/>
          <w:rFonts w:ascii="Times New Roman" w:hAnsi="Times New Roman"/>
          <w:sz w:val="22"/>
          <w:szCs w:val="22"/>
        </w:rPr>
        <w:t>NADIA SOMEKH</w:t>
      </w:r>
    </w:p>
    <w:p w14:paraId="67767D02" w14:textId="0378859B" w:rsidR="0024612C" w:rsidRDefault="00601AC2" w:rsidP="00373CC4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  <w:r w:rsidRPr="00EB4854">
        <w:rPr>
          <w:rFonts w:ascii="Times New Roman" w:hAnsi="Times New Roman"/>
          <w:bCs/>
          <w:sz w:val="22"/>
          <w:szCs w:val="22"/>
        </w:rPr>
        <w:t>Presidente do CAU/BR</w:t>
      </w:r>
    </w:p>
    <w:sectPr w:rsidR="0024612C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98DD1" w14:textId="77777777" w:rsidR="00800CCD" w:rsidRDefault="00800CCD">
      <w:r>
        <w:separator/>
      </w:r>
    </w:p>
  </w:endnote>
  <w:endnote w:type="continuationSeparator" w:id="0">
    <w:p w14:paraId="230334FC" w14:textId="77777777" w:rsidR="00800CCD" w:rsidRDefault="0080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190FAB5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554F10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63A0B" w14:textId="77777777" w:rsidR="00800CCD" w:rsidRDefault="00800CCD">
      <w:r>
        <w:separator/>
      </w:r>
    </w:p>
  </w:footnote>
  <w:footnote w:type="continuationSeparator" w:id="0">
    <w:p w14:paraId="7E753649" w14:textId="77777777" w:rsidR="00800CCD" w:rsidRDefault="0080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0BB2"/>
    <w:rsid w:val="00022535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B552B"/>
    <w:rsid w:val="000E003F"/>
    <w:rsid w:val="00141AB6"/>
    <w:rsid w:val="00146CFE"/>
    <w:rsid w:val="0015125F"/>
    <w:rsid w:val="00165703"/>
    <w:rsid w:val="00173CAF"/>
    <w:rsid w:val="00174DFF"/>
    <w:rsid w:val="0018598F"/>
    <w:rsid w:val="00192A7D"/>
    <w:rsid w:val="001A79E9"/>
    <w:rsid w:val="001D31FD"/>
    <w:rsid w:val="001D7BF0"/>
    <w:rsid w:val="001E2B77"/>
    <w:rsid w:val="001F48F4"/>
    <w:rsid w:val="00204B6A"/>
    <w:rsid w:val="00206077"/>
    <w:rsid w:val="00217E7E"/>
    <w:rsid w:val="00221707"/>
    <w:rsid w:val="0023435F"/>
    <w:rsid w:val="00240447"/>
    <w:rsid w:val="00241D21"/>
    <w:rsid w:val="0024612C"/>
    <w:rsid w:val="00253E3A"/>
    <w:rsid w:val="0026067C"/>
    <w:rsid w:val="002678C7"/>
    <w:rsid w:val="00270736"/>
    <w:rsid w:val="00277DB6"/>
    <w:rsid w:val="00281639"/>
    <w:rsid w:val="00281A67"/>
    <w:rsid w:val="002A18B6"/>
    <w:rsid w:val="002A2B19"/>
    <w:rsid w:val="002B65CF"/>
    <w:rsid w:val="002B7891"/>
    <w:rsid w:val="002C44E6"/>
    <w:rsid w:val="002F2C92"/>
    <w:rsid w:val="002F5D24"/>
    <w:rsid w:val="00304F09"/>
    <w:rsid w:val="00305619"/>
    <w:rsid w:val="00313D21"/>
    <w:rsid w:val="00317C1A"/>
    <w:rsid w:val="003325BA"/>
    <w:rsid w:val="0033657D"/>
    <w:rsid w:val="00342F46"/>
    <w:rsid w:val="00344562"/>
    <w:rsid w:val="003472E3"/>
    <w:rsid w:val="0036704E"/>
    <w:rsid w:val="00370538"/>
    <w:rsid w:val="00373CC4"/>
    <w:rsid w:val="00376EA2"/>
    <w:rsid w:val="003868C8"/>
    <w:rsid w:val="003A63EB"/>
    <w:rsid w:val="003C00CE"/>
    <w:rsid w:val="003E3115"/>
    <w:rsid w:val="003F0C5B"/>
    <w:rsid w:val="003F61BE"/>
    <w:rsid w:val="00406516"/>
    <w:rsid w:val="00417EE3"/>
    <w:rsid w:val="004572A8"/>
    <w:rsid w:val="00460172"/>
    <w:rsid w:val="004741EF"/>
    <w:rsid w:val="004816C7"/>
    <w:rsid w:val="00497C3B"/>
    <w:rsid w:val="004E2CEB"/>
    <w:rsid w:val="004F13F5"/>
    <w:rsid w:val="00501B74"/>
    <w:rsid w:val="00501EFA"/>
    <w:rsid w:val="00524E26"/>
    <w:rsid w:val="005418C3"/>
    <w:rsid w:val="005528F6"/>
    <w:rsid w:val="00554F10"/>
    <w:rsid w:val="00554FD4"/>
    <w:rsid w:val="005802E8"/>
    <w:rsid w:val="00582177"/>
    <w:rsid w:val="00587696"/>
    <w:rsid w:val="00593D38"/>
    <w:rsid w:val="005B290A"/>
    <w:rsid w:val="005B304B"/>
    <w:rsid w:val="005B4773"/>
    <w:rsid w:val="005B6048"/>
    <w:rsid w:val="005C0EB6"/>
    <w:rsid w:val="005C240E"/>
    <w:rsid w:val="005C3967"/>
    <w:rsid w:val="005E3CAE"/>
    <w:rsid w:val="005F054C"/>
    <w:rsid w:val="005F3C1A"/>
    <w:rsid w:val="00601AC2"/>
    <w:rsid w:val="00603FF4"/>
    <w:rsid w:val="00614476"/>
    <w:rsid w:val="00631487"/>
    <w:rsid w:val="00634AC8"/>
    <w:rsid w:val="00635191"/>
    <w:rsid w:val="00637952"/>
    <w:rsid w:val="00646E40"/>
    <w:rsid w:val="006560BE"/>
    <w:rsid w:val="006563D8"/>
    <w:rsid w:val="00666B53"/>
    <w:rsid w:val="00671F8D"/>
    <w:rsid w:val="00684C09"/>
    <w:rsid w:val="006870F8"/>
    <w:rsid w:val="006A0505"/>
    <w:rsid w:val="006D0ACC"/>
    <w:rsid w:val="006D5E60"/>
    <w:rsid w:val="006E6236"/>
    <w:rsid w:val="006F1335"/>
    <w:rsid w:val="00705A76"/>
    <w:rsid w:val="007274DD"/>
    <w:rsid w:val="007454C2"/>
    <w:rsid w:val="00745B20"/>
    <w:rsid w:val="007508BB"/>
    <w:rsid w:val="00765765"/>
    <w:rsid w:val="00766BC7"/>
    <w:rsid w:val="00773437"/>
    <w:rsid w:val="007A3199"/>
    <w:rsid w:val="007A48E8"/>
    <w:rsid w:val="007D3003"/>
    <w:rsid w:val="007D3C00"/>
    <w:rsid w:val="007F4904"/>
    <w:rsid w:val="00800CCD"/>
    <w:rsid w:val="00814FE2"/>
    <w:rsid w:val="00832DC2"/>
    <w:rsid w:val="00834E01"/>
    <w:rsid w:val="00847A54"/>
    <w:rsid w:val="00850B3B"/>
    <w:rsid w:val="00857389"/>
    <w:rsid w:val="008618C1"/>
    <w:rsid w:val="00863128"/>
    <w:rsid w:val="00881B8C"/>
    <w:rsid w:val="008828D8"/>
    <w:rsid w:val="008A2D5E"/>
    <w:rsid w:val="008A768E"/>
    <w:rsid w:val="008B352B"/>
    <w:rsid w:val="008B5C0C"/>
    <w:rsid w:val="008F04C0"/>
    <w:rsid w:val="008F3CB3"/>
    <w:rsid w:val="009026A8"/>
    <w:rsid w:val="00903DA8"/>
    <w:rsid w:val="00903FE4"/>
    <w:rsid w:val="009206F6"/>
    <w:rsid w:val="00921B9F"/>
    <w:rsid w:val="00926961"/>
    <w:rsid w:val="00927E34"/>
    <w:rsid w:val="009305E6"/>
    <w:rsid w:val="00940A15"/>
    <w:rsid w:val="009557EC"/>
    <w:rsid w:val="009706B1"/>
    <w:rsid w:val="009775D2"/>
    <w:rsid w:val="009921E4"/>
    <w:rsid w:val="009955E6"/>
    <w:rsid w:val="009958AD"/>
    <w:rsid w:val="009A07A4"/>
    <w:rsid w:val="009C2055"/>
    <w:rsid w:val="009D07DD"/>
    <w:rsid w:val="009E5E82"/>
    <w:rsid w:val="009F0A66"/>
    <w:rsid w:val="009F0C0F"/>
    <w:rsid w:val="00A26ECB"/>
    <w:rsid w:val="00A35922"/>
    <w:rsid w:val="00A516B7"/>
    <w:rsid w:val="00A52545"/>
    <w:rsid w:val="00A60F6B"/>
    <w:rsid w:val="00A63216"/>
    <w:rsid w:val="00A66FFE"/>
    <w:rsid w:val="00A71DAB"/>
    <w:rsid w:val="00A778CD"/>
    <w:rsid w:val="00A83EC4"/>
    <w:rsid w:val="00AB4DF8"/>
    <w:rsid w:val="00AC77FC"/>
    <w:rsid w:val="00AD5907"/>
    <w:rsid w:val="00AE4D79"/>
    <w:rsid w:val="00B04516"/>
    <w:rsid w:val="00B17FEB"/>
    <w:rsid w:val="00B21865"/>
    <w:rsid w:val="00B35FE6"/>
    <w:rsid w:val="00B365E8"/>
    <w:rsid w:val="00B44CE0"/>
    <w:rsid w:val="00B46012"/>
    <w:rsid w:val="00B508E0"/>
    <w:rsid w:val="00B56434"/>
    <w:rsid w:val="00B5716F"/>
    <w:rsid w:val="00B71C2B"/>
    <w:rsid w:val="00B733C0"/>
    <w:rsid w:val="00B80BB2"/>
    <w:rsid w:val="00B86321"/>
    <w:rsid w:val="00BA277B"/>
    <w:rsid w:val="00BC0885"/>
    <w:rsid w:val="00BD4320"/>
    <w:rsid w:val="00BE0E77"/>
    <w:rsid w:val="00BE3757"/>
    <w:rsid w:val="00BE7D10"/>
    <w:rsid w:val="00BF3F88"/>
    <w:rsid w:val="00C2437F"/>
    <w:rsid w:val="00C25394"/>
    <w:rsid w:val="00C354F6"/>
    <w:rsid w:val="00C357DC"/>
    <w:rsid w:val="00C42B14"/>
    <w:rsid w:val="00C55B31"/>
    <w:rsid w:val="00C6054A"/>
    <w:rsid w:val="00CA1682"/>
    <w:rsid w:val="00CA3F9C"/>
    <w:rsid w:val="00CB40B3"/>
    <w:rsid w:val="00CB431E"/>
    <w:rsid w:val="00CB6912"/>
    <w:rsid w:val="00CC39A1"/>
    <w:rsid w:val="00CD3A20"/>
    <w:rsid w:val="00CD5CF4"/>
    <w:rsid w:val="00CF3EFD"/>
    <w:rsid w:val="00D0693B"/>
    <w:rsid w:val="00D12EEF"/>
    <w:rsid w:val="00D17258"/>
    <w:rsid w:val="00D22A3B"/>
    <w:rsid w:val="00D23C66"/>
    <w:rsid w:val="00D43322"/>
    <w:rsid w:val="00D66461"/>
    <w:rsid w:val="00D669C7"/>
    <w:rsid w:val="00D67523"/>
    <w:rsid w:val="00D87952"/>
    <w:rsid w:val="00D90346"/>
    <w:rsid w:val="00D92167"/>
    <w:rsid w:val="00DA063D"/>
    <w:rsid w:val="00DC11FE"/>
    <w:rsid w:val="00DD023F"/>
    <w:rsid w:val="00DD454C"/>
    <w:rsid w:val="00DF33A9"/>
    <w:rsid w:val="00E3461E"/>
    <w:rsid w:val="00E52347"/>
    <w:rsid w:val="00E55CFA"/>
    <w:rsid w:val="00E60B4F"/>
    <w:rsid w:val="00E60ED8"/>
    <w:rsid w:val="00E731B7"/>
    <w:rsid w:val="00EA7CE0"/>
    <w:rsid w:val="00EB1AA0"/>
    <w:rsid w:val="00EB1AD4"/>
    <w:rsid w:val="00EB4854"/>
    <w:rsid w:val="00ED35D1"/>
    <w:rsid w:val="00EE1EA4"/>
    <w:rsid w:val="00EF6B32"/>
    <w:rsid w:val="00F04F5F"/>
    <w:rsid w:val="00F22B15"/>
    <w:rsid w:val="00F22BCB"/>
    <w:rsid w:val="00F23F99"/>
    <w:rsid w:val="00F25B28"/>
    <w:rsid w:val="00F34C78"/>
    <w:rsid w:val="00F367BC"/>
    <w:rsid w:val="00F450D0"/>
    <w:rsid w:val="00F45716"/>
    <w:rsid w:val="00F55C9A"/>
    <w:rsid w:val="00F701C3"/>
    <w:rsid w:val="00F7023E"/>
    <w:rsid w:val="00F7069F"/>
    <w:rsid w:val="00FA1B64"/>
    <w:rsid w:val="00FA1EE8"/>
    <w:rsid w:val="00FB06AF"/>
    <w:rsid w:val="00FC1D25"/>
    <w:rsid w:val="00FE06BE"/>
    <w:rsid w:val="00FE5F79"/>
    <w:rsid w:val="00FE5FC8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Fontepargpadro"/>
    <w:rsid w:val="005802E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802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37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2587-6672-42B0-A599-EDBBE465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2033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Cristiane Siggea Benedetto</cp:lastModifiedBy>
  <cp:revision>2</cp:revision>
  <cp:lastPrinted>2020-11-16T14:12:00Z</cp:lastPrinted>
  <dcterms:created xsi:type="dcterms:W3CDTF">2023-09-06T20:02:00Z</dcterms:created>
  <dcterms:modified xsi:type="dcterms:W3CDTF">2023-09-06T20:02:00Z</dcterms:modified>
</cp:coreProperties>
</file>