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A17CA" w:rsidR="009A40EA" w:rsidP="575B5016" w:rsidRDefault="002430A5" w14:paraId="29545E86" w14:textId="708519A9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575B5016" w:rsidR="002430A5">
        <w:rPr>
          <w:rStyle w:val="normaltextrun"/>
          <w:rFonts w:ascii="Arial" w:hAnsi="Arial" w:cs="Arial"/>
          <w:b w:val="1"/>
          <w:bCs w:val="1"/>
        </w:rPr>
        <w:t>Portaria Gerencial</w:t>
      </w:r>
      <w:r w:rsidRPr="575B5016" w:rsidR="009A40EA">
        <w:rPr>
          <w:rStyle w:val="normaltextrun"/>
          <w:rFonts w:ascii="Arial" w:hAnsi="Arial" w:cs="Arial"/>
          <w:b w:val="1"/>
          <w:bCs w:val="1"/>
        </w:rPr>
        <w:t> </w:t>
      </w:r>
      <w:r w:rsidRPr="575B5016" w:rsidR="002430A5">
        <w:rPr>
          <w:rStyle w:val="normaltextrun"/>
          <w:rFonts w:ascii="Arial" w:hAnsi="Arial" w:cs="Arial"/>
          <w:b w:val="1"/>
          <w:bCs w:val="1"/>
        </w:rPr>
        <w:t>n</w:t>
      </w:r>
      <w:r w:rsidRPr="575B5016" w:rsidR="009A40EA">
        <w:rPr>
          <w:rStyle w:val="normaltextrun"/>
          <w:rFonts w:ascii="Arial" w:hAnsi="Arial" w:cs="Arial"/>
          <w:b w:val="1"/>
          <w:bCs w:val="1"/>
        </w:rPr>
        <w:t>°</w:t>
      </w:r>
      <w:r w:rsidRPr="575B5016" w:rsidR="007D337B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575B5016" w:rsidR="1F880ED9">
        <w:rPr>
          <w:rStyle w:val="normaltextrun"/>
          <w:rFonts w:ascii="Arial" w:hAnsi="Arial" w:cs="Arial"/>
          <w:b w:val="1"/>
          <w:bCs w:val="1"/>
        </w:rPr>
        <w:t>179</w:t>
      </w:r>
      <w:r w:rsidRPr="575B5016" w:rsidR="009A40EA">
        <w:rPr>
          <w:rStyle w:val="normaltextrun"/>
          <w:rFonts w:ascii="Arial" w:hAnsi="Arial" w:cs="Arial"/>
          <w:b w:val="1"/>
          <w:bCs w:val="1"/>
        </w:rPr>
        <w:t xml:space="preserve">, </w:t>
      </w:r>
      <w:r w:rsidRPr="575B5016" w:rsidR="008856E5">
        <w:rPr>
          <w:rStyle w:val="normaltextrun"/>
          <w:rFonts w:ascii="Arial" w:hAnsi="Arial" w:cs="Arial"/>
          <w:b w:val="1"/>
          <w:bCs w:val="1"/>
        </w:rPr>
        <w:t>de</w:t>
      </w:r>
      <w:r w:rsidRPr="575B5016" w:rsidR="009C1EEA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575B5016" w:rsidR="0098276A">
        <w:rPr>
          <w:rStyle w:val="normaltextrun"/>
          <w:rFonts w:ascii="Arial" w:hAnsi="Arial" w:cs="Arial"/>
          <w:b w:val="1"/>
          <w:bCs w:val="1"/>
        </w:rPr>
        <w:t>28</w:t>
      </w:r>
      <w:r w:rsidRPr="575B5016" w:rsidR="009C1EEA">
        <w:rPr>
          <w:rStyle w:val="normaltextrun"/>
          <w:rFonts w:ascii="Arial" w:hAnsi="Arial" w:cs="Arial"/>
          <w:b w:val="1"/>
          <w:bCs w:val="1"/>
        </w:rPr>
        <w:t xml:space="preserve"> de </w:t>
      </w:r>
      <w:r w:rsidRPr="575B5016" w:rsidR="52D394E6">
        <w:rPr>
          <w:rStyle w:val="normaltextrun"/>
          <w:rFonts w:ascii="Arial" w:hAnsi="Arial" w:cs="Arial"/>
          <w:b w:val="1"/>
          <w:bCs w:val="1"/>
        </w:rPr>
        <w:t>n</w:t>
      </w:r>
      <w:r w:rsidRPr="575B5016" w:rsidR="004778C8">
        <w:rPr>
          <w:rStyle w:val="normaltextrun"/>
          <w:rFonts w:ascii="Arial" w:hAnsi="Arial" w:cs="Arial"/>
          <w:b w:val="1"/>
          <w:bCs w:val="1"/>
        </w:rPr>
        <w:t>o</w:t>
      </w:r>
      <w:r w:rsidRPr="575B5016" w:rsidR="52D394E6">
        <w:rPr>
          <w:rStyle w:val="normaltextrun"/>
          <w:rFonts w:ascii="Arial" w:hAnsi="Arial" w:cs="Arial"/>
          <w:b w:val="1"/>
          <w:bCs w:val="1"/>
        </w:rPr>
        <w:t>vembro</w:t>
      </w:r>
      <w:r w:rsidRPr="575B5016" w:rsidR="009C1EEA">
        <w:rPr>
          <w:rStyle w:val="normaltextrun"/>
          <w:rFonts w:ascii="Arial" w:hAnsi="Arial" w:cs="Arial"/>
          <w:b w:val="1"/>
          <w:bCs w:val="1"/>
        </w:rPr>
        <w:t xml:space="preserve"> de 202</w:t>
      </w:r>
      <w:r w:rsidRPr="575B5016" w:rsidR="00CE1E5E">
        <w:rPr>
          <w:rStyle w:val="normaltextrun"/>
          <w:rFonts w:ascii="Arial" w:hAnsi="Arial" w:cs="Arial"/>
          <w:b w:val="1"/>
          <w:bCs w:val="1"/>
        </w:rPr>
        <w:t>3</w:t>
      </w:r>
      <w:r w:rsidRPr="575B5016" w:rsidR="009A40EA">
        <w:rPr>
          <w:rStyle w:val="normaltextrun"/>
          <w:rFonts w:ascii="Arial" w:hAnsi="Arial" w:cs="Arial"/>
          <w:b w:val="1"/>
          <w:bCs w:val="1"/>
        </w:rPr>
        <w:t>.</w:t>
      </w:r>
      <w:r w:rsidRPr="575B5016" w:rsidR="009A40EA">
        <w:rPr>
          <w:rStyle w:val="eop"/>
          <w:rFonts w:ascii="Arial" w:hAnsi="Arial" w:cs="Arial"/>
          <w:b w:val="1"/>
          <w:bCs w:val="1"/>
        </w:rPr>
        <w:t> </w:t>
      </w:r>
    </w:p>
    <w:p w:rsidRPr="00FF13C5" w:rsidR="009A40EA" w:rsidP="009A40EA" w:rsidRDefault="009A40EA" w14:paraId="24BB03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:rsidRPr="008562E5" w:rsidR="009A40EA" w:rsidP="009A40EA" w:rsidRDefault="00AE134C" w14:paraId="3571421F" w14:textId="27A519D5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Altera a Portaria Gerencial Conjunta n°76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14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junho 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>de 202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, e dá outras providências.</w:t>
      </w:r>
    </w:p>
    <w:p w:rsidRPr="008562E5" w:rsidR="009A40EA" w:rsidP="009A40EA" w:rsidRDefault="009A40EA" w14:paraId="550279C6" w14:textId="77777777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:rsidRPr="00FD53AD" w:rsidR="009A40EA" w:rsidP="009A40EA" w:rsidRDefault="00CA6AA8" w14:paraId="250D8D4E" w14:textId="7B6E6D0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Pr="008562E5"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Pr="008562E5" w:rsid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30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dezembro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21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Pr="008562E5" w:rsidR="00A122C6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Pr="00BA1BFB" w:rsid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Pr="00BA1BFB" w:rsid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BA1BFB" w:rsid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AE134C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4778C8">
        <w:rPr>
          <w:rStyle w:val="normaltextrun"/>
          <w:rFonts w:ascii="Arial" w:hAnsi="Arial" w:cs="Arial"/>
          <w:b/>
          <w:sz w:val="22"/>
          <w:szCs w:val="22"/>
        </w:rPr>
        <w:t>71</w:t>
      </w:r>
      <w:r w:rsidRPr="008562E5" w:rsidR="008723E0">
        <w:rPr>
          <w:rStyle w:val="normaltextrun"/>
          <w:rFonts w:ascii="Arial" w:hAnsi="Arial" w:cs="Arial"/>
          <w:sz w:val="22"/>
          <w:szCs w:val="22"/>
        </w:rPr>
        <w:t>.</w:t>
      </w:r>
    </w:p>
    <w:p w:rsidRPr="008562E5" w:rsidR="00D56E64" w:rsidP="009A40EA" w:rsidRDefault="00D56E64" w14:paraId="34C2FCC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Pr="00855482" w:rsidR="009A40EA" w:rsidP="009A40EA" w:rsidRDefault="009A40EA" w14:paraId="13F2BAF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AE134C" w:rsidP="00AE134C" w:rsidRDefault="00AE134C" w14:paraId="6413C412" w14:textId="2FCC9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AE134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Art. 1°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art. 1° da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Portaria Gerencial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Conjunta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>n°</w:t>
      </w:r>
      <w:r w:rsidR="004778C8">
        <w:rPr>
          <w:rFonts w:ascii="Arial" w:hAnsi="Arial" w:cs="Arial"/>
          <w:color w:val="000000"/>
          <w:sz w:val="22"/>
          <w:szCs w:val="22"/>
          <w:shd w:val="clear" w:color="auto" w:fill="FFFFFF"/>
        </w:rPr>
        <w:t>55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de </w:t>
      </w:r>
      <w:r w:rsidR="004778C8">
        <w:rPr>
          <w:rFonts w:ascii="Arial" w:hAnsi="Arial" w:cs="Arial"/>
          <w:color w:val="000000"/>
          <w:sz w:val="22"/>
          <w:szCs w:val="22"/>
          <w:shd w:val="clear" w:color="auto" w:fill="FFFFFF"/>
        </w:rPr>
        <w:t>05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 w:rsidR="004778C8">
        <w:rPr>
          <w:rFonts w:ascii="Arial" w:hAnsi="Arial" w:cs="Arial"/>
          <w:color w:val="000000"/>
          <w:sz w:val="22"/>
          <w:szCs w:val="22"/>
          <w:shd w:val="clear" w:color="auto" w:fill="FFFFFF"/>
        </w:rPr>
        <w:t>maio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3, passa a vigorar com a seguinte redação:</w:t>
      </w:r>
    </w:p>
    <w:p w:rsidRPr="008562E5" w:rsidR="00FF13C5" w:rsidP="009A40EA" w:rsidRDefault="009A40EA" w14:paraId="3E7B1B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:rsidRPr="004778C8" w:rsidR="004778C8" w:rsidP="004778C8" w:rsidRDefault="00AE134C" w14:paraId="47EC33AA" w14:textId="0AFBD3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575B5016" w:rsidR="00AE134C">
        <w:rPr>
          <w:rStyle w:val="normaltextrun"/>
          <w:rFonts w:ascii="Arial" w:hAnsi="Arial" w:cs="Arial"/>
          <w:sz w:val="22"/>
          <w:szCs w:val="22"/>
        </w:rPr>
        <w:t>“</w:t>
      </w:r>
      <w:r w:rsidRPr="575B5016" w:rsidR="004778C8">
        <w:rPr>
          <w:rStyle w:val="normaltextrun"/>
          <w:rFonts w:ascii="Arial" w:hAnsi="Arial" w:cs="Arial"/>
          <w:sz w:val="22"/>
          <w:szCs w:val="22"/>
        </w:rPr>
        <w:t>Art. 1°. Promover a seguinte substituição temporária no Quadro de Pessoal do CAU/BR:</w:t>
      </w:r>
      <w:r w:rsidRPr="575B5016" w:rsidR="004778C8">
        <w:rPr>
          <w:rStyle w:val="eop"/>
          <w:rFonts w:ascii="Arial" w:hAnsi="Arial" w:cs="Arial"/>
          <w:sz w:val="22"/>
          <w:szCs w:val="22"/>
        </w:rPr>
        <w:t> </w:t>
      </w:r>
    </w:p>
    <w:p w:rsidRPr="004778C8" w:rsidR="004778C8" w:rsidP="575B5016" w:rsidRDefault="004778C8" w14:paraId="0F0C64F0" w14:textId="2906A48A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4778C8" w:rsidR="004778C8" w:rsidP="575B5016" w:rsidRDefault="004778C8" w14:paraId="57BEF0AE" w14:textId="0853349D">
      <w:pPr>
        <w:spacing w:before="0" w:beforeAutospacing="off" w:after="0" w:afterAutospacing="off" w:line="240" w:lineRule="auto"/>
        <w:jc w:val="both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SUBSTITUÍDO(A) </w:t>
      </w:r>
    </w:p>
    <w:p w:rsidRPr="004778C8" w:rsidR="004778C8" w:rsidP="575B5016" w:rsidRDefault="004778C8" w14:paraId="04364B1D" w14:textId="163B35F3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Nome: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color w:val="auto"/>
          <w:sz w:val="22"/>
          <w:szCs w:val="22"/>
          <w:lang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Katia das Graças Veras</w:t>
      </w:r>
    </w:p>
    <w:p w:rsidRPr="004778C8" w:rsidR="004778C8" w:rsidP="575B5016" w:rsidRDefault="004778C8" w14:paraId="236C8573" w14:textId="0637BD1C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Emprego: 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Assistente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–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Ocupação: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Assistente Administrativo(a)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</w:p>
    <w:p w:rsidRPr="004778C8" w:rsidR="004778C8" w:rsidP="575B5016" w:rsidRDefault="004778C8" w14:paraId="3F9DB0CB" w14:textId="267F546B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Lotação: 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Gerência Administrativa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</w:p>
    <w:p w:rsidRPr="004778C8" w:rsidR="004778C8" w:rsidP="575B5016" w:rsidRDefault="004778C8" w14:paraId="72ABE2B5" w14:textId="1D378B76">
      <w:pPr>
        <w:pStyle w:val="Normal"/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Período de Afastamento:</w:t>
      </w:r>
      <w:r w:rsidRPr="575B5016" w:rsidR="030D70A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23/11/2023 a 29/11/2023 (7 dias</w:t>
      </w:r>
      <w:r w:rsidRPr="575B5016" w:rsidR="0DFF5C9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- licença médica)</w:t>
      </w:r>
      <w:r w:rsidRPr="575B5016" w:rsidR="030D70A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e 30/11/2023 a 01/12/2023 (2 dias</w:t>
      </w:r>
      <w:r w:rsidRPr="575B5016" w:rsidR="65E8289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- abono</w:t>
      </w:r>
      <w:r w:rsidRPr="575B5016" w:rsidR="030D70A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)</w:t>
      </w:r>
    </w:p>
    <w:p w:rsidRPr="004778C8" w:rsidR="004778C8" w:rsidP="575B5016" w:rsidRDefault="004778C8" w14:paraId="0F3F22B1" w14:textId="2DF828FC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Portaria Normativa nº 94, de 2021, art. 2º,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color w:val="auto"/>
          <w:sz w:val="22"/>
          <w:szCs w:val="22"/>
          <w:lang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inciso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II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– por motivo de afastamentos para tratamento de saúde comprovado por atestado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médico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;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inciso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VII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– para fruição de abonos;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</w:p>
    <w:p w:rsidRPr="004778C8" w:rsidR="004778C8" w:rsidP="575B5016" w:rsidRDefault="004778C8" w14:paraId="29F75ADA" w14:textId="6147F9A7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</w:p>
    <w:p w:rsidRPr="004778C8" w:rsidR="004778C8" w:rsidP="575B5016" w:rsidRDefault="004778C8" w14:paraId="2C8FBB8C" w14:textId="324E0E0C">
      <w:pPr>
        <w:spacing w:before="0" w:beforeAutospacing="off" w:after="0" w:afterAutospacing="off" w:line="240" w:lineRule="auto"/>
        <w:jc w:val="both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Pr="004778C8" w:rsidR="004778C8" w:rsidP="575B5016" w:rsidRDefault="004778C8" w14:paraId="2AF9289E" w14:textId="6D7087E8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Nome: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color w:val="auto"/>
          <w:sz w:val="22"/>
          <w:szCs w:val="22"/>
          <w:lang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Bruna Lucena de Souza</w:t>
      </w:r>
    </w:p>
    <w:p w:rsidRPr="004778C8" w:rsidR="004778C8" w:rsidP="575B5016" w:rsidRDefault="004778C8" w14:paraId="188CFD10" w14:textId="798AB9FE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Emprego: 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Assistente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–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Ocupação: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Assistente Administrativo(a)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</w:p>
    <w:p w:rsidRPr="004778C8" w:rsidR="004778C8" w:rsidP="575B5016" w:rsidRDefault="004778C8" w14:paraId="003F58DD" w14:textId="10C70157">
      <w:pPr>
        <w:spacing w:before="0" w:beforeAutospacing="off" w:after="0" w:afterAutospacing="off" w:line="240" w:lineRule="auto"/>
        <w:jc w:val="both"/>
        <w:textAlignment w:val="baseline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Lotação: 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Gerência Administrativa</w:t>
      </w: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 xml:space="preserve"> </w:t>
      </w:r>
    </w:p>
    <w:p w:rsidRPr="004778C8" w:rsidR="004778C8" w:rsidP="575B5016" w:rsidRDefault="004778C8" w14:paraId="6F024275" w14:textId="10FEA8D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cs="Arial"/>
          <w:noProof w:val="0"/>
          <w:sz w:val="22"/>
          <w:szCs w:val="22"/>
          <w:lang w:val="pt-BR"/>
        </w:rPr>
      </w:pPr>
      <w:r w:rsidRPr="575B5016" w:rsidR="3B8AB0D7">
        <w:rPr>
          <w:rStyle w:val="normaltextrun"/>
          <w:rFonts w:ascii="Arial" w:hAnsi="Arial" w:eastAsia="Times New Roman" w:cs="Arial"/>
          <w:b w:val="0"/>
          <w:bCs w:val="0"/>
          <w:noProof w:val="0"/>
          <w:color w:val="auto"/>
          <w:sz w:val="22"/>
          <w:szCs w:val="22"/>
          <w:lang w:val="pt-BR" w:eastAsia="pt-BR"/>
        </w:rPr>
        <w:t>Período da Substituição:</w:t>
      </w:r>
      <w:r w:rsidRPr="575B5016" w:rsidR="0FDEE4A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23/11/2023 a </w:t>
      </w:r>
      <w:r w:rsidRPr="575B5016" w:rsidR="4978132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01/12/2023 (9 dias) </w:t>
      </w:r>
    </w:p>
    <w:p w:rsidRPr="004778C8" w:rsidR="004778C8" w:rsidP="575B5016" w:rsidRDefault="004778C8" w14:paraId="4B86D3DA" w14:textId="00E1117D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</w:rPr>
      </w:pPr>
    </w:p>
    <w:p w:rsidRPr="00A35070" w:rsidR="0055176E" w:rsidP="0055176E" w:rsidRDefault="0055176E" w14:paraId="043DC2C0" w14:textId="3D0E9B1A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>
        <w:rPr>
          <w:rStyle w:val="normaltextrun"/>
          <w:rFonts w:ascii="Arial" w:hAnsi="Arial" w:cs="Arial"/>
          <w:b/>
          <w:sz w:val="22"/>
          <w:szCs w:val="22"/>
        </w:rPr>
        <w:t>2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Pr="00855482">
        <w:rPr>
          <w:rStyle w:val="normaltextrun"/>
          <w:rFonts w:ascii="Arial" w:hAnsi="Arial" w:cs="Arial"/>
          <w:sz w:val="22"/>
          <w:szCs w:val="22"/>
        </w:rPr>
        <w:t>, co</w:t>
      </w:r>
      <w:r>
        <w:rPr>
          <w:rStyle w:val="normaltextrun"/>
          <w:rFonts w:ascii="Arial" w:hAnsi="Arial" w:cs="Arial"/>
          <w:sz w:val="22"/>
          <w:szCs w:val="22"/>
        </w:rPr>
        <w:t>nt</w:t>
      </w:r>
      <w:r w:rsidR="004778C8">
        <w:rPr>
          <w:rStyle w:val="normaltextrun"/>
          <w:rFonts w:ascii="Arial" w:hAnsi="Arial" w:cs="Arial"/>
          <w:sz w:val="22"/>
          <w:szCs w:val="22"/>
        </w:rPr>
        <w:t>ados seus efeitos a partir de 05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778C8">
        <w:rPr>
          <w:rStyle w:val="normaltextrun"/>
          <w:rFonts w:ascii="Arial" w:hAnsi="Arial" w:cs="Arial"/>
          <w:sz w:val="22"/>
          <w:szCs w:val="22"/>
        </w:rPr>
        <w:t>maio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>
        <w:rPr>
          <w:rStyle w:val="normaltextrun"/>
          <w:rFonts w:ascii="Arial" w:hAnsi="Arial" w:cs="Arial"/>
          <w:sz w:val="22"/>
          <w:szCs w:val="22"/>
        </w:rPr>
        <w:t>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8562E5" w:rsidR="009A40EA" w:rsidP="009A40EA" w:rsidRDefault="009A40EA" w14:paraId="3DE8C623" w14:textId="3698E1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Pr="008562E5" w:rsidR="009A40EA" w:rsidP="575B5016" w:rsidRDefault="009A40EA" w14:paraId="26060E20" w14:textId="31A81039">
      <w:pPr>
        <w:pStyle w:val="paragraph"/>
        <w:spacing w:before="0" w:beforeAutospacing="off" w:after="0" w:afterAutospacing="off"/>
        <w:jc w:val="right"/>
        <w:textAlignment w:val="baseline"/>
        <w:rPr>
          <w:rFonts w:ascii="Segoe UI" w:hAnsi="Segoe UI" w:cs="Segoe UI"/>
          <w:b w:val="1"/>
          <w:bCs w:val="1"/>
          <w:sz w:val="22"/>
          <w:szCs w:val="22"/>
        </w:rPr>
      </w:pPr>
      <w:r w:rsidRPr="575B5016" w:rsidR="009A40EA">
        <w:rPr>
          <w:rStyle w:val="normaltextrun"/>
          <w:rFonts w:ascii="Arial" w:hAnsi="Arial" w:cs="Arial"/>
          <w:sz w:val="22"/>
          <w:szCs w:val="22"/>
        </w:rPr>
        <w:t>Brasília,</w:t>
      </w:r>
      <w:r w:rsidRPr="575B5016"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575B5016" w:rsidR="0098276A">
        <w:rPr>
          <w:rStyle w:val="normaltextrun"/>
          <w:rFonts w:ascii="Arial" w:hAnsi="Arial" w:cs="Arial"/>
          <w:sz w:val="22"/>
          <w:szCs w:val="22"/>
        </w:rPr>
        <w:t>28</w:t>
      </w:r>
      <w:bookmarkStart w:name="_GoBack" w:id="0"/>
      <w:bookmarkEnd w:id="0"/>
      <w:r w:rsidRPr="575B5016" w:rsidR="009C1EEA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Pr="575B5016" w:rsidR="63B57F4B">
        <w:rPr>
          <w:rStyle w:val="normaltextrun"/>
          <w:rFonts w:ascii="Arial" w:hAnsi="Arial" w:cs="Arial"/>
          <w:sz w:val="22"/>
          <w:szCs w:val="22"/>
        </w:rPr>
        <w:t xml:space="preserve"> novembro</w:t>
      </w:r>
      <w:r w:rsidRPr="575B5016"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Pr="575B5016"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575B5016" w:rsidR="009A40EA">
        <w:rPr>
          <w:rStyle w:val="normaltextrun"/>
          <w:rFonts w:ascii="Arial" w:hAnsi="Arial" w:cs="Arial"/>
          <w:sz w:val="22"/>
          <w:szCs w:val="22"/>
        </w:rPr>
        <w:t>.</w:t>
      </w:r>
      <w:r w:rsidRPr="575B5016" w:rsidR="009A40EA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575B5016" w:rsidR="009A40EA">
        <w:rPr>
          <w:rStyle w:val="eop"/>
          <w:b w:val="1"/>
          <w:bCs w:val="1"/>
          <w:sz w:val="22"/>
          <w:szCs w:val="22"/>
        </w:rPr>
        <w:t> </w:t>
      </w:r>
    </w:p>
    <w:p w:rsidRPr="008562E5" w:rsidR="00F15CB9" w:rsidP="009A40EA" w:rsidRDefault="009A40EA" w14:paraId="7E404DC5" w14:textId="7A4076E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:rsidRPr="008562E5" w:rsidR="005D0EE4" w:rsidP="009A40EA" w:rsidRDefault="005D0EE4" w14:paraId="6BBE636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95643" w:rsidP="009A40EA" w:rsidRDefault="00995643" w14:paraId="2983D2C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95643" w:rsidP="009A40EA" w:rsidRDefault="00995643" w14:paraId="4139767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A40EA" w:rsidP="009A40EA" w:rsidRDefault="009A40EA" w14:paraId="258FF0DB" w14:textId="35CC6A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:rsidRPr="008562E5" w:rsidR="007A55E4" w:rsidP="001A17CA" w:rsidRDefault="001A17CA" w14:paraId="67AAFD98" w14:textId="00807645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:rsidRPr="008562E5" w:rsidR="001A17CA" w:rsidP="001A17CA" w:rsidRDefault="001A17CA" w14:paraId="04792BD4" w14:textId="21B38EF8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30D70AC"/>
    <w:rsid w:val="0955BEAC"/>
    <w:rsid w:val="0DFF5C98"/>
    <w:rsid w:val="0FDEE4AC"/>
    <w:rsid w:val="120DFD7A"/>
    <w:rsid w:val="1F880ED9"/>
    <w:rsid w:val="3B8AB0D7"/>
    <w:rsid w:val="465DACFD"/>
    <w:rsid w:val="49781324"/>
    <w:rsid w:val="505E25A0"/>
    <w:rsid w:val="52D394E6"/>
    <w:rsid w:val="575B5016"/>
    <w:rsid w:val="5A92F0D8"/>
    <w:rsid w:val="63B57F4B"/>
    <w:rsid w:val="65E82895"/>
    <w:rsid w:val="737C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Maria Tereza Nascimento Muniz</lastModifiedBy>
  <revision>3</revision>
  <lastPrinted>2023-05-25T19:48:00.0000000Z</lastPrinted>
  <dcterms:created xsi:type="dcterms:W3CDTF">2023-11-28T15:33:00.0000000Z</dcterms:created>
  <dcterms:modified xsi:type="dcterms:W3CDTF">2023-11-28T15:48:09.7374706Z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