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3265D7" w14:textId="41262E95" w:rsidR="0079233C" w:rsidRDefault="00D23D27" w:rsidP="00D23D27">
      <w:pPr>
        <w:pStyle w:val="Ttulo2"/>
        <w:numPr>
          <w:ilvl w:val="0"/>
          <w:numId w:val="0"/>
        </w:numPr>
        <w:ind w:left="360"/>
        <w:rPr>
          <w:rFonts w:eastAsia="Arial Unicode MS" w:cs="Calibri"/>
          <w:sz w:val="24"/>
          <w:szCs w:val="24"/>
        </w:rPr>
      </w:pPr>
      <w:bookmarkStart w:id="0" w:name="_Toc114844533"/>
      <w:bookmarkStart w:id="1" w:name="_Toc115100595"/>
      <w:bookmarkStart w:id="2" w:name="_Toc115100770"/>
      <w:bookmarkStart w:id="3" w:name="_Toc145454499"/>
      <w:bookmarkStart w:id="4" w:name="_Toc145516896"/>
      <w:bookmarkStart w:id="5" w:name="_Toc147404326"/>
      <w:r>
        <w:rPr>
          <w:rFonts w:eastAsia="Arial Unicode MS" w:cs="Calibri"/>
          <w:b w:val="0"/>
          <w:noProof/>
          <w:color w:val="215868"/>
          <w:szCs w:val="20"/>
        </w:rPr>
        <w:drawing>
          <wp:anchor distT="0" distB="0" distL="114300" distR="114300" simplePos="0" relativeHeight="251709440" behindDoc="0" locked="0" layoutInCell="1" allowOverlap="1" wp14:anchorId="1022376C" wp14:editId="4BBE04C0">
            <wp:simplePos x="0" y="0"/>
            <wp:positionH relativeFrom="page">
              <wp:align>left</wp:align>
            </wp:positionH>
            <wp:positionV relativeFrom="paragraph">
              <wp:posOffset>-1178106</wp:posOffset>
            </wp:positionV>
            <wp:extent cx="7803878" cy="10850880"/>
            <wp:effectExtent l="0" t="0" r="6985" b="762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76853C4.tmp"/>
                    <pic:cNvPicPr/>
                  </pic:nvPicPr>
                  <pic:blipFill>
                    <a:blip r:embed="rId11">
                      <a:extLst>
                        <a:ext uri="{28A0092B-C50C-407E-A947-70E740481C1C}">
                          <a14:useLocalDpi xmlns:a14="http://schemas.microsoft.com/office/drawing/2010/main" val="0"/>
                        </a:ext>
                      </a:extLst>
                    </a:blip>
                    <a:stretch>
                      <a:fillRect/>
                    </a:stretch>
                  </pic:blipFill>
                  <pic:spPr>
                    <a:xfrm>
                      <a:off x="0" y="0"/>
                      <a:ext cx="7803878" cy="10850880"/>
                    </a:xfrm>
                    <a:prstGeom prst="rect">
                      <a:avLst/>
                    </a:prstGeom>
                  </pic:spPr>
                </pic:pic>
              </a:graphicData>
            </a:graphic>
            <wp14:sizeRelH relativeFrom="margin">
              <wp14:pctWidth>0</wp14:pctWidth>
            </wp14:sizeRelH>
            <wp14:sizeRelV relativeFrom="margin">
              <wp14:pctHeight>0</wp14:pctHeight>
            </wp14:sizeRelV>
          </wp:anchor>
        </w:drawing>
      </w:r>
      <w:r w:rsidR="00F74CF0">
        <w:rPr>
          <w:rFonts w:eastAsia="Arial Unicode MS" w:cs="Calibri"/>
          <w:b w:val="0"/>
          <w:noProof/>
          <w:color w:val="215868"/>
          <w:szCs w:val="20"/>
        </w:rPr>
        <mc:AlternateContent>
          <mc:Choice Requires="wps">
            <w:drawing>
              <wp:anchor distT="0" distB="0" distL="114300" distR="114300" simplePos="0" relativeHeight="251712512" behindDoc="0" locked="0" layoutInCell="1" allowOverlap="1" wp14:anchorId="72640C3F" wp14:editId="59C5C89E">
                <wp:simplePos x="0" y="0"/>
                <wp:positionH relativeFrom="column">
                  <wp:posOffset>-604693</wp:posOffset>
                </wp:positionH>
                <wp:positionV relativeFrom="paragraph">
                  <wp:posOffset>1889067</wp:posOffset>
                </wp:positionV>
                <wp:extent cx="2468880" cy="922020"/>
                <wp:effectExtent l="0" t="0" r="762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92202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B8239" w14:textId="77777777" w:rsidR="00DA0C5F" w:rsidRPr="00E55BD9" w:rsidRDefault="00DA0C5F" w:rsidP="00697BD8">
                            <w:pPr>
                              <w:spacing w:after="0" w:line="240" w:lineRule="auto"/>
                              <w:jc w:val="center"/>
                              <w:rPr>
                                <w:b/>
                                <w:color w:val="FFFFFF" w:themeColor="background1"/>
                                <w:sz w:val="96"/>
                              </w:rPr>
                            </w:pPr>
                            <w:r w:rsidRPr="00E55BD9">
                              <w:rPr>
                                <w:b/>
                                <w:color w:val="FFFFFF" w:themeColor="background1"/>
                                <w:sz w:val="96"/>
                              </w:rPr>
                              <w:t>202</w:t>
                            </w:r>
                            <w:r>
                              <w:rPr>
                                <w:b/>
                                <w:color w:val="FFFFFF" w:themeColor="background1"/>
                                <w:sz w:val="96"/>
                              </w:rPr>
                              <w:t>4</w:t>
                            </w:r>
                          </w:p>
                        </w:txbxContent>
                      </wps:txbx>
                      <wps:bodyPr rot="0" vert="horz" wrap="square" lIns="91440" tIns="45720" rIns="91440" bIns="45720" anchor="t" anchorCtr="0" upright="1">
                        <a:noAutofit/>
                      </wps:bodyPr>
                    </wps:wsp>
                  </a:graphicData>
                </a:graphic>
              </wp:anchor>
            </w:drawing>
          </mc:Choice>
          <mc:Fallback>
            <w:pict>
              <v:shapetype w14:anchorId="72640C3F" id="_x0000_t202" coordsize="21600,21600" o:spt="202" path="m,l,21600r21600,l21600,xe">
                <v:stroke joinstyle="miter"/>
                <v:path gradientshapeok="t" o:connecttype="rect"/>
              </v:shapetype>
              <v:shape id="Text Box 11" o:spid="_x0000_s1026" type="#_x0000_t202" style="position:absolute;left:0;text-align:left;margin-left:-47.6pt;margin-top:148.75pt;width:194.4pt;height:72.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" fillcolor="#ffc000" stroked="f">
                <v:textbox>
                  <w:txbxContent>
                    <w:p w14:paraId="5E0B8239" w14:textId="77777777" w:rsidR="00DA0C5F" w:rsidRPr="00E55BD9" w:rsidRDefault="00DA0C5F" w:rsidP="00697BD8">
                      <w:pPr>
                        <w:spacing w:after="0" w:line="240" w:lineRule="auto"/>
                        <w:jc w:val="center"/>
                        <w:rPr>
                          <w:b/>
                          <w:color w:val="FFFFFF" w:themeColor="background1"/>
                          <w:sz w:val="96"/>
                        </w:rPr>
                      </w:pPr>
                      <w:r w:rsidRPr="00E55BD9">
                        <w:rPr>
                          <w:b/>
                          <w:color w:val="FFFFFF" w:themeColor="background1"/>
                          <w:sz w:val="96"/>
                        </w:rPr>
                        <w:t>202</w:t>
                      </w:r>
                      <w:r>
                        <w:rPr>
                          <w:b/>
                          <w:color w:val="FFFFFF" w:themeColor="background1"/>
                          <w:sz w:val="96"/>
                        </w:rPr>
                        <w:t>4</w:t>
                      </w:r>
                    </w:p>
                  </w:txbxContent>
                </v:textbox>
              </v:shape>
            </w:pict>
          </mc:Fallback>
        </mc:AlternateContent>
      </w:r>
      <w:bookmarkEnd w:id="0"/>
      <w:bookmarkEnd w:id="1"/>
      <w:bookmarkEnd w:id="2"/>
      <w:bookmarkEnd w:id="3"/>
      <w:bookmarkEnd w:id="4"/>
      <w:bookmarkEnd w:id="5"/>
      <w:r w:rsidR="0079233C">
        <w:rPr>
          <w:rFonts w:eastAsia="Arial Unicode MS" w:cs="Calibri"/>
          <w:sz w:val="24"/>
          <w:szCs w:val="24"/>
        </w:rPr>
        <w:br w:type="page"/>
      </w:r>
    </w:p>
    <w:p w14:paraId="581C21AC" w14:textId="37D1AC1E" w:rsidR="006679CF" w:rsidRPr="006679CF" w:rsidRDefault="0093678C" w:rsidP="006679CF">
      <w:pPr>
        <w:rPr>
          <w:rFonts w:eastAsia="Arial Unicode MS" w:cs="Calibri"/>
          <w:b/>
        </w:rPr>
      </w:pPr>
      <w:r>
        <w:rPr>
          <w:noProof/>
          <w:lang w:eastAsia="pt-BR"/>
        </w:rPr>
        <w:lastRenderedPageBreak/>
        <mc:AlternateContent>
          <mc:Choice Requires="wps">
            <w:drawing>
              <wp:anchor distT="0" distB="0" distL="114300" distR="114300" simplePos="0" relativeHeight="251675648" behindDoc="0" locked="0" layoutInCell="1" allowOverlap="1" wp14:anchorId="29E0ED62" wp14:editId="64DC6D34">
                <wp:simplePos x="0" y="0"/>
                <wp:positionH relativeFrom="leftMargin">
                  <wp:posOffset>409575</wp:posOffset>
                </wp:positionH>
                <wp:positionV relativeFrom="paragraph">
                  <wp:posOffset>0</wp:posOffset>
                </wp:positionV>
                <wp:extent cx="78740" cy="314960"/>
                <wp:effectExtent l="0" t="0" r="0" b="0"/>
                <wp:wrapTight wrapText="bothSides">
                  <wp:wrapPolygon edited="0">
                    <wp:start x="0" y="0"/>
                    <wp:lineTo x="0" y="20903"/>
                    <wp:lineTo x="20903" y="20903"/>
                    <wp:lineTo x="20903" y="0"/>
                    <wp:lineTo x="0" y="0"/>
                  </wp:wrapPolygon>
                </wp:wrapTight>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740" cy="314960"/>
                        </a:xfrm>
                        <a:prstGeom prst="rect">
                          <a:avLst/>
                        </a:prstGeom>
                        <a:noFill/>
                        <a:ln>
                          <a:noFill/>
                        </a:ln>
                      </wps:spPr>
                      <wps:txbx>
                        <w:txbxContent>
                          <w:p w14:paraId="76F9BF2F" w14:textId="77777777" w:rsidR="00DA0C5F" w:rsidRDefault="00DA0C5F" w:rsidP="006679CF">
                            <w:pPr>
                              <w:jc w:val="center"/>
                              <w:rPr>
                                <w:color w:val="FFFFFF"/>
                                <w:sz w:val="28"/>
                              </w:rPr>
                            </w:pPr>
                            <w:r>
                              <w:rPr>
                                <w:color w:val="FFFFFF"/>
                                <w:sz w:val="28"/>
                              </w:rPr>
                              <w:t>-------------------------------------------------------------------------------------------------------------------------------------------------------------------------------------------------------------</w:t>
                            </w:r>
                          </w:p>
                          <w:p w14:paraId="66285ED7" w14:textId="77777777" w:rsidR="00DA0C5F" w:rsidRDefault="00DA0C5F" w:rsidP="006679CF">
                            <w:pPr>
                              <w:jc w:val="center"/>
                              <w:rPr>
                                <w:color w:val="FFFFFF"/>
                                <w:sz w:val="44"/>
                              </w:rPr>
                            </w:pPr>
                          </w:p>
                          <w:p w14:paraId="35CB462F" w14:textId="77777777" w:rsidR="00DA0C5F" w:rsidRDefault="00DA0C5F" w:rsidP="006679CF">
                            <w:pPr>
                              <w:jc w:val="center"/>
                              <w:rPr>
                                <w:color w:val="FFFFFF"/>
                                <w:sz w:val="44"/>
                              </w:rPr>
                            </w:pPr>
                          </w:p>
                          <w:p w14:paraId="52503803" w14:textId="77777777" w:rsidR="00DA0C5F" w:rsidRDefault="00DA0C5F" w:rsidP="006679CF">
                            <w:pPr>
                              <w:jc w:val="center"/>
                              <w:rPr>
                                <w:color w:val="FFFFFF"/>
                                <w:sz w:val="44"/>
                              </w:rPr>
                            </w:pPr>
                          </w:p>
                          <w:p w14:paraId="6A81BB1B" w14:textId="77777777" w:rsidR="00DA0C5F" w:rsidRDefault="00DA0C5F" w:rsidP="006679CF">
                            <w:pPr>
                              <w:jc w:val="center"/>
                              <w:rPr>
                                <w:color w:val="FFFFFF"/>
                                <w:sz w:val="56"/>
                                <w:szCs w:val="56"/>
                              </w:rPr>
                            </w:pPr>
                            <w:r>
                              <w:rPr>
                                <w:color w:val="FFFFFF"/>
                                <w:sz w:val="56"/>
                                <w:szCs w:val="56"/>
                              </w:rPr>
                              <w:t xml:space="preserve">DIRETRIZES PARA ELABORAÇÃO </w:t>
                            </w:r>
                          </w:p>
                          <w:p w14:paraId="0DF3E9DB" w14:textId="77777777" w:rsidR="00DA0C5F" w:rsidRDefault="00DA0C5F" w:rsidP="006679CF">
                            <w:pPr>
                              <w:jc w:val="center"/>
                              <w:rPr>
                                <w:color w:val="FFFFFF"/>
                                <w:sz w:val="48"/>
                                <w:szCs w:val="48"/>
                              </w:rPr>
                            </w:pPr>
                            <w:r>
                              <w:rPr>
                                <w:color w:val="FFFFFF"/>
                                <w:sz w:val="48"/>
                                <w:szCs w:val="48"/>
                              </w:rPr>
                              <w:t xml:space="preserve">DA REPROGRAMAÇÃO DO </w:t>
                            </w:r>
                          </w:p>
                          <w:p w14:paraId="615F3160" w14:textId="77777777" w:rsidR="00DA0C5F" w:rsidRDefault="00DA0C5F" w:rsidP="006679CF">
                            <w:pPr>
                              <w:jc w:val="center"/>
                              <w:rPr>
                                <w:color w:val="FFFFFF"/>
                                <w:sz w:val="48"/>
                                <w:szCs w:val="48"/>
                              </w:rPr>
                            </w:pPr>
                            <w:r>
                              <w:rPr>
                                <w:color w:val="FFFFFF"/>
                                <w:sz w:val="48"/>
                                <w:szCs w:val="48"/>
                              </w:rPr>
                              <w:t>PLANO DE AÇÃO E ORÇAMENTO DO CAU</w:t>
                            </w:r>
                          </w:p>
                          <w:p w14:paraId="1BF62045" w14:textId="77777777" w:rsidR="00DA0C5F" w:rsidRDefault="00DA0C5F" w:rsidP="006679CF">
                            <w:pPr>
                              <w:jc w:val="center"/>
                              <w:rPr>
                                <w:color w:val="FFFFFF"/>
                                <w:sz w:val="48"/>
                                <w:szCs w:val="48"/>
                              </w:rPr>
                            </w:pPr>
                          </w:p>
                          <w:p w14:paraId="4C40BC3A" w14:textId="77777777" w:rsidR="00DA0C5F" w:rsidRDefault="00DA0C5F" w:rsidP="006679CF">
                            <w:pPr>
                              <w:jc w:val="center"/>
                              <w:rPr>
                                <w:color w:val="FFFFFF"/>
                                <w:sz w:val="40"/>
                                <w:szCs w:val="40"/>
                              </w:rPr>
                            </w:pPr>
                            <w:r>
                              <w:rPr>
                                <w:color w:val="FFFFFF"/>
                                <w:sz w:val="40"/>
                                <w:szCs w:val="40"/>
                              </w:rPr>
                              <w:t>EXERCÍCIO 2020</w:t>
                            </w:r>
                          </w:p>
                          <w:p w14:paraId="6A81C9A5" w14:textId="77777777" w:rsidR="00DA0C5F" w:rsidRDefault="00DA0C5F" w:rsidP="006679CF">
                            <w:pPr>
                              <w:jc w:val="center"/>
                              <w:rPr>
                                <w:color w:val="FFFFFF"/>
                                <w:sz w:val="36"/>
                              </w:rPr>
                            </w:pPr>
                          </w:p>
                          <w:p w14:paraId="1021B136" w14:textId="77777777" w:rsidR="00DA0C5F" w:rsidRDefault="00DA0C5F" w:rsidP="006679CF">
                            <w:pPr>
                              <w:jc w:val="center"/>
                              <w:rPr>
                                <w:color w:val="FFFFFF"/>
                                <w:sz w:val="36"/>
                              </w:rPr>
                            </w:pPr>
                          </w:p>
                          <w:p w14:paraId="7798182A" w14:textId="77777777" w:rsidR="00DA0C5F" w:rsidRDefault="00DA0C5F" w:rsidP="006679CF">
                            <w:pPr>
                              <w:jc w:val="center"/>
                              <w:rPr>
                                <w:color w:val="FFFFFF"/>
                                <w:sz w:val="28"/>
                                <w:szCs w:val="28"/>
                              </w:rPr>
                            </w:pPr>
                            <w:r>
                              <w:rPr>
                                <w:color w:val="FFFFFF"/>
                                <w:sz w:val="28"/>
                                <w:szCs w:val="28"/>
                              </w:rPr>
                              <w:t xml:space="preserve"> </w:t>
                            </w:r>
                          </w:p>
                          <w:p w14:paraId="20E40243" w14:textId="77777777" w:rsidR="00DA0C5F" w:rsidRDefault="00DA0C5F" w:rsidP="006679CF">
                            <w:pPr>
                              <w:jc w:val="center"/>
                              <w:rPr>
                                <w:color w:val="FFFFFF" w:themeColor="background1"/>
                                <w:sz w:val="28"/>
                                <w:szCs w:val="28"/>
                              </w:rPr>
                            </w:pPr>
                          </w:p>
                          <w:p w14:paraId="663799AE" w14:textId="77777777" w:rsidR="00DA0C5F" w:rsidRDefault="00DA0C5F" w:rsidP="006679CF">
                            <w:pPr>
                              <w:jc w:val="center"/>
                              <w:rPr>
                                <w:color w:val="FFFFFF" w:themeColor="background1"/>
                                <w:sz w:val="28"/>
                                <w:szCs w:val="28"/>
                              </w:rPr>
                            </w:pPr>
                            <w:r>
                              <w:rPr>
                                <w:color w:val="FFFFFF" w:themeColor="background1"/>
                                <w:sz w:val="28"/>
                                <w:szCs w:val="28"/>
                              </w:rPr>
                              <w:t xml:space="preserve">103ª Plenária Ordinária </w:t>
                            </w:r>
                          </w:p>
                          <w:p w14:paraId="7E0FA424" w14:textId="77777777" w:rsidR="00DA0C5F" w:rsidRDefault="00DA0C5F" w:rsidP="006679CF">
                            <w:pPr>
                              <w:jc w:val="center"/>
                              <w:rPr>
                                <w:color w:val="FFFFFF" w:themeColor="background1"/>
                                <w:sz w:val="28"/>
                                <w:szCs w:val="28"/>
                              </w:rPr>
                            </w:pPr>
                            <w:r>
                              <w:rPr>
                                <w:color w:val="FFFFFF" w:themeColor="background1"/>
                                <w:sz w:val="28"/>
                                <w:szCs w:val="28"/>
                              </w:rPr>
                              <w:t>Brasília, 30 e 31 de julho de 2020</w:t>
                            </w:r>
                          </w:p>
                          <w:p w14:paraId="3918E38D" w14:textId="77777777" w:rsidR="00DA0C5F" w:rsidRDefault="00DA0C5F" w:rsidP="006679CF">
                            <w:pPr>
                              <w:jc w:val="center"/>
                              <w:rPr>
                                <w:sz w:val="28"/>
                                <w:szCs w:val="28"/>
                              </w:rPr>
                            </w:pPr>
                          </w:p>
                          <w:p w14:paraId="0ADE7669" w14:textId="77777777" w:rsidR="00DA0C5F" w:rsidRDefault="00DA0C5F" w:rsidP="006679CF">
                            <w:pPr>
                              <w:jc w:val="center"/>
                              <w:rPr>
                                <w:sz w:val="28"/>
                                <w:szCs w:val="28"/>
                              </w:rPr>
                            </w:pPr>
                          </w:p>
                          <w:p w14:paraId="137159FD" w14:textId="77777777" w:rsidR="00DA0C5F" w:rsidRDefault="00DA0C5F" w:rsidP="006679CF">
                            <w:pPr>
                              <w:jc w:val="center"/>
                              <w:rPr>
                                <w:sz w:val="28"/>
                                <w:szCs w:val="28"/>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0ED62" id="Caixa de Texto 24" o:spid="_x0000_s1027" type="#_x0000_t202" style="position:absolute;margin-left:32.25pt;margin-top:0;width:6.2pt;height:24.8pt;flip:x;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" filled="f" stroked="f">
                <v:textbox inset="0,0,0,0">
                  <w:txbxContent>
                    <w:p w14:paraId="76F9BF2F" w14:textId="77777777" w:rsidR="00DA0C5F" w:rsidRDefault="00DA0C5F" w:rsidP="006679CF">
                      <w:pPr>
                        <w:jc w:val="center"/>
                        <w:rPr>
                          <w:color w:val="FFFFFF"/>
                          <w:sz w:val="28"/>
                        </w:rPr>
                      </w:pPr>
                      <w:r>
                        <w:rPr>
                          <w:color w:val="FFFFFF"/>
                          <w:sz w:val="28"/>
                        </w:rPr>
                        <w:t>-------------------------------------------------------------------------------------------------------------------------------------------------------------------------------------------------------------</w:t>
                      </w:r>
                    </w:p>
                    <w:p w14:paraId="66285ED7" w14:textId="77777777" w:rsidR="00DA0C5F" w:rsidRDefault="00DA0C5F" w:rsidP="006679CF">
                      <w:pPr>
                        <w:jc w:val="center"/>
                        <w:rPr>
                          <w:color w:val="FFFFFF"/>
                          <w:sz w:val="44"/>
                        </w:rPr>
                      </w:pPr>
                    </w:p>
                    <w:p w14:paraId="35CB462F" w14:textId="77777777" w:rsidR="00DA0C5F" w:rsidRDefault="00DA0C5F" w:rsidP="006679CF">
                      <w:pPr>
                        <w:jc w:val="center"/>
                        <w:rPr>
                          <w:color w:val="FFFFFF"/>
                          <w:sz w:val="44"/>
                        </w:rPr>
                      </w:pPr>
                    </w:p>
                    <w:p w14:paraId="52503803" w14:textId="77777777" w:rsidR="00DA0C5F" w:rsidRDefault="00DA0C5F" w:rsidP="006679CF">
                      <w:pPr>
                        <w:jc w:val="center"/>
                        <w:rPr>
                          <w:color w:val="FFFFFF"/>
                          <w:sz w:val="44"/>
                        </w:rPr>
                      </w:pPr>
                    </w:p>
                    <w:p w14:paraId="6A81BB1B" w14:textId="77777777" w:rsidR="00DA0C5F" w:rsidRDefault="00DA0C5F" w:rsidP="006679CF">
                      <w:pPr>
                        <w:jc w:val="center"/>
                        <w:rPr>
                          <w:color w:val="FFFFFF"/>
                          <w:sz w:val="56"/>
                          <w:szCs w:val="56"/>
                        </w:rPr>
                      </w:pPr>
                      <w:r>
                        <w:rPr>
                          <w:color w:val="FFFFFF"/>
                          <w:sz w:val="56"/>
                          <w:szCs w:val="56"/>
                        </w:rPr>
                        <w:t xml:space="preserve">DIRETRIZES PARA ELABORAÇÃO </w:t>
                      </w:r>
                    </w:p>
                    <w:p w14:paraId="0DF3E9DB" w14:textId="77777777" w:rsidR="00DA0C5F" w:rsidRDefault="00DA0C5F" w:rsidP="006679CF">
                      <w:pPr>
                        <w:jc w:val="center"/>
                        <w:rPr>
                          <w:color w:val="FFFFFF"/>
                          <w:sz w:val="48"/>
                          <w:szCs w:val="48"/>
                        </w:rPr>
                      </w:pPr>
                      <w:r>
                        <w:rPr>
                          <w:color w:val="FFFFFF"/>
                          <w:sz w:val="48"/>
                          <w:szCs w:val="48"/>
                        </w:rPr>
                        <w:t xml:space="preserve">DA REPROGRAMAÇÃO DO </w:t>
                      </w:r>
                    </w:p>
                    <w:p w14:paraId="615F3160" w14:textId="77777777" w:rsidR="00DA0C5F" w:rsidRDefault="00DA0C5F" w:rsidP="006679CF">
                      <w:pPr>
                        <w:jc w:val="center"/>
                        <w:rPr>
                          <w:color w:val="FFFFFF"/>
                          <w:sz w:val="48"/>
                          <w:szCs w:val="48"/>
                        </w:rPr>
                      </w:pPr>
                      <w:r>
                        <w:rPr>
                          <w:color w:val="FFFFFF"/>
                          <w:sz w:val="48"/>
                          <w:szCs w:val="48"/>
                        </w:rPr>
                        <w:t>PLANO DE AÇÃO E ORÇAMENTO DO CAU</w:t>
                      </w:r>
                    </w:p>
                    <w:p w14:paraId="1BF62045" w14:textId="77777777" w:rsidR="00DA0C5F" w:rsidRDefault="00DA0C5F" w:rsidP="006679CF">
                      <w:pPr>
                        <w:jc w:val="center"/>
                        <w:rPr>
                          <w:color w:val="FFFFFF"/>
                          <w:sz w:val="48"/>
                          <w:szCs w:val="48"/>
                        </w:rPr>
                      </w:pPr>
                    </w:p>
                    <w:p w14:paraId="4C40BC3A" w14:textId="77777777" w:rsidR="00DA0C5F" w:rsidRDefault="00DA0C5F" w:rsidP="006679CF">
                      <w:pPr>
                        <w:jc w:val="center"/>
                        <w:rPr>
                          <w:color w:val="FFFFFF"/>
                          <w:sz w:val="40"/>
                          <w:szCs w:val="40"/>
                        </w:rPr>
                      </w:pPr>
                      <w:r>
                        <w:rPr>
                          <w:color w:val="FFFFFF"/>
                          <w:sz w:val="40"/>
                          <w:szCs w:val="40"/>
                        </w:rPr>
                        <w:t>EXERCÍCIO 2020</w:t>
                      </w:r>
                    </w:p>
                    <w:p w14:paraId="6A81C9A5" w14:textId="77777777" w:rsidR="00DA0C5F" w:rsidRDefault="00DA0C5F" w:rsidP="006679CF">
                      <w:pPr>
                        <w:jc w:val="center"/>
                        <w:rPr>
                          <w:color w:val="FFFFFF"/>
                          <w:sz w:val="36"/>
                        </w:rPr>
                      </w:pPr>
                    </w:p>
                    <w:p w14:paraId="1021B136" w14:textId="77777777" w:rsidR="00DA0C5F" w:rsidRDefault="00DA0C5F" w:rsidP="006679CF">
                      <w:pPr>
                        <w:jc w:val="center"/>
                        <w:rPr>
                          <w:color w:val="FFFFFF"/>
                          <w:sz w:val="36"/>
                        </w:rPr>
                      </w:pPr>
                    </w:p>
                    <w:p w14:paraId="7798182A" w14:textId="77777777" w:rsidR="00DA0C5F" w:rsidRDefault="00DA0C5F" w:rsidP="006679CF">
                      <w:pPr>
                        <w:jc w:val="center"/>
                        <w:rPr>
                          <w:color w:val="FFFFFF"/>
                          <w:sz w:val="28"/>
                          <w:szCs w:val="28"/>
                        </w:rPr>
                      </w:pPr>
                      <w:r>
                        <w:rPr>
                          <w:color w:val="FFFFFF"/>
                          <w:sz w:val="28"/>
                          <w:szCs w:val="28"/>
                        </w:rPr>
                        <w:t xml:space="preserve"> </w:t>
                      </w:r>
                    </w:p>
                    <w:p w14:paraId="20E40243" w14:textId="77777777" w:rsidR="00DA0C5F" w:rsidRDefault="00DA0C5F" w:rsidP="006679CF">
                      <w:pPr>
                        <w:jc w:val="center"/>
                        <w:rPr>
                          <w:color w:val="FFFFFF" w:themeColor="background1"/>
                          <w:sz w:val="28"/>
                          <w:szCs w:val="28"/>
                        </w:rPr>
                      </w:pPr>
                    </w:p>
                    <w:p w14:paraId="663799AE" w14:textId="77777777" w:rsidR="00DA0C5F" w:rsidRDefault="00DA0C5F" w:rsidP="006679CF">
                      <w:pPr>
                        <w:jc w:val="center"/>
                        <w:rPr>
                          <w:color w:val="FFFFFF" w:themeColor="background1"/>
                          <w:sz w:val="28"/>
                          <w:szCs w:val="28"/>
                        </w:rPr>
                      </w:pPr>
                      <w:r>
                        <w:rPr>
                          <w:color w:val="FFFFFF" w:themeColor="background1"/>
                          <w:sz w:val="28"/>
                          <w:szCs w:val="28"/>
                        </w:rPr>
                        <w:t xml:space="preserve">103ª Plenária Ordinária </w:t>
                      </w:r>
                    </w:p>
                    <w:p w14:paraId="7E0FA424" w14:textId="77777777" w:rsidR="00DA0C5F" w:rsidRDefault="00DA0C5F" w:rsidP="006679CF">
                      <w:pPr>
                        <w:jc w:val="center"/>
                        <w:rPr>
                          <w:color w:val="FFFFFF" w:themeColor="background1"/>
                          <w:sz w:val="28"/>
                          <w:szCs w:val="28"/>
                        </w:rPr>
                      </w:pPr>
                      <w:r>
                        <w:rPr>
                          <w:color w:val="FFFFFF" w:themeColor="background1"/>
                          <w:sz w:val="28"/>
                          <w:szCs w:val="28"/>
                        </w:rPr>
                        <w:t>Brasília, 30 e 31 de julho de 2020</w:t>
                      </w:r>
                    </w:p>
                    <w:p w14:paraId="3918E38D" w14:textId="77777777" w:rsidR="00DA0C5F" w:rsidRDefault="00DA0C5F" w:rsidP="006679CF">
                      <w:pPr>
                        <w:jc w:val="center"/>
                        <w:rPr>
                          <w:sz w:val="28"/>
                          <w:szCs w:val="28"/>
                        </w:rPr>
                      </w:pPr>
                    </w:p>
                    <w:p w14:paraId="0ADE7669" w14:textId="77777777" w:rsidR="00DA0C5F" w:rsidRDefault="00DA0C5F" w:rsidP="006679CF">
                      <w:pPr>
                        <w:jc w:val="center"/>
                        <w:rPr>
                          <w:sz w:val="28"/>
                          <w:szCs w:val="28"/>
                        </w:rPr>
                      </w:pPr>
                    </w:p>
                    <w:p w14:paraId="137159FD" w14:textId="77777777" w:rsidR="00DA0C5F" w:rsidRDefault="00DA0C5F" w:rsidP="006679CF">
                      <w:pPr>
                        <w:jc w:val="center"/>
                        <w:rPr>
                          <w:sz w:val="28"/>
                          <w:szCs w:val="28"/>
                        </w:rPr>
                      </w:pPr>
                    </w:p>
                  </w:txbxContent>
                </v:textbox>
                <w10:wrap type="tight" anchorx="margin"/>
              </v:shape>
            </w:pict>
          </mc:Fallback>
        </mc:AlternateContent>
      </w:r>
      <w:r w:rsidR="006679CF" w:rsidRPr="006679CF">
        <w:rPr>
          <w:rFonts w:eastAsia="Arial Unicode MS" w:cs="Calibri"/>
          <w:b/>
        </w:rPr>
        <w:t>CONSELHO DE ARQUITETURA E URBANISMO DO BRASIL – CAU/BR</w:t>
      </w:r>
    </w:p>
    <w:p w14:paraId="4A44A950" w14:textId="77777777" w:rsidR="006679CF" w:rsidRPr="006679CF" w:rsidRDefault="006679CF" w:rsidP="006679CF">
      <w:pPr>
        <w:spacing w:line="240" w:lineRule="auto"/>
        <w:rPr>
          <w:rFonts w:eastAsia="Arial Unicode MS" w:cs="Calibri"/>
          <w:b/>
        </w:rPr>
      </w:pPr>
      <w:r w:rsidRPr="006679CF">
        <w:rPr>
          <w:rFonts w:eastAsia="Arial Unicode MS" w:cs="Calibri"/>
          <w:b/>
        </w:rPr>
        <w:t>SEPS/EQ. Edifício General Alencastro 702/902; Conjunto B, Bloco A; Brasília/DF.</w:t>
      </w:r>
    </w:p>
    <w:p w14:paraId="6EF469DD" w14:textId="77777777" w:rsidR="006679CF" w:rsidRPr="006679CF" w:rsidRDefault="006679CF" w:rsidP="006679CF">
      <w:pPr>
        <w:spacing w:line="240" w:lineRule="auto"/>
        <w:rPr>
          <w:rFonts w:eastAsia="Arial Unicode MS" w:cs="Calibri"/>
          <w:b/>
          <w:sz w:val="14"/>
          <w:szCs w:val="14"/>
        </w:rPr>
      </w:pPr>
    </w:p>
    <w:p w14:paraId="39C9888C" w14:textId="318E3002" w:rsidR="006679CF" w:rsidRDefault="006679CF" w:rsidP="006679CF">
      <w:pPr>
        <w:spacing w:line="240" w:lineRule="auto"/>
        <w:rPr>
          <w:rFonts w:eastAsia="Arial Unicode MS" w:cs="Calibri"/>
          <w:b/>
        </w:rPr>
      </w:pPr>
      <w:r w:rsidRPr="006679CF">
        <w:rPr>
          <w:rFonts w:eastAsia="Arial Unicode MS" w:cs="Calibri"/>
          <w:b/>
        </w:rPr>
        <w:t>Nadia Somekh (SP) | Presidente</w:t>
      </w:r>
    </w:p>
    <w:p w14:paraId="36D485C8" w14:textId="77777777" w:rsidR="006679CF" w:rsidRPr="006679CF" w:rsidRDefault="006679CF" w:rsidP="006679CF">
      <w:pPr>
        <w:spacing w:line="240" w:lineRule="auto"/>
        <w:rPr>
          <w:rFonts w:eastAsia="Arial Unicode MS" w:cs="Calibri"/>
          <w:b/>
          <w:sz w:val="14"/>
          <w:szCs w:val="14"/>
        </w:rPr>
      </w:pPr>
    </w:p>
    <w:p w14:paraId="038846AB" w14:textId="77777777" w:rsidR="006679CF" w:rsidRPr="006679CF" w:rsidRDefault="006679CF" w:rsidP="006679CF">
      <w:pPr>
        <w:spacing w:line="240" w:lineRule="auto"/>
        <w:rPr>
          <w:rFonts w:eastAsia="Arial Unicode MS" w:cs="Calibri"/>
          <w:b/>
        </w:rPr>
      </w:pPr>
      <w:r w:rsidRPr="006679CF">
        <w:rPr>
          <w:rFonts w:eastAsia="Arial Unicode MS" w:cs="Calibri"/>
          <w:b/>
        </w:rPr>
        <w:t>Conselho Diretor</w:t>
      </w:r>
    </w:p>
    <w:p w14:paraId="0B2FDBF9" w14:textId="0E9CEBE4" w:rsidR="000444D4" w:rsidRPr="006679CF" w:rsidRDefault="000444D4" w:rsidP="000444D4">
      <w:pPr>
        <w:spacing w:line="240" w:lineRule="auto"/>
        <w:rPr>
          <w:rFonts w:eastAsia="Arial Unicode MS" w:cs="Calibri"/>
        </w:rPr>
      </w:pPr>
      <w:r w:rsidRPr="006679CF">
        <w:rPr>
          <w:rFonts w:eastAsia="Arial Unicode MS" w:cs="Calibri"/>
        </w:rPr>
        <w:t>Daniela Pareja Garcia Sarmento</w:t>
      </w:r>
      <w:r>
        <w:rPr>
          <w:rFonts w:eastAsia="Arial Unicode MS" w:cs="Calibri"/>
        </w:rPr>
        <w:t>¹</w:t>
      </w:r>
      <w:r w:rsidRPr="006679CF">
        <w:rPr>
          <w:rFonts w:eastAsia="Arial Unicode MS" w:cs="Calibri"/>
        </w:rPr>
        <w:tab/>
        <w:t xml:space="preserve">| Coord. da Comissão de Planejamento e Finanças </w:t>
      </w:r>
    </w:p>
    <w:p w14:paraId="1E0BBF80" w14:textId="2ECA4B75" w:rsidR="006679CF" w:rsidRPr="006679CF" w:rsidRDefault="00720F5C" w:rsidP="006679CF">
      <w:pPr>
        <w:spacing w:line="240" w:lineRule="auto"/>
        <w:rPr>
          <w:rFonts w:eastAsia="Arial Unicode MS" w:cs="Calibri"/>
        </w:rPr>
      </w:pPr>
      <w:r>
        <w:rPr>
          <w:rFonts w:eastAsia="Arial Unicode MS" w:cs="Calibri"/>
        </w:rPr>
        <w:t xml:space="preserve">Nilton de Lima Júnior </w:t>
      </w:r>
      <w:r w:rsidR="000444D4">
        <w:rPr>
          <w:rFonts w:eastAsia="Arial Unicode MS" w:cs="Calibri"/>
        </w:rPr>
        <w:t>²</w:t>
      </w:r>
      <w:r w:rsidR="000444D4">
        <w:rPr>
          <w:rFonts w:eastAsia="Arial Unicode MS" w:cs="Calibri"/>
        </w:rPr>
        <w:tab/>
      </w:r>
      <w:r w:rsidR="006679CF" w:rsidRPr="006679CF">
        <w:rPr>
          <w:rFonts w:eastAsia="Arial Unicode MS" w:cs="Calibri"/>
        </w:rPr>
        <w:tab/>
      </w:r>
      <w:r>
        <w:rPr>
          <w:rFonts w:eastAsia="Arial Unicode MS" w:cs="Calibri"/>
        </w:rPr>
        <w:tab/>
      </w:r>
      <w:r w:rsidR="006679CF" w:rsidRPr="006679CF">
        <w:rPr>
          <w:rFonts w:eastAsia="Arial Unicode MS" w:cs="Calibri"/>
        </w:rPr>
        <w:t>|</w:t>
      </w:r>
      <w:r w:rsidRPr="00720F5C">
        <w:rPr>
          <w:rFonts w:eastAsia="Arial Unicode MS" w:cs="Calibri"/>
        </w:rPr>
        <w:t xml:space="preserve"> </w:t>
      </w:r>
      <w:r w:rsidRPr="006679CF">
        <w:rPr>
          <w:rFonts w:eastAsia="Arial Unicode MS" w:cs="Calibri"/>
        </w:rPr>
        <w:t xml:space="preserve">Coord. </w:t>
      </w:r>
      <w:r>
        <w:rPr>
          <w:rFonts w:eastAsia="Arial Unicode MS" w:cs="Calibri"/>
        </w:rPr>
        <w:t xml:space="preserve">da </w:t>
      </w:r>
      <w:r w:rsidRPr="006679CF">
        <w:rPr>
          <w:rFonts w:eastAsia="Arial Unicode MS" w:cs="Calibri"/>
        </w:rPr>
        <w:t>Comissão de Organização e Administração</w:t>
      </w:r>
      <w:r w:rsidR="006679CF" w:rsidRPr="006679CF">
        <w:rPr>
          <w:rFonts w:eastAsia="Arial Unicode MS" w:cs="Calibri"/>
        </w:rPr>
        <w:t xml:space="preserve"> </w:t>
      </w:r>
    </w:p>
    <w:p w14:paraId="571D4AF3" w14:textId="5B602E64" w:rsidR="000444D4" w:rsidRPr="006679CF" w:rsidRDefault="000444D4" w:rsidP="000444D4">
      <w:pPr>
        <w:spacing w:line="240" w:lineRule="auto"/>
        <w:rPr>
          <w:rFonts w:eastAsia="Arial Unicode MS" w:cs="Calibri"/>
        </w:rPr>
      </w:pPr>
      <w:r w:rsidRPr="006679CF">
        <w:rPr>
          <w:rFonts w:eastAsia="Arial Unicode MS" w:cs="Calibri"/>
        </w:rPr>
        <w:t>Fabricio Lopes Santos</w:t>
      </w:r>
      <w:r w:rsidRPr="006679CF">
        <w:rPr>
          <w:rFonts w:eastAsia="Arial Unicode MS" w:cs="Calibri"/>
        </w:rPr>
        <w:tab/>
      </w:r>
      <w:r w:rsidRPr="006679CF">
        <w:rPr>
          <w:rFonts w:eastAsia="Arial Unicode MS" w:cs="Calibri"/>
        </w:rPr>
        <w:tab/>
      </w:r>
      <w:r w:rsidRPr="006679CF">
        <w:rPr>
          <w:rFonts w:eastAsia="Arial Unicode MS" w:cs="Calibri"/>
        </w:rPr>
        <w:tab/>
        <w:t xml:space="preserve">| Coord. </w:t>
      </w:r>
      <w:r>
        <w:rPr>
          <w:rFonts w:eastAsia="Arial Unicode MS" w:cs="Calibri"/>
        </w:rPr>
        <w:t xml:space="preserve">da </w:t>
      </w:r>
      <w:r w:rsidRPr="006679CF">
        <w:rPr>
          <w:rFonts w:eastAsia="Arial Unicode MS" w:cs="Calibri"/>
        </w:rPr>
        <w:t>Comissão de Ética e Disciplina</w:t>
      </w:r>
    </w:p>
    <w:p w14:paraId="3A306800" w14:textId="77777777" w:rsidR="00720F5C" w:rsidRPr="006679CF" w:rsidRDefault="00720F5C" w:rsidP="00720F5C">
      <w:pPr>
        <w:spacing w:line="240" w:lineRule="auto"/>
        <w:rPr>
          <w:rFonts w:eastAsia="Arial Unicode MS" w:cs="Calibri"/>
        </w:rPr>
      </w:pPr>
      <w:r w:rsidRPr="006679CF">
        <w:rPr>
          <w:rFonts w:eastAsia="Arial Unicode MS" w:cs="Calibri"/>
        </w:rPr>
        <w:t>Patr</w:t>
      </w:r>
      <w:r>
        <w:rPr>
          <w:rFonts w:eastAsia="Arial Unicode MS" w:cs="Calibri"/>
        </w:rPr>
        <w:t>í</w:t>
      </w:r>
      <w:r w:rsidRPr="006679CF">
        <w:rPr>
          <w:rFonts w:eastAsia="Arial Unicode MS" w:cs="Calibri"/>
        </w:rPr>
        <w:t>cia Silva Luz de Macedo</w:t>
      </w:r>
      <w:r w:rsidRPr="0079353D">
        <w:rPr>
          <w:rFonts w:eastAsia="Arial Unicode MS" w:cs="Calibri"/>
        </w:rPr>
        <w:t xml:space="preserve"> </w:t>
      </w:r>
      <w:r>
        <w:rPr>
          <w:rFonts w:eastAsia="Arial Unicode MS" w:cs="Calibri"/>
        </w:rPr>
        <w:tab/>
      </w:r>
      <w:r w:rsidRPr="006679CF">
        <w:rPr>
          <w:rFonts w:eastAsia="Arial Unicode MS" w:cs="Calibri"/>
        </w:rPr>
        <w:tab/>
        <w:t xml:space="preserve">| Coord. </w:t>
      </w:r>
      <w:r>
        <w:rPr>
          <w:rFonts w:eastAsia="Arial Unicode MS" w:cs="Calibri"/>
        </w:rPr>
        <w:t xml:space="preserve">da </w:t>
      </w:r>
      <w:r w:rsidRPr="006679CF">
        <w:rPr>
          <w:rFonts w:eastAsia="Arial Unicode MS" w:cs="Calibri"/>
        </w:rPr>
        <w:t xml:space="preserve">Comissão de Exercício Profissional </w:t>
      </w:r>
    </w:p>
    <w:p w14:paraId="7970EE10" w14:textId="2B81BBDC" w:rsidR="006679CF" w:rsidRPr="006679CF" w:rsidRDefault="006679CF" w:rsidP="006679CF">
      <w:pPr>
        <w:spacing w:line="240" w:lineRule="auto"/>
        <w:rPr>
          <w:rFonts w:eastAsia="Arial Unicode MS" w:cs="Calibri"/>
        </w:rPr>
      </w:pPr>
      <w:r w:rsidRPr="006679CF">
        <w:rPr>
          <w:rFonts w:eastAsia="Arial Unicode MS" w:cs="Calibri"/>
        </w:rPr>
        <w:t>Valter Luis Caldana Junior</w:t>
      </w:r>
      <w:r w:rsidRPr="006679CF">
        <w:rPr>
          <w:rFonts w:eastAsia="Arial Unicode MS" w:cs="Calibri"/>
        </w:rPr>
        <w:tab/>
      </w:r>
      <w:r w:rsidRPr="006679CF">
        <w:rPr>
          <w:rFonts w:eastAsia="Arial Unicode MS" w:cs="Calibri"/>
        </w:rPr>
        <w:tab/>
        <w:t xml:space="preserve">| Coord. </w:t>
      </w:r>
      <w:r w:rsidR="000444D4">
        <w:rPr>
          <w:rFonts w:eastAsia="Arial Unicode MS" w:cs="Calibri"/>
        </w:rPr>
        <w:t xml:space="preserve">da </w:t>
      </w:r>
      <w:r w:rsidRPr="006679CF">
        <w:rPr>
          <w:rFonts w:eastAsia="Arial Unicode MS" w:cs="Calibri"/>
        </w:rPr>
        <w:t xml:space="preserve">Comissão de Ensino e Formação </w:t>
      </w:r>
    </w:p>
    <w:p w14:paraId="54393A58" w14:textId="15FF316E" w:rsidR="006679CF" w:rsidRDefault="000444D4" w:rsidP="006679CF">
      <w:pPr>
        <w:spacing w:line="240" w:lineRule="auto"/>
        <w:rPr>
          <w:rFonts w:eastAsia="Arial Unicode MS" w:cs="Calibri"/>
          <w:i/>
          <w:iCs/>
        </w:rPr>
      </w:pPr>
      <w:r>
        <w:rPr>
          <w:rFonts w:eastAsia="Arial Unicode MS" w:cs="Calibri"/>
          <w:i/>
          <w:iCs/>
        </w:rPr>
        <w:t xml:space="preserve">¹ </w:t>
      </w:r>
      <w:r w:rsidRPr="000444D4">
        <w:rPr>
          <w:rFonts w:eastAsia="Arial Unicode MS" w:cs="Calibri"/>
          <w:sz w:val="16"/>
          <w:szCs w:val="16"/>
        </w:rPr>
        <w:t>1ª Vice-Presidente</w:t>
      </w:r>
    </w:p>
    <w:p w14:paraId="7A18154F" w14:textId="192FF90D" w:rsidR="000444D4" w:rsidRPr="006679CF" w:rsidRDefault="000444D4" w:rsidP="006679CF">
      <w:pPr>
        <w:spacing w:line="240" w:lineRule="auto"/>
        <w:rPr>
          <w:rFonts w:eastAsia="Arial Unicode MS" w:cs="Calibri"/>
          <w:i/>
          <w:iCs/>
        </w:rPr>
      </w:pPr>
      <w:r>
        <w:rPr>
          <w:rFonts w:eastAsia="Arial Unicode MS" w:cs="Calibri"/>
          <w:i/>
          <w:iCs/>
        </w:rPr>
        <w:t xml:space="preserve">² </w:t>
      </w:r>
      <w:r w:rsidRPr="000444D4">
        <w:rPr>
          <w:rFonts w:eastAsia="Arial Unicode MS" w:cs="Calibri"/>
          <w:sz w:val="16"/>
          <w:szCs w:val="16"/>
        </w:rPr>
        <w:t>2ª Vice-Presidente</w:t>
      </w:r>
    </w:p>
    <w:p w14:paraId="32801BBC" w14:textId="77777777" w:rsidR="006679CF" w:rsidRPr="006679CF" w:rsidRDefault="006679CF" w:rsidP="006679CF">
      <w:pPr>
        <w:spacing w:line="240" w:lineRule="auto"/>
        <w:rPr>
          <w:rFonts w:eastAsia="Arial Unicode MS" w:cs="Calibri"/>
          <w:b/>
          <w:color w:val="FF0000"/>
          <w:sz w:val="14"/>
          <w:szCs w:val="14"/>
        </w:rPr>
      </w:pPr>
    </w:p>
    <w:p w14:paraId="77B4D176" w14:textId="77777777" w:rsidR="006679CF" w:rsidRPr="006679CF" w:rsidRDefault="006679CF" w:rsidP="006679CF">
      <w:pPr>
        <w:spacing w:line="240" w:lineRule="auto"/>
        <w:rPr>
          <w:rFonts w:eastAsia="Arial Unicode MS" w:cs="Calibri"/>
          <w:b/>
        </w:rPr>
      </w:pPr>
      <w:r w:rsidRPr="006679CF">
        <w:rPr>
          <w:rFonts w:eastAsia="Arial Unicode MS" w:cs="Calibri"/>
          <w:b/>
        </w:rPr>
        <w:t>Comissão de Planejamento e Finanças</w:t>
      </w:r>
    </w:p>
    <w:p w14:paraId="6ED497B9" w14:textId="248B210F" w:rsidR="006679CF" w:rsidRPr="006679CF" w:rsidRDefault="006679CF" w:rsidP="006679CF">
      <w:pPr>
        <w:spacing w:line="240" w:lineRule="auto"/>
        <w:rPr>
          <w:rFonts w:eastAsia="Arial Unicode MS" w:cs="Calibri"/>
        </w:rPr>
      </w:pPr>
      <w:r w:rsidRPr="006679CF">
        <w:rPr>
          <w:rFonts w:eastAsia="Arial Unicode MS" w:cs="Calibri"/>
        </w:rPr>
        <w:t>Daniela Pareja Garcia Sarmento</w:t>
      </w:r>
      <w:r w:rsidRPr="006679CF">
        <w:rPr>
          <w:rFonts w:eastAsia="Arial Unicode MS" w:cs="Calibri"/>
        </w:rPr>
        <w:tab/>
      </w:r>
      <w:r>
        <w:rPr>
          <w:rFonts w:eastAsia="Arial Unicode MS" w:cs="Calibri"/>
        </w:rPr>
        <w:tab/>
      </w:r>
      <w:r w:rsidRPr="006679CF">
        <w:rPr>
          <w:rFonts w:eastAsia="Arial Unicode MS" w:cs="Calibri"/>
        </w:rPr>
        <w:t>|   Coordenador</w:t>
      </w:r>
      <w:r w:rsidR="000444D4">
        <w:rPr>
          <w:rFonts w:eastAsia="Arial Unicode MS" w:cs="Calibri"/>
        </w:rPr>
        <w:t>a</w:t>
      </w:r>
    </w:p>
    <w:p w14:paraId="6CCD77C9" w14:textId="7AC3B849" w:rsidR="006679CF" w:rsidRPr="006679CF" w:rsidRDefault="006679CF" w:rsidP="006679CF">
      <w:pPr>
        <w:spacing w:line="240" w:lineRule="auto"/>
        <w:rPr>
          <w:rFonts w:eastAsia="Arial Unicode MS" w:cs="Calibri"/>
        </w:rPr>
      </w:pPr>
      <w:r w:rsidRPr="006679CF">
        <w:rPr>
          <w:rFonts w:eastAsia="Arial Unicode MS" w:cs="Calibri"/>
        </w:rPr>
        <w:t>Maíra Rocha Mattos</w:t>
      </w:r>
      <w:r w:rsidRPr="006679CF">
        <w:rPr>
          <w:rFonts w:eastAsia="Arial Unicode MS" w:cs="Calibri"/>
        </w:rPr>
        <w:tab/>
      </w:r>
      <w:r w:rsidRPr="006679CF">
        <w:rPr>
          <w:rFonts w:eastAsia="Arial Unicode MS" w:cs="Calibri"/>
        </w:rPr>
        <w:tab/>
      </w:r>
      <w:r w:rsidRPr="006679CF">
        <w:rPr>
          <w:rFonts w:eastAsia="Arial Unicode MS" w:cs="Calibri"/>
        </w:rPr>
        <w:tab/>
        <w:t>|   Coordenador</w:t>
      </w:r>
      <w:r w:rsidR="000444D4">
        <w:rPr>
          <w:rFonts w:eastAsia="Arial Unicode MS" w:cs="Calibri"/>
        </w:rPr>
        <w:t>a</w:t>
      </w:r>
      <w:r w:rsidRPr="006679CF">
        <w:rPr>
          <w:rFonts w:eastAsia="Arial Unicode MS" w:cs="Calibri"/>
        </w:rPr>
        <w:t xml:space="preserve"> Adjunt</w:t>
      </w:r>
      <w:r w:rsidR="000444D4">
        <w:rPr>
          <w:rFonts w:eastAsia="Arial Unicode MS" w:cs="Calibri"/>
        </w:rPr>
        <w:t>a</w:t>
      </w:r>
    </w:p>
    <w:p w14:paraId="2179434C" w14:textId="77777777" w:rsidR="006679CF" w:rsidRPr="006679CF" w:rsidRDefault="006679CF" w:rsidP="006679CF">
      <w:pPr>
        <w:spacing w:line="240" w:lineRule="auto"/>
        <w:rPr>
          <w:rFonts w:eastAsia="Arial Unicode MS" w:cs="Calibri"/>
        </w:rPr>
      </w:pPr>
      <w:r w:rsidRPr="006679CF">
        <w:rPr>
          <w:rFonts w:eastAsia="Arial Unicode MS" w:cs="Calibri"/>
        </w:rPr>
        <w:t>Camila Leal Costa</w:t>
      </w:r>
    </w:p>
    <w:p w14:paraId="44177607" w14:textId="77777777" w:rsidR="006679CF" w:rsidRPr="006679CF" w:rsidRDefault="006679CF" w:rsidP="006679CF">
      <w:pPr>
        <w:spacing w:line="240" w:lineRule="auto"/>
        <w:rPr>
          <w:rFonts w:eastAsia="Arial Unicode MS" w:cs="Calibri"/>
        </w:rPr>
      </w:pPr>
      <w:r w:rsidRPr="006679CF">
        <w:rPr>
          <w:rFonts w:eastAsia="Arial Unicode MS" w:cs="Calibri"/>
        </w:rPr>
        <w:t>Heitor Antonio Maia da Silva Dores</w:t>
      </w:r>
    </w:p>
    <w:p w14:paraId="5317C5F4" w14:textId="77777777" w:rsidR="006679CF" w:rsidRPr="006679CF" w:rsidRDefault="006679CF" w:rsidP="006679CF">
      <w:pPr>
        <w:spacing w:line="240" w:lineRule="auto"/>
        <w:rPr>
          <w:rFonts w:eastAsia="Arial Unicode MS" w:cs="Calibri"/>
        </w:rPr>
      </w:pPr>
      <w:r w:rsidRPr="006679CF">
        <w:rPr>
          <w:rFonts w:eastAsia="Arial Unicode MS" w:cs="Calibri"/>
        </w:rPr>
        <w:t>Raul Wanderley Gradim</w:t>
      </w:r>
    </w:p>
    <w:p w14:paraId="5212128F" w14:textId="77777777" w:rsidR="006679CF" w:rsidRPr="006679CF" w:rsidRDefault="006679CF" w:rsidP="006679CF">
      <w:pPr>
        <w:spacing w:line="240" w:lineRule="auto"/>
        <w:rPr>
          <w:rFonts w:eastAsia="Arial Unicode MS" w:cs="Calibri"/>
          <w:b/>
          <w:sz w:val="14"/>
          <w:szCs w:val="14"/>
        </w:rPr>
      </w:pPr>
    </w:p>
    <w:p w14:paraId="1A5EC787" w14:textId="77777777" w:rsidR="006679CF" w:rsidRPr="006679CF" w:rsidRDefault="006679CF" w:rsidP="006679CF">
      <w:pPr>
        <w:spacing w:line="240" w:lineRule="auto"/>
        <w:rPr>
          <w:rFonts w:eastAsia="Arial Unicode MS" w:cs="Calibri"/>
          <w:b/>
        </w:rPr>
      </w:pPr>
      <w:r w:rsidRPr="006679CF">
        <w:rPr>
          <w:rFonts w:eastAsia="Arial Unicode MS" w:cs="Calibri"/>
          <w:b/>
        </w:rPr>
        <w:t>Alcenira Vanderlinde | Gerente Executiva</w:t>
      </w:r>
    </w:p>
    <w:p w14:paraId="5164DC15" w14:textId="55564A62" w:rsidR="006679CF" w:rsidRPr="006679CF" w:rsidRDefault="006679CF" w:rsidP="006679CF">
      <w:pPr>
        <w:spacing w:line="240" w:lineRule="auto"/>
        <w:rPr>
          <w:rFonts w:eastAsia="Arial Unicode MS" w:cs="Calibri"/>
          <w:b/>
          <w:sz w:val="14"/>
          <w:szCs w:val="14"/>
        </w:rPr>
      </w:pPr>
    </w:p>
    <w:p w14:paraId="0B9438C5" w14:textId="77DCB96F" w:rsidR="006679CF" w:rsidRPr="006679CF" w:rsidRDefault="006679CF" w:rsidP="006679CF">
      <w:pPr>
        <w:spacing w:line="240" w:lineRule="auto"/>
        <w:rPr>
          <w:rFonts w:eastAsia="Arial Unicode MS" w:cs="Calibri"/>
        </w:rPr>
      </w:pPr>
      <w:r w:rsidRPr="006679CF">
        <w:rPr>
          <w:rFonts w:eastAsia="Arial Unicode MS" w:cs="Calibri"/>
          <w:b/>
        </w:rPr>
        <w:t>Coordenação e Elaboração</w:t>
      </w:r>
      <w:r w:rsidR="00742F6C" w:rsidRPr="006679CF">
        <w:rPr>
          <w:rFonts w:eastAsia="Arial Unicode MS" w:cs="Calibri"/>
          <w:b/>
        </w:rPr>
        <w:t xml:space="preserve"> |</w:t>
      </w:r>
      <w:r w:rsidR="00742F6C">
        <w:rPr>
          <w:rFonts w:eastAsia="Arial Unicode MS" w:cs="Calibri"/>
          <w:b/>
        </w:rPr>
        <w:t xml:space="preserve"> </w:t>
      </w:r>
      <w:r w:rsidRPr="00742F6C">
        <w:rPr>
          <w:rFonts w:eastAsia="Arial Unicode MS" w:cs="Calibri"/>
          <w:b/>
        </w:rPr>
        <w:t xml:space="preserve">Gerência </w:t>
      </w:r>
      <w:r w:rsidR="000444D4" w:rsidRPr="00742F6C">
        <w:rPr>
          <w:rFonts w:eastAsia="Arial Unicode MS" w:cs="Calibri"/>
          <w:b/>
        </w:rPr>
        <w:t xml:space="preserve">de </w:t>
      </w:r>
      <w:r w:rsidRPr="00742F6C">
        <w:rPr>
          <w:rFonts w:eastAsia="Arial Unicode MS" w:cs="Calibri"/>
          <w:b/>
        </w:rPr>
        <w:t>Planejamento e Gestão Estratégica</w:t>
      </w:r>
      <w:r w:rsidR="005F6FDE" w:rsidRPr="00742F6C">
        <w:rPr>
          <w:rFonts w:eastAsia="Arial Unicode MS" w:cs="Calibri"/>
          <w:b/>
        </w:rPr>
        <w:t xml:space="preserve"> – GERPLAN</w:t>
      </w:r>
    </w:p>
    <w:p w14:paraId="0BC996B4" w14:textId="2F37B821" w:rsidR="006679CF" w:rsidRPr="006679CF" w:rsidRDefault="00285387" w:rsidP="00285387">
      <w:pPr>
        <w:rPr>
          <w:rFonts w:eastAsia="Arial Unicode MS" w:cs="Calibri"/>
        </w:rPr>
      </w:pPr>
      <w:r>
        <w:rPr>
          <w:rFonts w:eastAsia="Arial Unicode MS" w:cs="Calibri"/>
        </w:rPr>
        <w:t>Gelson Luiz Benatti</w:t>
      </w:r>
      <w:r w:rsidR="006679CF" w:rsidRPr="006679CF">
        <w:rPr>
          <w:rFonts w:eastAsia="Arial Unicode MS" w:cs="Calibri"/>
        </w:rPr>
        <w:tab/>
      </w:r>
      <w:r w:rsidR="006679CF" w:rsidRPr="006679CF">
        <w:rPr>
          <w:rFonts w:eastAsia="Arial Unicode MS" w:cs="Calibri"/>
        </w:rPr>
        <w:tab/>
        <w:t>| Gerente</w:t>
      </w:r>
    </w:p>
    <w:p w14:paraId="4FA739B4" w14:textId="66D84EFC" w:rsidR="006679CF" w:rsidRPr="006679CF" w:rsidRDefault="006679CF" w:rsidP="006679CF">
      <w:pPr>
        <w:spacing w:line="240" w:lineRule="auto"/>
        <w:rPr>
          <w:rFonts w:eastAsia="Arial Unicode MS" w:cs="Calibri"/>
        </w:rPr>
      </w:pPr>
      <w:r w:rsidRPr="006679CF">
        <w:rPr>
          <w:rFonts w:eastAsia="Arial Unicode MS" w:cs="Calibri"/>
        </w:rPr>
        <w:t>Flávia Rios Costa</w:t>
      </w:r>
      <w:r w:rsidRPr="006679CF">
        <w:rPr>
          <w:rFonts w:eastAsia="Arial Unicode MS" w:cs="Calibri"/>
        </w:rPr>
        <w:tab/>
      </w:r>
      <w:r w:rsidRPr="006679CF">
        <w:rPr>
          <w:rFonts w:eastAsia="Arial Unicode MS" w:cs="Calibri"/>
        </w:rPr>
        <w:tab/>
      </w:r>
      <w:r w:rsidR="00E55BD9">
        <w:rPr>
          <w:rFonts w:eastAsia="Arial Unicode MS" w:cs="Calibri"/>
        </w:rPr>
        <w:tab/>
      </w:r>
      <w:r w:rsidRPr="006679CF">
        <w:rPr>
          <w:rFonts w:eastAsia="Arial Unicode MS" w:cs="Calibri"/>
        </w:rPr>
        <w:t>| Analista Técnica</w:t>
      </w:r>
    </w:p>
    <w:p w14:paraId="5D5D7EB6" w14:textId="25B38EB2" w:rsidR="006679CF" w:rsidRPr="006679CF" w:rsidRDefault="006679CF" w:rsidP="006679CF">
      <w:pPr>
        <w:spacing w:line="240" w:lineRule="auto"/>
        <w:rPr>
          <w:rFonts w:eastAsia="Arial Unicode MS" w:cs="Calibri"/>
        </w:rPr>
      </w:pPr>
      <w:r w:rsidRPr="006679CF">
        <w:rPr>
          <w:rFonts w:eastAsia="Arial Unicode MS" w:cs="Calibri"/>
        </w:rPr>
        <w:t>Marcos Cristino de Oliveira</w:t>
      </w:r>
      <w:r w:rsidRPr="006679CF">
        <w:rPr>
          <w:rFonts w:eastAsia="Arial Unicode MS" w:cs="Calibri"/>
        </w:rPr>
        <w:tab/>
        <w:t>| Analista Técnico</w:t>
      </w:r>
    </w:p>
    <w:p w14:paraId="66D30187" w14:textId="613207B9" w:rsidR="006679CF" w:rsidRPr="006679CF" w:rsidRDefault="006679CF" w:rsidP="006679CF">
      <w:pPr>
        <w:spacing w:line="240" w:lineRule="auto"/>
        <w:rPr>
          <w:rFonts w:eastAsia="Arial Unicode MS" w:cs="Calibri"/>
        </w:rPr>
      </w:pPr>
      <w:r w:rsidRPr="006679CF">
        <w:rPr>
          <w:rFonts w:eastAsia="Arial Unicode MS" w:cs="Calibri"/>
        </w:rPr>
        <w:t>Tania Mara C. Daldegan</w:t>
      </w:r>
      <w:r w:rsidRPr="006679CF">
        <w:rPr>
          <w:rFonts w:eastAsia="Arial Unicode MS" w:cs="Calibri"/>
        </w:rPr>
        <w:tab/>
      </w:r>
      <w:r>
        <w:rPr>
          <w:rFonts w:eastAsia="Arial Unicode MS" w:cs="Calibri"/>
        </w:rPr>
        <w:tab/>
      </w:r>
      <w:r w:rsidRPr="006679CF">
        <w:rPr>
          <w:rFonts w:eastAsia="Arial Unicode MS" w:cs="Calibri"/>
        </w:rPr>
        <w:t>| Analista Técnica</w:t>
      </w:r>
    </w:p>
    <w:p w14:paraId="47EE8A15" w14:textId="5C22FA60" w:rsidR="006679CF" w:rsidRDefault="006679CF" w:rsidP="006679CF">
      <w:pPr>
        <w:spacing w:line="240" w:lineRule="auto"/>
        <w:rPr>
          <w:rFonts w:eastAsia="Arial Unicode MS" w:cs="Calibri"/>
        </w:rPr>
      </w:pPr>
      <w:r w:rsidRPr="006679CF">
        <w:rPr>
          <w:rFonts w:eastAsia="Arial Unicode MS" w:cs="Calibri"/>
        </w:rPr>
        <w:t>Zaíle Sousa das Chagas</w:t>
      </w:r>
      <w:r w:rsidRPr="006679CF">
        <w:rPr>
          <w:rFonts w:eastAsia="Arial Unicode MS" w:cs="Calibri"/>
        </w:rPr>
        <w:tab/>
      </w:r>
      <w:r>
        <w:rPr>
          <w:rFonts w:eastAsia="Arial Unicode MS" w:cs="Calibri"/>
        </w:rPr>
        <w:tab/>
      </w:r>
      <w:r w:rsidRPr="006679CF">
        <w:rPr>
          <w:rFonts w:eastAsia="Arial Unicode MS" w:cs="Calibri"/>
        </w:rPr>
        <w:t>| Analista Técnic</w:t>
      </w:r>
      <w:r w:rsidR="005F6FDE">
        <w:rPr>
          <w:rFonts w:eastAsia="Arial Unicode MS" w:cs="Calibri"/>
        </w:rPr>
        <w:t>a</w:t>
      </w:r>
    </w:p>
    <w:p w14:paraId="7C75E9FD" w14:textId="26EF9C27" w:rsidR="006679CF" w:rsidRDefault="00285387" w:rsidP="00285387">
      <w:pPr>
        <w:rPr>
          <w:rFonts w:eastAsia="Arial Unicode MS" w:cs="Calibri"/>
        </w:rPr>
      </w:pPr>
      <w:r>
        <w:rPr>
          <w:rFonts w:eastAsia="Arial Unicode MS" w:cs="Calibri"/>
        </w:rPr>
        <w:t xml:space="preserve">Paulo Ricardo Bispo Rosa </w:t>
      </w:r>
      <w:r w:rsidR="006679CF" w:rsidRPr="006679CF">
        <w:rPr>
          <w:rFonts w:eastAsia="Arial Unicode MS" w:cs="Calibri"/>
        </w:rPr>
        <w:tab/>
        <w:t>| Estagiári</w:t>
      </w:r>
      <w:r>
        <w:rPr>
          <w:rFonts w:eastAsia="Arial Unicode MS" w:cs="Calibri"/>
        </w:rPr>
        <w:t>o</w:t>
      </w:r>
    </w:p>
    <w:p w14:paraId="514647AD" w14:textId="69029306" w:rsidR="00742F6C" w:rsidRDefault="00742F6C" w:rsidP="00285387">
      <w:pPr>
        <w:rPr>
          <w:rFonts w:eastAsia="Arial Unicode MS" w:cs="Calibri"/>
        </w:rPr>
      </w:pPr>
      <w:r w:rsidRPr="009A7892">
        <w:rPr>
          <w:rFonts w:eastAsia="Arial Unicode MS" w:cs="Calibri"/>
        </w:rPr>
        <w:t>Talita Mendes Silveira Reis</w:t>
      </w:r>
      <w:r>
        <w:rPr>
          <w:rFonts w:eastAsia="Arial Unicode MS" w:cs="Calibri"/>
        </w:rPr>
        <w:tab/>
      </w:r>
      <w:r w:rsidRPr="006679CF">
        <w:rPr>
          <w:rFonts w:eastAsia="Arial Unicode MS" w:cs="Calibri"/>
        </w:rPr>
        <w:t>| Estagiári</w:t>
      </w:r>
      <w:r>
        <w:rPr>
          <w:rFonts w:eastAsia="Arial Unicode MS" w:cs="Calibri"/>
        </w:rPr>
        <w:t xml:space="preserve">a        </w:t>
      </w:r>
    </w:p>
    <w:p w14:paraId="7DC85180" w14:textId="3D69E8FA" w:rsidR="00681289" w:rsidRPr="006D6472" w:rsidRDefault="0064754B" w:rsidP="00227F7A">
      <w:pPr>
        <w:tabs>
          <w:tab w:val="left" w:pos="3119"/>
          <w:tab w:val="left" w:pos="5310"/>
          <w:tab w:val="right" w:pos="9071"/>
        </w:tabs>
        <w:spacing w:after="0" w:line="360" w:lineRule="auto"/>
        <w:jc w:val="right"/>
        <w:rPr>
          <w:rFonts w:eastAsia="Arial Unicode MS" w:cs="Calibri"/>
          <w:color w:val="000000" w:themeColor="text1"/>
        </w:rPr>
      </w:pPr>
      <w:r w:rsidRPr="006D6472">
        <w:rPr>
          <w:rFonts w:eastAsia="Arial Unicode MS" w:cs="Calibri"/>
          <w:color w:val="000000" w:themeColor="text1"/>
        </w:rPr>
        <w:t>Brasília</w:t>
      </w:r>
      <w:r w:rsidR="00C612B2" w:rsidRPr="006D6472">
        <w:rPr>
          <w:rFonts w:eastAsia="Arial Unicode MS" w:cs="Calibri"/>
          <w:color w:val="000000" w:themeColor="text1"/>
        </w:rPr>
        <w:t>,</w:t>
      </w:r>
      <w:r w:rsidR="009113DE" w:rsidRPr="006D6472">
        <w:rPr>
          <w:rFonts w:eastAsia="Arial Unicode MS" w:cs="Calibri"/>
          <w:color w:val="000000" w:themeColor="text1"/>
        </w:rPr>
        <w:t xml:space="preserve"> </w:t>
      </w:r>
      <w:r w:rsidR="00E31404">
        <w:rPr>
          <w:rFonts w:eastAsia="Arial Unicode MS" w:cs="Calibri"/>
          <w:color w:val="000000" w:themeColor="text1"/>
        </w:rPr>
        <w:t>23</w:t>
      </w:r>
      <w:r w:rsidR="00285387" w:rsidRPr="006D6472">
        <w:rPr>
          <w:rFonts w:eastAsia="Arial Unicode MS" w:cs="Calibri"/>
          <w:color w:val="000000" w:themeColor="text1"/>
        </w:rPr>
        <w:t xml:space="preserve"> </w:t>
      </w:r>
      <w:r w:rsidR="00CF7784" w:rsidRPr="006D6472">
        <w:rPr>
          <w:rFonts w:eastAsia="Arial Unicode MS" w:cs="Calibri"/>
          <w:color w:val="000000" w:themeColor="text1"/>
        </w:rPr>
        <w:t xml:space="preserve">de </w:t>
      </w:r>
      <w:r w:rsidR="00227F7A" w:rsidRPr="006D6472">
        <w:rPr>
          <w:rFonts w:eastAsia="Arial Unicode MS" w:cs="Calibri"/>
          <w:color w:val="000000" w:themeColor="text1"/>
        </w:rPr>
        <w:t>set</w:t>
      </w:r>
      <w:r w:rsidR="000075EF" w:rsidRPr="006D6472">
        <w:rPr>
          <w:rFonts w:eastAsia="Arial Unicode MS" w:cs="Calibri"/>
          <w:color w:val="000000" w:themeColor="text1"/>
        </w:rPr>
        <w:t xml:space="preserve">embro </w:t>
      </w:r>
      <w:r w:rsidR="00CF7784" w:rsidRPr="006D6472">
        <w:rPr>
          <w:rFonts w:eastAsia="Arial Unicode MS" w:cs="Calibri"/>
          <w:color w:val="000000" w:themeColor="text1"/>
        </w:rPr>
        <w:t xml:space="preserve">de </w:t>
      </w:r>
      <w:r w:rsidR="005714C1" w:rsidRPr="006D6472">
        <w:rPr>
          <w:rFonts w:eastAsia="Arial Unicode MS" w:cs="Calibri"/>
          <w:color w:val="000000" w:themeColor="text1"/>
        </w:rPr>
        <w:t>20</w:t>
      </w:r>
      <w:r w:rsidR="00285387" w:rsidRPr="006D6472">
        <w:rPr>
          <w:rFonts w:eastAsia="Arial Unicode MS" w:cs="Calibri"/>
          <w:color w:val="000000" w:themeColor="text1"/>
        </w:rPr>
        <w:t>2</w:t>
      </w:r>
      <w:r w:rsidR="00742F6C">
        <w:rPr>
          <w:rFonts w:eastAsia="Arial Unicode MS" w:cs="Calibri"/>
          <w:color w:val="000000" w:themeColor="text1"/>
        </w:rPr>
        <w:t>3</w:t>
      </w:r>
      <w:r w:rsidR="00285387" w:rsidRPr="006D6472">
        <w:rPr>
          <w:rFonts w:eastAsia="Arial Unicode MS" w:cs="Calibri"/>
          <w:color w:val="000000" w:themeColor="text1"/>
        </w:rPr>
        <w:t>.</w:t>
      </w:r>
    </w:p>
    <w:p w14:paraId="41EC13D8" w14:textId="77777777" w:rsidR="00227F7A" w:rsidRDefault="00227F7A" w:rsidP="00227F7A">
      <w:pPr>
        <w:tabs>
          <w:tab w:val="left" w:pos="3119"/>
          <w:tab w:val="left" w:pos="5310"/>
          <w:tab w:val="right" w:pos="9071"/>
        </w:tabs>
        <w:spacing w:after="0" w:line="360" w:lineRule="auto"/>
        <w:jc w:val="right"/>
        <w:rPr>
          <w:rFonts w:eastAsia="Arial Unicode MS" w:cs="Calibri"/>
        </w:rPr>
      </w:pPr>
    </w:p>
    <w:p w14:paraId="1C6E5D37" w14:textId="77777777" w:rsidR="00227F7A" w:rsidRPr="006679CF" w:rsidRDefault="00227F7A" w:rsidP="00074D7F">
      <w:pPr>
        <w:tabs>
          <w:tab w:val="left" w:pos="3119"/>
          <w:tab w:val="left" w:pos="5310"/>
          <w:tab w:val="right" w:pos="9071"/>
        </w:tabs>
        <w:spacing w:after="0" w:line="360" w:lineRule="auto"/>
        <w:jc w:val="center"/>
        <w:rPr>
          <w:rFonts w:eastAsia="Arial Unicode MS" w:cs="Calibri"/>
        </w:rPr>
      </w:pPr>
    </w:p>
    <w:p w14:paraId="7DC85181" w14:textId="77777777" w:rsidR="00787F15" w:rsidRPr="0090607E" w:rsidRDefault="00736FF1" w:rsidP="007E1ABE">
      <w:pPr>
        <w:pBdr>
          <w:bottom w:val="single" w:sz="12" w:space="1" w:color="auto"/>
        </w:pBdr>
        <w:jc w:val="both"/>
        <w:rPr>
          <w:rFonts w:eastAsia="Arial Unicode MS" w:cs="Calibri"/>
          <w:b/>
          <w:color w:val="000000" w:themeColor="text1"/>
          <w:sz w:val="28"/>
          <w:szCs w:val="28"/>
        </w:rPr>
      </w:pPr>
      <w:r w:rsidRPr="002B38CE">
        <w:rPr>
          <w:rFonts w:eastAsia="Arial Unicode MS" w:cs="Calibri"/>
          <w:b/>
          <w:color w:val="000000" w:themeColor="text1"/>
          <w:sz w:val="28"/>
          <w:szCs w:val="28"/>
        </w:rPr>
        <w:lastRenderedPageBreak/>
        <w:t>SUMÁRIO</w:t>
      </w:r>
    </w:p>
    <w:sdt>
      <w:sdtPr>
        <w:rPr>
          <w:b/>
          <w:bCs/>
          <w:smallCaps w:val="0"/>
          <w:sz w:val="22"/>
          <w:szCs w:val="22"/>
        </w:rPr>
        <w:id w:val="-1101416552"/>
        <w:docPartObj>
          <w:docPartGallery w:val="Table of Contents"/>
          <w:docPartUnique/>
        </w:docPartObj>
      </w:sdtPr>
      <w:sdtEndPr>
        <w:rPr>
          <w:b w:val="0"/>
          <w:bCs w:val="0"/>
        </w:rPr>
      </w:sdtEndPr>
      <w:sdtContent>
        <w:p w14:paraId="3262E0D8" w14:textId="3277E6CB" w:rsidR="008B483A" w:rsidRDefault="00E704E7" w:rsidP="008B483A">
          <w:pPr>
            <w:pStyle w:val="Sumrio2"/>
            <w:tabs>
              <w:tab w:val="right" w:leader="dot" w:pos="9061"/>
            </w:tabs>
            <w:rPr>
              <w:rFonts w:eastAsiaTheme="minorEastAsia"/>
              <w:b/>
              <w:bCs/>
              <w:caps/>
              <w:noProof/>
              <w:sz w:val="22"/>
              <w:szCs w:val="22"/>
              <w:lang w:eastAsia="pt-BR"/>
            </w:rPr>
          </w:pPr>
          <w:r>
            <w:rPr>
              <w:rFonts w:eastAsia="Arial Unicode MS"/>
              <w:caps/>
              <w:noProof/>
              <w:sz w:val="18"/>
              <w:szCs w:val="18"/>
            </w:rPr>
            <w:fldChar w:fldCharType="begin"/>
          </w:r>
          <w:r>
            <w:instrText xml:space="preserve"> TOC \o "1-3" \h \z \u </w:instrText>
          </w:r>
          <w:r>
            <w:rPr>
              <w:rFonts w:eastAsia="Arial Unicode MS"/>
              <w:caps/>
              <w:noProof/>
              <w:sz w:val="18"/>
              <w:szCs w:val="18"/>
            </w:rPr>
            <w:fldChar w:fldCharType="separate"/>
          </w:r>
          <w:hyperlink w:anchor="_Toc147404327" w:history="1">
            <w:r w:rsidR="008B483A" w:rsidRPr="00807177">
              <w:rPr>
                <w:rStyle w:val="Hyperlink"/>
                <w:rFonts w:eastAsia="Arial Unicode MS"/>
                <w:noProof/>
              </w:rPr>
              <w:t>INTRODUÇÃO</w:t>
            </w:r>
            <w:r w:rsidR="008B483A">
              <w:rPr>
                <w:noProof/>
                <w:webHidden/>
              </w:rPr>
              <w:tab/>
            </w:r>
            <w:r w:rsidR="008B483A">
              <w:rPr>
                <w:noProof/>
                <w:webHidden/>
              </w:rPr>
              <w:fldChar w:fldCharType="begin"/>
            </w:r>
            <w:r w:rsidR="008B483A">
              <w:rPr>
                <w:noProof/>
                <w:webHidden/>
              </w:rPr>
              <w:instrText xml:space="preserve"> PAGEREF _Toc147404327 \h </w:instrText>
            </w:r>
            <w:r w:rsidR="008B483A">
              <w:rPr>
                <w:noProof/>
                <w:webHidden/>
              </w:rPr>
            </w:r>
            <w:r w:rsidR="008B483A">
              <w:rPr>
                <w:webHidden/>
              </w:rPr>
              <w:fldChar w:fldCharType="separate"/>
            </w:r>
            <w:r w:rsidR="009228DD">
              <w:rPr>
                <w:noProof/>
                <w:webHidden/>
              </w:rPr>
              <w:t>5</w:t>
            </w:r>
            <w:r w:rsidR="008B483A">
              <w:rPr>
                <w:noProof/>
                <w:webHidden/>
              </w:rPr>
              <w:fldChar w:fldCharType="end"/>
            </w:r>
          </w:hyperlink>
        </w:p>
        <w:p w14:paraId="16589397" w14:textId="1493C25D" w:rsidR="008B483A" w:rsidRDefault="00DA0C5F">
          <w:pPr>
            <w:pStyle w:val="Sumrio1"/>
            <w:tabs>
              <w:tab w:val="left" w:pos="440"/>
            </w:tabs>
            <w:rPr>
              <w:rFonts w:eastAsiaTheme="minorEastAsia"/>
              <w:b w:val="0"/>
              <w:bCs w:val="0"/>
              <w:caps w:val="0"/>
              <w:sz w:val="22"/>
              <w:szCs w:val="22"/>
              <w:lang w:eastAsia="pt-BR"/>
            </w:rPr>
          </w:pPr>
          <w:hyperlink w:anchor="_Toc147404328" w:history="1">
            <w:r w:rsidR="008B483A" w:rsidRPr="00807177">
              <w:rPr>
                <w:rStyle w:val="Hyperlink"/>
              </w:rPr>
              <w:t>1.</w:t>
            </w:r>
            <w:r w:rsidR="008B483A">
              <w:rPr>
                <w:rFonts w:eastAsiaTheme="minorEastAsia"/>
                <w:b w:val="0"/>
                <w:bCs w:val="0"/>
                <w:caps w:val="0"/>
                <w:sz w:val="22"/>
                <w:szCs w:val="22"/>
                <w:lang w:eastAsia="pt-BR"/>
              </w:rPr>
              <w:tab/>
            </w:r>
            <w:r w:rsidR="008B483A" w:rsidRPr="00807177">
              <w:rPr>
                <w:rStyle w:val="Hyperlink"/>
              </w:rPr>
              <w:t>ESTRATÉGIA</w:t>
            </w:r>
            <w:r w:rsidR="008B483A">
              <w:rPr>
                <w:webHidden/>
              </w:rPr>
              <w:tab/>
            </w:r>
            <w:r w:rsidR="008B483A">
              <w:rPr>
                <w:webHidden/>
              </w:rPr>
              <w:fldChar w:fldCharType="begin"/>
            </w:r>
            <w:r w:rsidR="008B483A">
              <w:rPr>
                <w:webHidden/>
              </w:rPr>
              <w:instrText xml:space="preserve"> PAGEREF _Toc147404328 \h </w:instrText>
            </w:r>
            <w:r w:rsidR="008B483A">
              <w:rPr>
                <w:webHidden/>
              </w:rPr>
            </w:r>
            <w:r w:rsidR="008B483A">
              <w:rPr>
                <w:webHidden/>
              </w:rPr>
              <w:fldChar w:fldCharType="separate"/>
            </w:r>
            <w:r w:rsidR="009228DD">
              <w:rPr>
                <w:webHidden/>
              </w:rPr>
              <w:t>6</w:t>
            </w:r>
            <w:r w:rsidR="008B483A">
              <w:rPr>
                <w:webHidden/>
              </w:rPr>
              <w:fldChar w:fldCharType="end"/>
            </w:r>
          </w:hyperlink>
        </w:p>
        <w:p w14:paraId="5F22C884" w14:textId="6704E48D" w:rsidR="008B483A" w:rsidRDefault="00DA0C5F">
          <w:pPr>
            <w:pStyle w:val="Sumrio2"/>
            <w:tabs>
              <w:tab w:val="left" w:pos="880"/>
              <w:tab w:val="right" w:leader="dot" w:pos="9061"/>
            </w:tabs>
            <w:rPr>
              <w:rFonts w:eastAsiaTheme="minorEastAsia"/>
              <w:smallCaps w:val="0"/>
              <w:noProof/>
              <w:sz w:val="22"/>
              <w:szCs w:val="22"/>
              <w:lang w:eastAsia="pt-BR"/>
            </w:rPr>
          </w:pPr>
          <w:hyperlink w:anchor="_Toc147404329" w:history="1">
            <w:r w:rsidR="008B483A" w:rsidRPr="00807177">
              <w:rPr>
                <w:rStyle w:val="Hyperlink"/>
                <w:rFonts w:eastAsia="Arial Unicode MS"/>
                <w:noProof/>
              </w:rPr>
              <w:t>1.1</w:t>
            </w:r>
            <w:r w:rsidR="008B483A">
              <w:rPr>
                <w:rFonts w:eastAsiaTheme="minorEastAsia"/>
                <w:smallCaps w:val="0"/>
                <w:noProof/>
                <w:sz w:val="22"/>
                <w:szCs w:val="22"/>
                <w:lang w:eastAsia="pt-BR"/>
              </w:rPr>
              <w:tab/>
            </w:r>
            <w:r w:rsidR="008B483A" w:rsidRPr="00807177">
              <w:rPr>
                <w:rStyle w:val="Hyperlink"/>
                <w:rFonts w:eastAsia="Arial Unicode MS"/>
                <w:noProof/>
              </w:rPr>
              <w:t>Mapa Estratégico</w:t>
            </w:r>
            <w:r w:rsidR="008B483A">
              <w:rPr>
                <w:noProof/>
                <w:webHidden/>
              </w:rPr>
              <w:tab/>
            </w:r>
            <w:r w:rsidR="008B483A">
              <w:rPr>
                <w:noProof/>
                <w:webHidden/>
              </w:rPr>
              <w:fldChar w:fldCharType="begin"/>
            </w:r>
            <w:r w:rsidR="008B483A">
              <w:rPr>
                <w:noProof/>
                <w:webHidden/>
              </w:rPr>
              <w:instrText xml:space="preserve"> PAGEREF _Toc147404329 \h </w:instrText>
            </w:r>
            <w:r w:rsidR="008B483A">
              <w:rPr>
                <w:noProof/>
                <w:webHidden/>
              </w:rPr>
            </w:r>
            <w:r w:rsidR="008B483A">
              <w:rPr>
                <w:noProof/>
                <w:webHidden/>
              </w:rPr>
              <w:fldChar w:fldCharType="separate"/>
            </w:r>
            <w:r w:rsidR="009228DD">
              <w:rPr>
                <w:noProof/>
                <w:webHidden/>
              </w:rPr>
              <w:t>6</w:t>
            </w:r>
            <w:r w:rsidR="008B483A">
              <w:rPr>
                <w:noProof/>
                <w:webHidden/>
              </w:rPr>
              <w:fldChar w:fldCharType="end"/>
            </w:r>
          </w:hyperlink>
        </w:p>
        <w:p w14:paraId="547366CA" w14:textId="1CF9C8CE" w:rsidR="008B483A" w:rsidRDefault="00DA0C5F">
          <w:pPr>
            <w:pStyle w:val="Sumrio1"/>
            <w:tabs>
              <w:tab w:val="left" w:pos="440"/>
            </w:tabs>
            <w:rPr>
              <w:rFonts w:eastAsiaTheme="minorEastAsia"/>
              <w:b w:val="0"/>
              <w:bCs w:val="0"/>
              <w:caps w:val="0"/>
              <w:sz w:val="22"/>
              <w:szCs w:val="22"/>
              <w:lang w:eastAsia="pt-BR"/>
            </w:rPr>
          </w:pPr>
          <w:hyperlink w:anchor="_Toc147404330" w:history="1">
            <w:r w:rsidR="008B483A" w:rsidRPr="00807177">
              <w:rPr>
                <w:rStyle w:val="Hyperlink"/>
              </w:rPr>
              <w:t>2.</w:t>
            </w:r>
            <w:r w:rsidR="008B483A">
              <w:rPr>
                <w:rFonts w:eastAsiaTheme="minorEastAsia"/>
                <w:b w:val="0"/>
                <w:bCs w:val="0"/>
                <w:caps w:val="0"/>
                <w:sz w:val="22"/>
                <w:szCs w:val="22"/>
                <w:lang w:eastAsia="pt-BR"/>
              </w:rPr>
              <w:tab/>
            </w:r>
            <w:r w:rsidR="008B483A" w:rsidRPr="00807177">
              <w:rPr>
                <w:rStyle w:val="Hyperlink"/>
              </w:rPr>
              <w:t>METAS PARA O PLANO DE AÇÃO 2024</w:t>
            </w:r>
            <w:r w:rsidR="008B483A">
              <w:rPr>
                <w:webHidden/>
              </w:rPr>
              <w:tab/>
            </w:r>
            <w:r w:rsidR="008B483A">
              <w:rPr>
                <w:webHidden/>
              </w:rPr>
              <w:fldChar w:fldCharType="begin"/>
            </w:r>
            <w:r w:rsidR="008B483A">
              <w:rPr>
                <w:webHidden/>
              </w:rPr>
              <w:instrText xml:space="preserve"> PAGEREF _Toc147404330 \h </w:instrText>
            </w:r>
            <w:r w:rsidR="008B483A">
              <w:rPr>
                <w:webHidden/>
              </w:rPr>
            </w:r>
            <w:r w:rsidR="008B483A">
              <w:rPr>
                <w:webHidden/>
              </w:rPr>
              <w:fldChar w:fldCharType="separate"/>
            </w:r>
            <w:r w:rsidR="009228DD">
              <w:rPr>
                <w:webHidden/>
              </w:rPr>
              <w:t>8</w:t>
            </w:r>
            <w:r w:rsidR="008B483A">
              <w:rPr>
                <w:webHidden/>
              </w:rPr>
              <w:fldChar w:fldCharType="end"/>
            </w:r>
          </w:hyperlink>
        </w:p>
        <w:p w14:paraId="6A3B305E" w14:textId="55C5D98C" w:rsidR="008B483A" w:rsidRDefault="00DA0C5F">
          <w:pPr>
            <w:pStyle w:val="Sumrio1"/>
            <w:tabs>
              <w:tab w:val="left" w:pos="440"/>
            </w:tabs>
            <w:rPr>
              <w:rFonts w:eastAsiaTheme="minorEastAsia"/>
              <w:b w:val="0"/>
              <w:bCs w:val="0"/>
              <w:caps w:val="0"/>
              <w:sz w:val="22"/>
              <w:szCs w:val="22"/>
              <w:lang w:eastAsia="pt-BR"/>
            </w:rPr>
          </w:pPr>
          <w:hyperlink w:anchor="_Toc147404331" w:history="1">
            <w:r w:rsidR="008B483A" w:rsidRPr="00807177">
              <w:rPr>
                <w:rStyle w:val="Hyperlink"/>
              </w:rPr>
              <w:t>3.</w:t>
            </w:r>
            <w:r w:rsidR="008B483A">
              <w:rPr>
                <w:rFonts w:eastAsiaTheme="minorEastAsia"/>
                <w:b w:val="0"/>
                <w:bCs w:val="0"/>
                <w:caps w:val="0"/>
                <w:sz w:val="22"/>
                <w:szCs w:val="22"/>
                <w:lang w:eastAsia="pt-BR"/>
              </w:rPr>
              <w:tab/>
            </w:r>
            <w:r w:rsidR="008B483A" w:rsidRPr="00807177">
              <w:rPr>
                <w:rStyle w:val="Hyperlink"/>
              </w:rPr>
              <w:t>APLICAÇÃO DE RECURSOS</w:t>
            </w:r>
            <w:r w:rsidR="008B483A">
              <w:rPr>
                <w:webHidden/>
              </w:rPr>
              <w:tab/>
            </w:r>
            <w:r w:rsidR="008B483A">
              <w:rPr>
                <w:webHidden/>
              </w:rPr>
              <w:fldChar w:fldCharType="begin"/>
            </w:r>
            <w:r w:rsidR="008B483A">
              <w:rPr>
                <w:webHidden/>
              </w:rPr>
              <w:instrText xml:space="preserve"> PAGEREF _Toc147404331 \h </w:instrText>
            </w:r>
            <w:r w:rsidR="008B483A">
              <w:rPr>
                <w:webHidden/>
              </w:rPr>
            </w:r>
            <w:r w:rsidR="008B483A">
              <w:rPr>
                <w:webHidden/>
              </w:rPr>
              <w:fldChar w:fldCharType="separate"/>
            </w:r>
            <w:r w:rsidR="009228DD">
              <w:rPr>
                <w:webHidden/>
              </w:rPr>
              <w:t>9</w:t>
            </w:r>
            <w:r w:rsidR="008B483A">
              <w:rPr>
                <w:webHidden/>
              </w:rPr>
              <w:fldChar w:fldCharType="end"/>
            </w:r>
          </w:hyperlink>
        </w:p>
        <w:p w14:paraId="7BBB6FF2" w14:textId="4EFCCC9A" w:rsidR="008B483A" w:rsidRDefault="00DA0C5F">
          <w:pPr>
            <w:pStyle w:val="Sumrio2"/>
            <w:tabs>
              <w:tab w:val="left" w:pos="880"/>
              <w:tab w:val="right" w:leader="dot" w:pos="9061"/>
            </w:tabs>
            <w:rPr>
              <w:rFonts w:eastAsiaTheme="minorEastAsia"/>
              <w:smallCaps w:val="0"/>
              <w:noProof/>
              <w:sz w:val="22"/>
              <w:szCs w:val="22"/>
              <w:lang w:eastAsia="pt-BR"/>
            </w:rPr>
          </w:pPr>
          <w:hyperlink w:anchor="_Toc147404332" w:history="1">
            <w:r w:rsidR="008B483A" w:rsidRPr="00807177">
              <w:rPr>
                <w:rStyle w:val="Hyperlink"/>
                <w:rFonts w:eastAsia="Arial Unicode MS"/>
                <w:noProof/>
              </w:rPr>
              <w:t>3.1</w:t>
            </w:r>
            <w:r w:rsidR="008B483A">
              <w:rPr>
                <w:rFonts w:eastAsiaTheme="minorEastAsia"/>
                <w:smallCaps w:val="0"/>
                <w:noProof/>
                <w:sz w:val="22"/>
                <w:szCs w:val="22"/>
                <w:lang w:eastAsia="pt-BR"/>
              </w:rPr>
              <w:tab/>
            </w:r>
            <w:r w:rsidR="008B483A" w:rsidRPr="00807177">
              <w:rPr>
                <w:rStyle w:val="Hyperlink"/>
                <w:rFonts w:eastAsia="Arial Unicode MS"/>
                <w:noProof/>
              </w:rPr>
              <w:t>Alocação de Recursos nos Objetivos Estratégicos</w:t>
            </w:r>
            <w:r w:rsidR="008B483A">
              <w:rPr>
                <w:noProof/>
                <w:webHidden/>
              </w:rPr>
              <w:tab/>
            </w:r>
            <w:r w:rsidR="008B483A">
              <w:rPr>
                <w:noProof/>
                <w:webHidden/>
              </w:rPr>
              <w:fldChar w:fldCharType="begin"/>
            </w:r>
            <w:r w:rsidR="008B483A">
              <w:rPr>
                <w:noProof/>
                <w:webHidden/>
              </w:rPr>
              <w:instrText xml:space="preserve"> PAGEREF _Toc147404332 \h </w:instrText>
            </w:r>
            <w:r w:rsidR="008B483A">
              <w:rPr>
                <w:noProof/>
                <w:webHidden/>
              </w:rPr>
            </w:r>
            <w:r w:rsidR="008B483A">
              <w:rPr>
                <w:noProof/>
                <w:webHidden/>
              </w:rPr>
              <w:fldChar w:fldCharType="separate"/>
            </w:r>
            <w:r w:rsidR="009228DD">
              <w:rPr>
                <w:noProof/>
                <w:webHidden/>
              </w:rPr>
              <w:t>9</w:t>
            </w:r>
            <w:r w:rsidR="008B483A">
              <w:rPr>
                <w:noProof/>
                <w:webHidden/>
              </w:rPr>
              <w:fldChar w:fldCharType="end"/>
            </w:r>
          </w:hyperlink>
        </w:p>
        <w:p w14:paraId="60C28309" w14:textId="2672E1B8" w:rsidR="008B483A" w:rsidRDefault="00DA0C5F">
          <w:pPr>
            <w:pStyle w:val="Sumrio2"/>
            <w:tabs>
              <w:tab w:val="left" w:pos="880"/>
              <w:tab w:val="right" w:leader="dot" w:pos="9061"/>
            </w:tabs>
            <w:rPr>
              <w:rFonts w:eastAsiaTheme="minorEastAsia"/>
              <w:smallCaps w:val="0"/>
              <w:noProof/>
              <w:sz w:val="22"/>
              <w:szCs w:val="22"/>
              <w:lang w:eastAsia="pt-BR"/>
            </w:rPr>
          </w:pPr>
          <w:hyperlink w:anchor="_Toc147404333" w:history="1">
            <w:r w:rsidR="008B483A" w:rsidRPr="00807177">
              <w:rPr>
                <w:rStyle w:val="Hyperlink"/>
                <w:rFonts w:eastAsia="Arial Unicode MS"/>
                <w:noProof/>
              </w:rPr>
              <w:t>3.2</w:t>
            </w:r>
            <w:r w:rsidR="008B483A">
              <w:rPr>
                <w:rFonts w:eastAsiaTheme="minorEastAsia"/>
                <w:smallCaps w:val="0"/>
                <w:noProof/>
                <w:sz w:val="22"/>
                <w:szCs w:val="22"/>
                <w:lang w:eastAsia="pt-BR"/>
              </w:rPr>
              <w:tab/>
            </w:r>
            <w:r w:rsidR="008B483A" w:rsidRPr="00807177">
              <w:rPr>
                <w:rStyle w:val="Hyperlink"/>
                <w:rFonts w:eastAsia="Arial Unicode MS"/>
                <w:noProof/>
              </w:rPr>
              <w:t>Fundo de Apoio Financeiro aos CAU/UF Básicos</w:t>
            </w:r>
            <w:r w:rsidR="008B483A">
              <w:rPr>
                <w:noProof/>
                <w:webHidden/>
              </w:rPr>
              <w:tab/>
            </w:r>
            <w:r w:rsidR="008B483A">
              <w:rPr>
                <w:noProof/>
                <w:webHidden/>
              </w:rPr>
              <w:fldChar w:fldCharType="begin"/>
            </w:r>
            <w:r w:rsidR="008B483A">
              <w:rPr>
                <w:noProof/>
                <w:webHidden/>
              </w:rPr>
              <w:instrText xml:space="preserve"> PAGEREF _Toc147404333 \h </w:instrText>
            </w:r>
            <w:r w:rsidR="008B483A">
              <w:rPr>
                <w:noProof/>
                <w:webHidden/>
              </w:rPr>
            </w:r>
            <w:r w:rsidR="008B483A">
              <w:rPr>
                <w:noProof/>
                <w:webHidden/>
              </w:rPr>
              <w:fldChar w:fldCharType="separate"/>
            </w:r>
            <w:r w:rsidR="009228DD">
              <w:rPr>
                <w:noProof/>
                <w:webHidden/>
              </w:rPr>
              <w:t>11</w:t>
            </w:r>
            <w:r w:rsidR="008B483A">
              <w:rPr>
                <w:noProof/>
                <w:webHidden/>
              </w:rPr>
              <w:fldChar w:fldCharType="end"/>
            </w:r>
          </w:hyperlink>
        </w:p>
        <w:p w14:paraId="2129CE4F" w14:textId="580E51AB" w:rsidR="008B483A" w:rsidRDefault="00DA0C5F">
          <w:pPr>
            <w:pStyle w:val="Sumrio2"/>
            <w:tabs>
              <w:tab w:val="left" w:pos="880"/>
              <w:tab w:val="right" w:leader="dot" w:pos="9061"/>
            </w:tabs>
            <w:rPr>
              <w:rFonts w:eastAsiaTheme="minorEastAsia"/>
              <w:smallCaps w:val="0"/>
              <w:noProof/>
              <w:sz w:val="22"/>
              <w:szCs w:val="22"/>
              <w:lang w:eastAsia="pt-BR"/>
            </w:rPr>
          </w:pPr>
          <w:hyperlink w:anchor="_Toc147404334" w:history="1">
            <w:r w:rsidR="008B483A" w:rsidRPr="00807177">
              <w:rPr>
                <w:rStyle w:val="Hyperlink"/>
                <w:rFonts w:eastAsia="Arial Unicode MS"/>
                <w:noProof/>
              </w:rPr>
              <w:t>3.3</w:t>
            </w:r>
            <w:r w:rsidR="008B483A">
              <w:rPr>
                <w:rFonts w:eastAsiaTheme="minorEastAsia"/>
                <w:smallCaps w:val="0"/>
                <w:noProof/>
                <w:sz w:val="22"/>
                <w:szCs w:val="22"/>
                <w:lang w:eastAsia="pt-BR"/>
              </w:rPr>
              <w:tab/>
            </w:r>
            <w:r w:rsidR="008B483A" w:rsidRPr="00807177">
              <w:rPr>
                <w:rStyle w:val="Hyperlink"/>
                <w:rFonts w:eastAsia="Arial Unicode MS"/>
                <w:noProof/>
              </w:rPr>
              <w:t>Centro de Serviços Compartilhados</w:t>
            </w:r>
            <w:r w:rsidR="008B483A">
              <w:rPr>
                <w:noProof/>
                <w:webHidden/>
              </w:rPr>
              <w:tab/>
            </w:r>
            <w:r w:rsidR="008B483A">
              <w:rPr>
                <w:noProof/>
                <w:webHidden/>
              </w:rPr>
              <w:fldChar w:fldCharType="begin"/>
            </w:r>
            <w:r w:rsidR="008B483A">
              <w:rPr>
                <w:noProof/>
                <w:webHidden/>
              </w:rPr>
              <w:instrText xml:space="preserve"> PAGEREF _Toc147404334 \h </w:instrText>
            </w:r>
            <w:r w:rsidR="008B483A">
              <w:rPr>
                <w:noProof/>
                <w:webHidden/>
              </w:rPr>
            </w:r>
            <w:r w:rsidR="008B483A">
              <w:rPr>
                <w:noProof/>
                <w:webHidden/>
              </w:rPr>
              <w:fldChar w:fldCharType="separate"/>
            </w:r>
            <w:r w:rsidR="009228DD">
              <w:rPr>
                <w:noProof/>
                <w:webHidden/>
              </w:rPr>
              <w:t>13</w:t>
            </w:r>
            <w:r w:rsidR="008B483A">
              <w:rPr>
                <w:noProof/>
                <w:webHidden/>
              </w:rPr>
              <w:fldChar w:fldCharType="end"/>
            </w:r>
          </w:hyperlink>
        </w:p>
        <w:p w14:paraId="5BDC5E9A" w14:textId="532651C9" w:rsidR="008B483A" w:rsidRDefault="00DA0C5F">
          <w:pPr>
            <w:pStyle w:val="Sumrio2"/>
            <w:tabs>
              <w:tab w:val="left" w:pos="880"/>
              <w:tab w:val="right" w:leader="dot" w:pos="9061"/>
            </w:tabs>
            <w:rPr>
              <w:rFonts w:eastAsiaTheme="minorEastAsia"/>
              <w:smallCaps w:val="0"/>
              <w:noProof/>
              <w:sz w:val="22"/>
              <w:szCs w:val="22"/>
              <w:lang w:eastAsia="pt-BR"/>
            </w:rPr>
          </w:pPr>
          <w:hyperlink w:anchor="_Toc147404335" w:history="1">
            <w:r w:rsidR="008B483A" w:rsidRPr="00807177">
              <w:rPr>
                <w:rStyle w:val="Hyperlink"/>
                <w:rFonts w:eastAsia="Arial Unicode MS"/>
                <w:noProof/>
              </w:rPr>
              <w:t>3.4</w:t>
            </w:r>
            <w:r w:rsidR="008B483A">
              <w:rPr>
                <w:rFonts w:eastAsiaTheme="minorEastAsia"/>
                <w:smallCaps w:val="0"/>
                <w:noProof/>
                <w:sz w:val="22"/>
                <w:szCs w:val="22"/>
                <w:lang w:eastAsia="pt-BR"/>
              </w:rPr>
              <w:tab/>
            </w:r>
            <w:r w:rsidR="008B483A" w:rsidRPr="00807177">
              <w:rPr>
                <w:rStyle w:val="Hyperlink"/>
                <w:rFonts w:eastAsia="Arial Unicode MS"/>
                <w:noProof/>
              </w:rPr>
              <w:t>Rede de Atendimento Integrado - RIA</w:t>
            </w:r>
            <w:r w:rsidR="008B483A">
              <w:rPr>
                <w:noProof/>
                <w:webHidden/>
              </w:rPr>
              <w:tab/>
            </w:r>
            <w:r w:rsidR="008B483A">
              <w:rPr>
                <w:noProof/>
                <w:webHidden/>
              </w:rPr>
              <w:fldChar w:fldCharType="begin"/>
            </w:r>
            <w:r w:rsidR="008B483A">
              <w:rPr>
                <w:noProof/>
                <w:webHidden/>
              </w:rPr>
              <w:instrText xml:space="preserve"> PAGEREF _Toc147404335 \h </w:instrText>
            </w:r>
            <w:r w:rsidR="008B483A">
              <w:rPr>
                <w:noProof/>
                <w:webHidden/>
              </w:rPr>
            </w:r>
            <w:r w:rsidR="008B483A">
              <w:rPr>
                <w:noProof/>
                <w:webHidden/>
              </w:rPr>
              <w:fldChar w:fldCharType="separate"/>
            </w:r>
            <w:r w:rsidR="009228DD">
              <w:rPr>
                <w:noProof/>
                <w:webHidden/>
              </w:rPr>
              <w:t>15</w:t>
            </w:r>
            <w:r w:rsidR="008B483A">
              <w:rPr>
                <w:noProof/>
                <w:webHidden/>
              </w:rPr>
              <w:fldChar w:fldCharType="end"/>
            </w:r>
          </w:hyperlink>
        </w:p>
        <w:p w14:paraId="302612BD" w14:textId="602E300B" w:rsidR="008B483A" w:rsidRDefault="00DA0C5F">
          <w:pPr>
            <w:pStyle w:val="Sumrio2"/>
            <w:tabs>
              <w:tab w:val="left" w:pos="880"/>
              <w:tab w:val="right" w:leader="dot" w:pos="9061"/>
            </w:tabs>
            <w:rPr>
              <w:rFonts w:eastAsiaTheme="minorEastAsia"/>
              <w:smallCaps w:val="0"/>
              <w:noProof/>
              <w:sz w:val="22"/>
              <w:szCs w:val="22"/>
              <w:lang w:eastAsia="pt-BR"/>
            </w:rPr>
          </w:pPr>
          <w:hyperlink w:anchor="_Toc147404336" w:history="1">
            <w:r w:rsidR="008B483A" w:rsidRPr="00807177">
              <w:rPr>
                <w:rStyle w:val="Hyperlink"/>
                <w:rFonts w:eastAsia="Arial Unicode MS"/>
                <w:noProof/>
              </w:rPr>
              <w:t>3.5</w:t>
            </w:r>
            <w:r w:rsidR="008B483A">
              <w:rPr>
                <w:rFonts w:eastAsiaTheme="minorEastAsia"/>
                <w:smallCaps w:val="0"/>
                <w:noProof/>
                <w:sz w:val="22"/>
                <w:szCs w:val="22"/>
                <w:lang w:eastAsia="pt-BR"/>
              </w:rPr>
              <w:tab/>
            </w:r>
            <w:r w:rsidR="008B483A" w:rsidRPr="00807177">
              <w:rPr>
                <w:rStyle w:val="Hyperlink"/>
                <w:rFonts w:eastAsia="Arial Unicode MS"/>
                <w:noProof/>
              </w:rPr>
              <w:t>Ressarcimento de Tarifas Bancárias</w:t>
            </w:r>
            <w:r w:rsidR="008B483A">
              <w:rPr>
                <w:noProof/>
                <w:webHidden/>
              </w:rPr>
              <w:tab/>
            </w:r>
            <w:r w:rsidR="008B483A">
              <w:rPr>
                <w:noProof/>
                <w:webHidden/>
              </w:rPr>
              <w:fldChar w:fldCharType="begin"/>
            </w:r>
            <w:r w:rsidR="008B483A">
              <w:rPr>
                <w:noProof/>
                <w:webHidden/>
              </w:rPr>
              <w:instrText xml:space="preserve"> PAGEREF _Toc147404336 \h </w:instrText>
            </w:r>
            <w:r w:rsidR="008B483A">
              <w:rPr>
                <w:noProof/>
                <w:webHidden/>
              </w:rPr>
            </w:r>
            <w:r w:rsidR="008B483A">
              <w:rPr>
                <w:noProof/>
                <w:webHidden/>
              </w:rPr>
              <w:fldChar w:fldCharType="separate"/>
            </w:r>
            <w:r w:rsidR="009228DD">
              <w:rPr>
                <w:noProof/>
                <w:webHidden/>
              </w:rPr>
              <w:t>16</w:t>
            </w:r>
            <w:r w:rsidR="008B483A">
              <w:rPr>
                <w:noProof/>
                <w:webHidden/>
              </w:rPr>
              <w:fldChar w:fldCharType="end"/>
            </w:r>
          </w:hyperlink>
        </w:p>
        <w:p w14:paraId="3FA99981" w14:textId="07B639FF" w:rsidR="008B483A" w:rsidRDefault="00DA0C5F">
          <w:pPr>
            <w:pStyle w:val="Sumrio2"/>
            <w:tabs>
              <w:tab w:val="left" w:pos="880"/>
              <w:tab w:val="right" w:leader="dot" w:pos="9061"/>
            </w:tabs>
            <w:rPr>
              <w:rFonts w:eastAsiaTheme="minorEastAsia"/>
              <w:smallCaps w:val="0"/>
              <w:noProof/>
              <w:sz w:val="22"/>
              <w:szCs w:val="22"/>
              <w:lang w:eastAsia="pt-BR"/>
            </w:rPr>
          </w:pPr>
          <w:hyperlink w:anchor="_Toc147404337" w:history="1">
            <w:r w:rsidR="008B483A" w:rsidRPr="00807177">
              <w:rPr>
                <w:rStyle w:val="Hyperlink"/>
                <w:rFonts w:eastAsia="Arial Unicode MS"/>
                <w:noProof/>
              </w:rPr>
              <w:t>3.6</w:t>
            </w:r>
            <w:r w:rsidR="008B483A">
              <w:rPr>
                <w:rFonts w:eastAsiaTheme="minorEastAsia"/>
                <w:smallCaps w:val="0"/>
                <w:noProof/>
                <w:sz w:val="22"/>
                <w:szCs w:val="22"/>
                <w:lang w:eastAsia="pt-BR"/>
              </w:rPr>
              <w:tab/>
            </w:r>
            <w:r w:rsidR="008B483A" w:rsidRPr="00807177">
              <w:rPr>
                <w:rStyle w:val="Hyperlink"/>
                <w:rFonts w:eastAsia="Arial Unicode MS"/>
                <w:noProof/>
              </w:rPr>
              <w:t>Reserva de Contingência</w:t>
            </w:r>
            <w:r w:rsidR="008B483A">
              <w:rPr>
                <w:noProof/>
                <w:webHidden/>
              </w:rPr>
              <w:tab/>
            </w:r>
            <w:r w:rsidR="008B483A">
              <w:rPr>
                <w:noProof/>
                <w:webHidden/>
              </w:rPr>
              <w:fldChar w:fldCharType="begin"/>
            </w:r>
            <w:r w:rsidR="008B483A">
              <w:rPr>
                <w:noProof/>
                <w:webHidden/>
              </w:rPr>
              <w:instrText xml:space="preserve"> PAGEREF _Toc147404337 \h </w:instrText>
            </w:r>
            <w:r w:rsidR="008B483A">
              <w:rPr>
                <w:noProof/>
                <w:webHidden/>
              </w:rPr>
            </w:r>
            <w:r w:rsidR="008B483A">
              <w:rPr>
                <w:noProof/>
                <w:webHidden/>
              </w:rPr>
              <w:fldChar w:fldCharType="separate"/>
            </w:r>
            <w:r w:rsidR="009228DD">
              <w:rPr>
                <w:noProof/>
                <w:webHidden/>
              </w:rPr>
              <w:t>16</w:t>
            </w:r>
            <w:r w:rsidR="008B483A">
              <w:rPr>
                <w:noProof/>
                <w:webHidden/>
              </w:rPr>
              <w:fldChar w:fldCharType="end"/>
            </w:r>
          </w:hyperlink>
        </w:p>
        <w:p w14:paraId="6872B038" w14:textId="2A3738E8" w:rsidR="008B483A" w:rsidRDefault="00DA0C5F">
          <w:pPr>
            <w:pStyle w:val="Sumrio2"/>
            <w:tabs>
              <w:tab w:val="left" w:pos="880"/>
              <w:tab w:val="right" w:leader="dot" w:pos="9061"/>
            </w:tabs>
            <w:rPr>
              <w:rFonts w:eastAsiaTheme="minorEastAsia"/>
              <w:smallCaps w:val="0"/>
              <w:noProof/>
              <w:sz w:val="22"/>
              <w:szCs w:val="22"/>
              <w:lang w:eastAsia="pt-BR"/>
            </w:rPr>
          </w:pPr>
          <w:hyperlink w:anchor="_Toc147404338" w:history="1">
            <w:r w:rsidR="008B483A" w:rsidRPr="00807177">
              <w:rPr>
                <w:rStyle w:val="Hyperlink"/>
                <w:rFonts w:eastAsia="Arial Unicode MS"/>
                <w:noProof/>
              </w:rPr>
              <w:t>3.7</w:t>
            </w:r>
            <w:r w:rsidR="008B483A">
              <w:rPr>
                <w:rFonts w:eastAsiaTheme="minorEastAsia"/>
                <w:smallCaps w:val="0"/>
                <w:noProof/>
                <w:sz w:val="22"/>
                <w:szCs w:val="22"/>
                <w:lang w:eastAsia="pt-BR"/>
              </w:rPr>
              <w:tab/>
            </w:r>
            <w:r w:rsidR="008B483A" w:rsidRPr="00807177">
              <w:rPr>
                <w:rStyle w:val="Hyperlink"/>
                <w:rFonts w:eastAsia="Arial Unicode MS"/>
                <w:noProof/>
              </w:rPr>
              <w:t>Limite de Despesas com Pessoal</w:t>
            </w:r>
            <w:r w:rsidR="008B483A">
              <w:rPr>
                <w:noProof/>
                <w:webHidden/>
              </w:rPr>
              <w:tab/>
            </w:r>
            <w:r w:rsidR="008B483A">
              <w:rPr>
                <w:noProof/>
                <w:webHidden/>
              </w:rPr>
              <w:fldChar w:fldCharType="begin"/>
            </w:r>
            <w:r w:rsidR="008B483A">
              <w:rPr>
                <w:noProof/>
                <w:webHidden/>
              </w:rPr>
              <w:instrText xml:space="preserve"> PAGEREF _Toc147404338 \h </w:instrText>
            </w:r>
            <w:r w:rsidR="008B483A">
              <w:rPr>
                <w:noProof/>
                <w:webHidden/>
              </w:rPr>
            </w:r>
            <w:r w:rsidR="008B483A">
              <w:rPr>
                <w:noProof/>
                <w:webHidden/>
              </w:rPr>
              <w:fldChar w:fldCharType="separate"/>
            </w:r>
            <w:r w:rsidR="009228DD">
              <w:rPr>
                <w:noProof/>
                <w:webHidden/>
              </w:rPr>
              <w:t>16</w:t>
            </w:r>
            <w:r w:rsidR="008B483A">
              <w:rPr>
                <w:noProof/>
                <w:webHidden/>
              </w:rPr>
              <w:fldChar w:fldCharType="end"/>
            </w:r>
          </w:hyperlink>
        </w:p>
        <w:p w14:paraId="12DF43B1" w14:textId="397D0EDF" w:rsidR="008B483A" w:rsidRDefault="00DA0C5F">
          <w:pPr>
            <w:pStyle w:val="Sumrio2"/>
            <w:tabs>
              <w:tab w:val="left" w:pos="880"/>
              <w:tab w:val="right" w:leader="dot" w:pos="9061"/>
            </w:tabs>
            <w:rPr>
              <w:rFonts w:eastAsiaTheme="minorEastAsia"/>
              <w:smallCaps w:val="0"/>
              <w:noProof/>
              <w:sz w:val="22"/>
              <w:szCs w:val="22"/>
              <w:lang w:eastAsia="pt-BR"/>
            </w:rPr>
          </w:pPr>
          <w:hyperlink w:anchor="_Toc147404339" w:history="1">
            <w:r w:rsidR="008B483A" w:rsidRPr="00807177">
              <w:rPr>
                <w:rStyle w:val="Hyperlink"/>
                <w:rFonts w:eastAsia="Arial Unicode MS"/>
                <w:noProof/>
              </w:rPr>
              <w:t>3.8</w:t>
            </w:r>
            <w:r w:rsidR="008B483A">
              <w:rPr>
                <w:rFonts w:eastAsiaTheme="minorEastAsia"/>
                <w:smallCaps w:val="0"/>
                <w:noProof/>
                <w:sz w:val="22"/>
                <w:szCs w:val="22"/>
                <w:lang w:eastAsia="pt-BR"/>
              </w:rPr>
              <w:tab/>
            </w:r>
            <w:r w:rsidR="008B483A" w:rsidRPr="00807177">
              <w:rPr>
                <w:rStyle w:val="Hyperlink"/>
                <w:rFonts w:eastAsia="Arial Unicode MS"/>
                <w:noProof/>
              </w:rPr>
              <w:t>Projetos Específicos / Estratégicos</w:t>
            </w:r>
            <w:r w:rsidR="008B483A">
              <w:rPr>
                <w:noProof/>
                <w:webHidden/>
              </w:rPr>
              <w:tab/>
            </w:r>
            <w:r w:rsidR="008B483A">
              <w:rPr>
                <w:noProof/>
                <w:webHidden/>
              </w:rPr>
              <w:fldChar w:fldCharType="begin"/>
            </w:r>
            <w:r w:rsidR="008B483A">
              <w:rPr>
                <w:noProof/>
                <w:webHidden/>
              </w:rPr>
              <w:instrText xml:space="preserve"> PAGEREF _Toc147404339 \h </w:instrText>
            </w:r>
            <w:r w:rsidR="008B483A">
              <w:rPr>
                <w:noProof/>
                <w:webHidden/>
              </w:rPr>
            </w:r>
            <w:r w:rsidR="008B483A">
              <w:rPr>
                <w:noProof/>
                <w:webHidden/>
              </w:rPr>
              <w:fldChar w:fldCharType="separate"/>
            </w:r>
            <w:r w:rsidR="009228DD">
              <w:rPr>
                <w:noProof/>
                <w:webHidden/>
              </w:rPr>
              <w:t>17</w:t>
            </w:r>
            <w:r w:rsidR="008B483A">
              <w:rPr>
                <w:noProof/>
                <w:webHidden/>
              </w:rPr>
              <w:fldChar w:fldCharType="end"/>
            </w:r>
          </w:hyperlink>
        </w:p>
        <w:p w14:paraId="1A348DA2" w14:textId="4240E75E" w:rsidR="008B483A" w:rsidRDefault="00DA0C5F">
          <w:pPr>
            <w:pStyle w:val="Sumrio1"/>
            <w:tabs>
              <w:tab w:val="left" w:pos="440"/>
            </w:tabs>
            <w:rPr>
              <w:rFonts w:eastAsiaTheme="minorEastAsia"/>
              <w:b w:val="0"/>
              <w:bCs w:val="0"/>
              <w:caps w:val="0"/>
              <w:sz w:val="22"/>
              <w:szCs w:val="22"/>
              <w:lang w:eastAsia="pt-BR"/>
            </w:rPr>
          </w:pPr>
          <w:hyperlink w:anchor="_Toc147404340" w:history="1">
            <w:r w:rsidR="008B483A" w:rsidRPr="00807177">
              <w:rPr>
                <w:rStyle w:val="Hyperlink"/>
              </w:rPr>
              <w:t>4.</w:t>
            </w:r>
            <w:r w:rsidR="008B483A">
              <w:rPr>
                <w:rFonts w:eastAsiaTheme="minorEastAsia"/>
                <w:b w:val="0"/>
                <w:bCs w:val="0"/>
                <w:caps w:val="0"/>
                <w:sz w:val="22"/>
                <w:szCs w:val="22"/>
                <w:lang w:eastAsia="pt-BR"/>
              </w:rPr>
              <w:tab/>
            </w:r>
            <w:r w:rsidR="008B483A" w:rsidRPr="00807177">
              <w:rPr>
                <w:rStyle w:val="Hyperlink"/>
              </w:rPr>
              <w:t>ESTIMATIVAS PARA ELABORAÇÃO DO PLANO DE AÇÃO E DO ORÇAMENTO 2024</w:t>
            </w:r>
            <w:r w:rsidR="008B483A">
              <w:rPr>
                <w:webHidden/>
              </w:rPr>
              <w:tab/>
            </w:r>
            <w:r w:rsidR="008B483A">
              <w:rPr>
                <w:webHidden/>
              </w:rPr>
              <w:fldChar w:fldCharType="begin"/>
            </w:r>
            <w:r w:rsidR="008B483A">
              <w:rPr>
                <w:webHidden/>
              </w:rPr>
              <w:instrText xml:space="preserve"> PAGEREF _Toc147404340 \h </w:instrText>
            </w:r>
            <w:r w:rsidR="008B483A">
              <w:rPr>
                <w:webHidden/>
              </w:rPr>
            </w:r>
            <w:r w:rsidR="008B483A">
              <w:rPr>
                <w:webHidden/>
              </w:rPr>
              <w:fldChar w:fldCharType="separate"/>
            </w:r>
            <w:r w:rsidR="009228DD">
              <w:rPr>
                <w:webHidden/>
              </w:rPr>
              <w:t>18</w:t>
            </w:r>
            <w:r w:rsidR="008B483A">
              <w:rPr>
                <w:webHidden/>
              </w:rPr>
              <w:fldChar w:fldCharType="end"/>
            </w:r>
          </w:hyperlink>
        </w:p>
        <w:p w14:paraId="6D2A3965" w14:textId="3A917D9E" w:rsidR="008B483A" w:rsidRDefault="00DA0C5F">
          <w:pPr>
            <w:pStyle w:val="Sumrio2"/>
            <w:tabs>
              <w:tab w:val="left" w:pos="880"/>
              <w:tab w:val="right" w:leader="dot" w:pos="9061"/>
            </w:tabs>
            <w:rPr>
              <w:rFonts w:eastAsiaTheme="minorEastAsia"/>
              <w:smallCaps w:val="0"/>
              <w:noProof/>
              <w:sz w:val="22"/>
              <w:szCs w:val="22"/>
              <w:lang w:eastAsia="pt-BR"/>
            </w:rPr>
          </w:pPr>
          <w:hyperlink w:anchor="_Toc147404341" w:history="1">
            <w:r w:rsidR="008B483A" w:rsidRPr="00807177">
              <w:rPr>
                <w:rStyle w:val="Hyperlink"/>
                <w:rFonts w:eastAsia="Arial Unicode MS"/>
                <w:noProof/>
              </w:rPr>
              <w:t>4.1</w:t>
            </w:r>
            <w:r w:rsidR="008B483A">
              <w:rPr>
                <w:rFonts w:eastAsiaTheme="minorEastAsia"/>
                <w:smallCaps w:val="0"/>
                <w:noProof/>
                <w:sz w:val="22"/>
                <w:szCs w:val="22"/>
                <w:lang w:eastAsia="pt-BR"/>
              </w:rPr>
              <w:tab/>
            </w:r>
            <w:r w:rsidR="008B483A" w:rsidRPr="00807177">
              <w:rPr>
                <w:rStyle w:val="Hyperlink"/>
                <w:rFonts w:eastAsia="Arial Unicode MS"/>
                <w:noProof/>
              </w:rPr>
              <w:t>Cenário de Recursos</w:t>
            </w:r>
            <w:r w:rsidR="008B483A">
              <w:rPr>
                <w:noProof/>
                <w:webHidden/>
              </w:rPr>
              <w:tab/>
            </w:r>
            <w:r w:rsidR="008B483A">
              <w:rPr>
                <w:noProof/>
                <w:webHidden/>
              </w:rPr>
              <w:fldChar w:fldCharType="begin"/>
            </w:r>
            <w:r w:rsidR="008B483A">
              <w:rPr>
                <w:noProof/>
                <w:webHidden/>
              </w:rPr>
              <w:instrText xml:space="preserve"> PAGEREF _Toc147404341 \h </w:instrText>
            </w:r>
            <w:r w:rsidR="008B483A">
              <w:rPr>
                <w:noProof/>
                <w:webHidden/>
              </w:rPr>
            </w:r>
            <w:r w:rsidR="008B483A">
              <w:rPr>
                <w:noProof/>
                <w:webHidden/>
              </w:rPr>
              <w:fldChar w:fldCharType="separate"/>
            </w:r>
            <w:r w:rsidR="009228DD">
              <w:rPr>
                <w:noProof/>
                <w:webHidden/>
              </w:rPr>
              <w:t>18</w:t>
            </w:r>
            <w:r w:rsidR="008B483A">
              <w:rPr>
                <w:noProof/>
                <w:webHidden/>
              </w:rPr>
              <w:fldChar w:fldCharType="end"/>
            </w:r>
          </w:hyperlink>
        </w:p>
        <w:p w14:paraId="07E8C4B7" w14:textId="0DAF5167" w:rsidR="008B483A" w:rsidRDefault="00DA0C5F">
          <w:pPr>
            <w:pStyle w:val="Sumrio3"/>
            <w:tabs>
              <w:tab w:val="left" w:pos="1100"/>
              <w:tab w:val="right" w:leader="dot" w:pos="9061"/>
            </w:tabs>
            <w:rPr>
              <w:rFonts w:eastAsiaTheme="minorEastAsia"/>
              <w:i w:val="0"/>
              <w:iCs w:val="0"/>
              <w:noProof/>
              <w:sz w:val="22"/>
              <w:szCs w:val="22"/>
              <w:lang w:eastAsia="pt-BR"/>
            </w:rPr>
          </w:pPr>
          <w:hyperlink w:anchor="_Toc147404342" w:history="1">
            <w:r w:rsidR="008B483A" w:rsidRPr="00807177">
              <w:rPr>
                <w:rStyle w:val="Hyperlink"/>
                <w:rFonts w:eastAsia="Arial Unicode MS"/>
                <w:noProof/>
              </w:rPr>
              <w:t>4.1.1</w:t>
            </w:r>
            <w:r w:rsidR="008B483A">
              <w:rPr>
                <w:rFonts w:eastAsiaTheme="minorEastAsia"/>
                <w:i w:val="0"/>
                <w:iCs w:val="0"/>
                <w:noProof/>
                <w:sz w:val="22"/>
                <w:szCs w:val="22"/>
                <w:lang w:eastAsia="pt-BR"/>
              </w:rPr>
              <w:tab/>
            </w:r>
            <w:r w:rsidR="008B483A" w:rsidRPr="00807177">
              <w:rPr>
                <w:rStyle w:val="Hyperlink"/>
                <w:rFonts w:eastAsia="Arial Unicode MS"/>
                <w:noProof/>
              </w:rPr>
              <w:t>Projeção dos Quantitativos de Profissionais, Empresas e RRT</w:t>
            </w:r>
            <w:r w:rsidR="008B483A">
              <w:rPr>
                <w:noProof/>
                <w:webHidden/>
              </w:rPr>
              <w:tab/>
            </w:r>
            <w:r w:rsidR="008B483A">
              <w:rPr>
                <w:noProof/>
                <w:webHidden/>
              </w:rPr>
              <w:fldChar w:fldCharType="begin"/>
            </w:r>
            <w:r w:rsidR="008B483A">
              <w:rPr>
                <w:noProof/>
                <w:webHidden/>
              </w:rPr>
              <w:instrText xml:space="preserve"> PAGEREF _Toc147404342 \h </w:instrText>
            </w:r>
            <w:r w:rsidR="008B483A">
              <w:rPr>
                <w:noProof/>
                <w:webHidden/>
              </w:rPr>
            </w:r>
            <w:r w:rsidR="008B483A">
              <w:rPr>
                <w:noProof/>
                <w:webHidden/>
              </w:rPr>
              <w:fldChar w:fldCharType="separate"/>
            </w:r>
            <w:r w:rsidR="009228DD">
              <w:rPr>
                <w:noProof/>
                <w:webHidden/>
              </w:rPr>
              <w:t>19</w:t>
            </w:r>
            <w:r w:rsidR="008B483A">
              <w:rPr>
                <w:noProof/>
                <w:webHidden/>
              </w:rPr>
              <w:fldChar w:fldCharType="end"/>
            </w:r>
          </w:hyperlink>
        </w:p>
        <w:p w14:paraId="07CF5F0D" w14:textId="3DFE14D4" w:rsidR="008B483A" w:rsidRDefault="00DA0C5F">
          <w:pPr>
            <w:pStyle w:val="Sumrio3"/>
            <w:tabs>
              <w:tab w:val="left" w:pos="1100"/>
              <w:tab w:val="right" w:leader="dot" w:pos="9061"/>
            </w:tabs>
            <w:rPr>
              <w:rFonts w:eastAsiaTheme="minorEastAsia"/>
              <w:i w:val="0"/>
              <w:iCs w:val="0"/>
              <w:noProof/>
              <w:sz w:val="22"/>
              <w:szCs w:val="22"/>
              <w:lang w:eastAsia="pt-BR"/>
            </w:rPr>
          </w:pPr>
          <w:hyperlink w:anchor="_Toc147404343" w:history="1">
            <w:r w:rsidR="008B483A" w:rsidRPr="00807177">
              <w:rPr>
                <w:rStyle w:val="Hyperlink"/>
                <w:rFonts w:eastAsia="Arial Unicode MS"/>
                <w:noProof/>
              </w:rPr>
              <w:t>4.1.2</w:t>
            </w:r>
            <w:r w:rsidR="008B483A">
              <w:rPr>
                <w:rFonts w:eastAsiaTheme="minorEastAsia"/>
                <w:i w:val="0"/>
                <w:iCs w:val="0"/>
                <w:noProof/>
                <w:sz w:val="22"/>
                <w:szCs w:val="22"/>
                <w:lang w:eastAsia="pt-BR"/>
              </w:rPr>
              <w:tab/>
            </w:r>
            <w:r w:rsidR="008B483A" w:rsidRPr="00807177">
              <w:rPr>
                <w:rStyle w:val="Hyperlink"/>
                <w:rFonts w:eastAsia="Arial Unicode MS"/>
                <w:noProof/>
              </w:rPr>
              <w:t>Projeção das Receitas de Arrecadação</w:t>
            </w:r>
            <w:r w:rsidR="008B483A">
              <w:rPr>
                <w:noProof/>
                <w:webHidden/>
              </w:rPr>
              <w:tab/>
            </w:r>
            <w:r w:rsidR="008B483A">
              <w:rPr>
                <w:noProof/>
                <w:webHidden/>
              </w:rPr>
              <w:fldChar w:fldCharType="begin"/>
            </w:r>
            <w:r w:rsidR="008B483A">
              <w:rPr>
                <w:noProof/>
                <w:webHidden/>
              </w:rPr>
              <w:instrText xml:space="preserve"> PAGEREF _Toc147404343 \h </w:instrText>
            </w:r>
            <w:r w:rsidR="008B483A">
              <w:rPr>
                <w:noProof/>
                <w:webHidden/>
              </w:rPr>
            </w:r>
            <w:r w:rsidR="008B483A">
              <w:rPr>
                <w:noProof/>
                <w:webHidden/>
              </w:rPr>
              <w:fldChar w:fldCharType="separate"/>
            </w:r>
            <w:r w:rsidR="009228DD">
              <w:rPr>
                <w:noProof/>
                <w:webHidden/>
              </w:rPr>
              <w:t>22</w:t>
            </w:r>
            <w:r w:rsidR="008B483A">
              <w:rPr>
                <w:noProof/>
                <w:webHidden/>
              </w:rPr>
              <w:fldChar w:fldCharType="end"/>
            </w:r>
          </w:hyperlink>
        </w:p>
        <w:p w14:paraId="397E1C89" w14:textId="47D674B2" w:rsidR="008B483A" w:rsidRDefault="00DA0C5F">
          <w:pPr>
            <w:pStyle w:val="Sumrio1"/>
            <w:tabs>
              <w:tab w:val="left" w:pos="440"/>
            </w:tabs>
            <w:rPr>
              <w:rFonts w:eastAsiaTheme="minorEastAsia"/>
              <w:b w:val="0"/>
              <w:bCs w:val="0"/>
              <w:caps w:val="0"/>
              <w:sz w:val="22"/>
              <w:szCs w:val="22"/>
              <w:lang w:eastAsia="pt-BR"/>
            </w:rPr>
          </w:pPr>
          <w:hyperlink w:anchor="_Toc147404344" w:history="1">
            <w:r w:rsidR="008B483A" w:rsidRPr="00807177">
              <w:rPr>
                <w:rStyle w:val="Hyperlink"/>
              </w:rPr>
              <w:t>5.</w:t>
            </w:r>
            <w:r w:rsidR="008B483A">
              <w:rPr>
                <w:rFonts w:eastAsiaTheme="minorEastAsia"/>
                <w:b w:val="0"/>
                <w:bCs w:val="0"/>
                <w:caps w:val="0"/>
                <w:sz w:val="22"/>
                <w:szCs w:val="22"/>
                <w:lang w:eastAsia="pt-BR"/>
              </w:rPr>
              <w:tab/>
            </w:r>
            <w:r w:rsidR="008B483A" w:rsidRPr="00807177">
              <w:rPr>
                <w:rStyle w:val="Hyperlink"/>
              </w:rPr>
              <w:t>SISTEMÁTICA DE ELABORAÇÃO DO PLANO DE AÇÃO E DO ORÇAMENTO 2024</w:t>
            </w:r>
            <w:r w:rsidR="008B483A">
              <w:rPr>
                <w:webHidden/>
              </w:rPr>
              <w:tab/>
            </w:r>
            <w:r w:rsidR="008B483A">
              <w:rPr>
                <w:webHidden/>
              </w:rPr>
              <w:fldChar w:fldCharType="begin"/>
            </w:r>
            <w:r w:rsidR="008B483A">
              <w:rPr>
                <w:webHidden/>
              </w:rPr>
              <w:instrText xml:space="preserve"> PAGEREF _Toc147404344 \h </w:instrText>
            </w:r>
            <w:r w:rsidR="008B483A">
              <w:rPr>
                <w:webHidden/>
              </w:rPr>
            </w:r>
            <w:r w:rsidR="008B483A">
              <w:rPr>
                <w:webHidden/>
              </w:rPr>
              <w:fldChar w:fldCharType="separate"/>
            </w:r>
            <w:r w:rsidR="009228DD">
              <w:rPr>
                <w:webHidden/>
              </w:rPr>
              <w:t>26</w:t>
            </w:r>
            <w:r w:rsidR="008B483A">
              <w:rPr>
                <w:webHidden/>
              </w:rPr>
              <w:fldChar w:fldCharType="end"/>
            </w:r>
          </w:hyperlink>
        </w:p>
        <w:p w14:paraId="3619910E" w14:textId="1CCF6F43" w:rsidR="008B483A" w:rsidRDefault="00DA0C5F">
          <w:pPr>
            <w:pStyle w:val="Sumrio2"/>
            <w:tabs>
              <w:tab w:val="left" w:pos="880"/>
              <w:tab w:val="right" w:leader="dot" w:pos="9061"/>
            </w:tabs>
            <w:rPr>
              <w:rFonts w:eastAsiaTheme="minorEastAsia"/>
              <w:smallCaps w:val="0"/>
              <w:noProof/>
              <w:sz w:val="22"/>
              <w:szCs w:val="22"/>
              <w:lang w:eastAsia="pt-BR"/>
            </w:rPr>
          </w:pPr>
          <w:hyperlink w:anchor="_Toc147404345" w:history="1">
            <w:r w:rsidR="008B483A" w:rsidRPr="00807177">
              <w:rPr>
                <w:rStyle w:val="Hyperlink"/>
                <w:rFonts w:eastAsia="Arial Unicode MS"/>
                <w:noProof/>
              </w:rPr>
              <w:t>5.1</w:t>
            </w:r>
            <w:r w:rsidR="008B483A">
              <w:rPr>
                <w:rFonts w:eastAsiaTheme="minorEastAsia"/>
                <w:smallCaps w:val="0"/>
                <w:noProof/>
                <w:sz w:val="22"/>
                <w:szCs w:val="22"/>
                <w:lang w:eastAsia="pt-BR"/>
              </w:rPr>
              <w:tab/>
            </w:r>
            <w:r w:rsidR="008B483A" w:rsidRPr="00807177">
              <w:rPr>
                <w:rStyle w:val="Hyperlink"/>
                <w:rFonts w:eastAsia="Arial Unicode MS"/>
                <w:noProof/>
              </w:rPr>
              <w:t>Da Disponibilização e da Aprovação</w:t>
            </w:r>
            <w:r w:rsidR="008B483A">
              <w:rPr>
                <w:noProof/>
                <w:webHidden/>
              </w:rPr>
              <w:tab/>
            </w:r>
            <w:r w:rsidR="008B483A">
              <w:rPr>
                <w:noProof/>
                <w:webHidden/>
              </w:rPr>
              <w:fldChar w:fldCharType="begin"/>
            </w:r>
            <w:r w:rsidR="008B483A">
              <w:rPr>
                <w:noProof/>
                <w:webHidden/>
              </w:rPr>
              <w:instrText xml:space="preserve"> PAGEREF _Toc147404345 \h </w:instrText>
            </w:r>
            <w:r w:rsidR="008B483A">
              <w:rPr>
                <w:noProof/>
                <w:webHidden/>
              </w:rPr>
            </w:r>
            <w:r w:rsidR="008B483A">
              <w:rPr>
                <w:noProof/>
                <w:webHidden/>
              </w:rPr>
              <w:fldChar w:fldCharType="separate"/>
            </w:r>
            <w:r w:rsidR="009228DD">
              <w:rPr>
                <w:noProof/>
                <w:webHidden/>
              </w:rPr>
              <w:t>27</w:t>
            </w:r>
            <w:r w:rsidR="008B483A">
              <w:rPr>
                <w:noProof/>
                <w:webHidden/>
              </w:rPr>
              <w:fldChar w:fldCharType="end"/>
            </w:r>
          </w:hyperlink>
        </w:p>
        <w:p w14:paraId="0DDEA566" w14:textId="6A9B0D93" w:rsidR="008B483A" w:rsidRDefault="00DA0C5F">
          <w:pPr>
            <w:pStyle w:val="Sumrio2"/>
            <w:tabs>
              <w:tab w:val="left" w:pos="880"/>
              <w:tab w:val="right" w:leader="dot" w:pos="9061"/>
            </w:tabs>
            <w:rPr>
              <w:rFonts w:eastAsiaTheme="minorEastAsia"/>
              <w:smallCaps w:val="0"/>
              <w:noProof/>
              <w:sz w:val="22"/>
              <w:szCs w:val="22"/>
              <w:lang w:eastAsia="pt-BR"/>
            </w:rPr>
          </w:pPr>
          <w:hyperlink w:anchor="_Toc147404346" w:history="1">
            <w:r w:rsidR="008B483A" w:rsidRPr="00807177">
              <w:rPr>
                <w:rStyle w:val="Hyperlink"/>
                <w:rFonts w:eastAsia="Arial Unicode MS"/>
                <w:noProof/>
              </w:rPr>
              <w:t>5.2</w:t>
            </w:r>
            <w:r w:rsidR="008B483A">
              <w:rPr>
                <w:rFonts w:eastAsiaTheme="minorEastAsia"/>
                <w:smallCaps w:val="0"/>
                <w:noProof/>
                <w:sz w:val="22"/>
                <w:szCs w:val="22"/>
                <w:lang w:eastAsia="pt-BR"/>
              </w:rPr>
              <w:tab/>
            </w:r>
            <w:r w:rsidR="008B483A" w:rsidRPr="00807177">
              <w:rPr>
                <w:rStyle w:val="Hyperlink"/>
                <w:rFonts w:eastAsia="Arial Unicode MS"/>
                <w:noProof/>
              </w:rPr>
              <w:t>Da Consolidação do Plano de Ação e Orçamento 2024</w:t>
            </w:r>
            <w:r w:rsidR="008B483A">
              <w:rPr>
                <w:noProof/>
                <w:webHidden/>
              </w:rPr>
              <w:tab/>
            </w:r>
            <w:r w:rsidR="008B483A">
              <w:rPr>
                <w:noProof/>
                <w:webHidden/>
              </w:rPr>
              <w:fldChar w:fldCharType="begin"/>
            </w:r>
            <w:r w:rsidR="008B483A">
              <w:rPr>
                <w:noProof/>
                <w:webHidden/>
              </w:rPr>
              <w:instrText xml:space="preserve"> PAGEREF _Toc147404346 \h </w:instrText>
            </w:r>
            <w:r w:rsidR="008B483A">
              <w:rPr>
                <w:noProof/>
                <w:webHidden/>
              </w:rPr>
            </w:r>
            <w:r w:rsidR="008B483A">
              <w:rPr>
                <w:noProof/>
                <w:webHidden/>
              </w:rPr>
              <w:fldChar w:fldCharType="separate"/>
            </w:r>
            <w:r w:rsidR="009228DD">
              <w:rPr>
                <w:noProof/>
                <w:webHidden/>
              </w:rPr>
              <w:t>27</w:t>
            </w:r>
            <w:r w:rsidR="008B483A">
              <w:rPr>
                <w:noProof/>
                <w:webHidden/>
              </w:rPr>
              <w:fldChar w:fldCharType="end"/>
            </w:r>
          </w:hyperlink>
        </w:p>
        <w:p w14:paraId="317BEF54" w14:textId="05D3F34D" w:rsidR="008B483A" w:rsidRDefault="00DA0C5F">
          <w:pPr>
            <w:pStyle w:val="Sumrio1"/>
            <w:tabs>
              <w:tab w:val="left" w:pos="440"/>
            </w:tabs>
            <w:rPr>
              <w:rFonts w:eastAsiaTheme="minorEastAsia"/>
              <w:b w:val="0"/>
              <w:bCs w:val="0"/>
              <w:caps w:val="0"/>
              <w:sz w:val="22"/>
              <w:szCs w:val="22"/>
              <w:lang w:eastAsia="pt-BR"/>
            </w:rPr>
          </w:pPr>
          <w:hyperlink w:anchor="_Toc147404347" w:history="1">
            <w:r w:rsidR="008B483A" w:rsidRPr="00807177">
              <w:rPr>
                <w:rStyle w:val="Hyperlink"/>
              </w:rPr>
              <w:t>6.</w:t>
            </w:r>
            <w:r w:rsidR="008B483A">
              <w:rPr>
                <w:rFonts w:eastAsiaTheme="minorEastAsia"/>
                <w:b w:val="0"/>
                <w:bCs w:val="0"/>
                <w:caps w:val="0"/>
                <w:sz w:val="22"/>
                <w:szCs w:val="22"/>
                <w:lang w:eastAsia="pt-BR"/>
              </w:rPr>
              <w:tab/>
            </w:r>
            <w:r w:rsidR="008B483A" w:rsidRPr="00807177">
              <w:rPr>
                <w:rStyle w:val="Hyperlink"/>
              </w:rPr>
              <w:t>CALENDÁRIO DA PROGRAMAÇÃO DO PLANO DE AÇÃO E ORÇAMENTO DO CAU – EXERCÍCIO 2024</w:t>
            </w:r>
            <w:r w:rsidR="008B483A">
              <w:rPr>
                <w:webHidden/>
              </w:rPr>
              <w:tab/>
            </w:r>
            <w:r w:rsidR="008B483A">
              <w:rPr>
                <w:webHidden/>
              </w:rPr>
              <w:fldChar w:fldCharType="begin"/>
            </w:r>
            <w:r w:rsidR="008B483A">
              <w:rPr>
                <w:webHidden/>
              </w:rPr>
              <w:instrText xml:space="preserve"> PAGEREF _Toc147404347 \h </w:instrText>
            </w:r>
            <w:r w:rsidR="008B483A">
              <w:rPr>
                <w:webHidden/>
              </w:rPr>
            </w:r>
            <w:r w:rsidR="008B483A">
              <w:rPr>
                <w:webHidden/>
              </w:rPr>
              <w:fldChar w:fldCharType="separate"/>
            </w:r>
            <w:r w:rsidR="009228DD">
              <w:rPr>
                <w:webHidden/>
              </w:rPr>
              <w:t>28</w:t>
            </w:r>
            <w:r w:rsidR="008B483A">
              <w:rPr>
                <w:webHidden/>
              </w:rPr>
              <w:fldChar w:fldCharType="end"/>
            </w:r>
          </w:hyperlink>
        </w:p>
        <w:p w14:paraId="7A9948F9" w14:textId="64BFD8FC" w:rsidR="008B483A" w:rsidRDefault="00DA0C5F">
          <w:pPr>
            <w:pStyle w:val="Sumrio1"/>
            <w:tabs>
              <w:tab w:val="left" w:pos="440"/>
            </w:tabs>
            <w:rPr>
              <w:rFonts w:eastAsiaTheme="minorEastAsia"/>
              <w:b w:val="0"/>
              <w:bCs w:val="0"/>
              <w:caps w:val="0"/>
              <w:sz w:val="22"/>
              <w:szCs w:val="22"/>
              <w:lang w:eastAsia="pt-BR"/>
            </w:rPr>
          </w:pPr>
          <w:hyperlink w:anchor="_Toc147404348" w:history="1">
            <w:r w:rsidR="008B483A" w:rsidRPr="00807177">
              <w:rPr>
                <w:rStyle w:val="Hyperlink"/>
              </w:rPr>
              <w:t>7.</w:t>
            </w:r>
            <w:r w:rsidR="008B483A">
              <w:rPr>
                <w:rFonts w:eastAsiaTheme="minorEastAsia"/>
                <w:b w:val="0"/>
                <w:bCs w:val="0"/>
                <w:caps w:val="0"/>
                <w:sz w:val="22"/>
                <w:szCs w:val="22"/>
                <w:lang w:eastAsia="pt-BR"/>
              </w:rPr>
              <w:tab/>
            </w:r>
            <w:r w:rsidR="008B483A" w:rsidRPr="00807177">
              <w:rPr>
                <w:rStyle w:val="Hyperlink"/>
              </w:rPr>
              <w:t>ANEXOS</w:t>
            </w:r>
            <w:r w:rsidR="008B483A">
              <w:rPr>
                <w:webHidden/>
              </w:rPr>
              <w:tab/>
            </w:r>
            <w:r w:rsidR="008B483A">
              <w:rPr>
                <w:webHidden/>
              </w:rPr>
              <w:fldChar w:fldCharType="begin"/>
            </w:r>
            <w:r w:rsidR="008B483A">
              <w:rPr>
                <w:webHidden/>
              </w:rPr>
              <w:instrText xml:space="preserve"> PAGEREF _Toc147404348 \h </w:instrText>
            </w:r>
            <w:r w:rsidR="008B483A">
              <w:rPr>
                <w:webHidden/>
              </w:rPr>
            </w:r>
            <w:r w:rsidR="008B483A">
              <w:rPr>
                <w:webHidden/>
              </w:rPr>
              <w:fldChar w:fldCharType="separate"/>
            </w:r>
            <w:r w:rsidR="009228DD">
              <w:rPr>
                <w:webHidden/>
              </w:rPr>
              <w:t>29</w:t>
            </w:r>
            <w:r w:rsidR="008B483A">
              <w:rPr>
                <w:webHidden/>
              </w:rPr>
              <w:fldChar w:fldCharType="end"/>
            </w:r>
          </w:hyperlink>
        </w:p>
        <w:p w14:paraId="02B715A2" w14:textId="21B4786E" w:rsidR="00E704E7" w:rsidRDefault="00E704E7">
          <w:r>
            <w:rPr>
              <w:b/>
              <w:bCs/>
            </w:rPr>
            <w:fldChar w:fldCharType="end"/>
          </w:r>
        </w:p>
      </w:sdtContent>
    </w:sdt>
    <w:p w14:paraId="7DC8519D" w14:textId="06232ED7" w:rsidR="00CF646A" w:rsidRDefault="00CF646A">
      <w:pPr>
        <w:rPr>
          <w:rFonts w:eastAsiaTheme="minorEastAsia" w:cs="Calibri"/>
          <w:b/>
          <w:color w:val="006666"/>
          <w:sz w:val="32"/>
          <w:highlight w:val="yellow"/>
          <w:lang w:eastAsia="pt-BR"/>
        </w:rPr>
      </w:pPr>
      <w:r>
        <w:rPr>
          <w:highlight w:val="yellow"/>
        </w:rPr>
        <w:br w:type="page"/>
      </w:r>
    </w:p>
    <w:p w14:paraId="62132750" w14:textId="6855951A" w:rsidR="002902A0" w:rsidRPr="007E5CDC" w:rsidRDefault="002902A0" w:rsidP="002902A0">
      <w:pPr>
        <w:rPr>
          <w:b/>
          <w:bCs/>
          <w:sz w:val="28"/>
          <w:szCs w:val="28"/>
        </w:rPr>
      </w:pPr>
      <w:bookmarkStart w:id="6" w:name="_Toc393977049"/>
      <w:bookmarkStart w:id="7" w:name="_Toc393977770"/>
      <w:bookmarkStart w:id="8" w:name="_Toc487558901"/>
      <w:bookmarkStart w:id="9" w:name="_Toc487559002"/>
      <w:r w:rsidRPr="007E5CDC">
        <w:rPr>
          <w:b/>
          <w:bCs/>
          <w:sz w:val="28"/>
          <w:szCs w:val="28"/>
        </w:rPr>
        <w:lastRenderedPageBreak/>
        <w:t>ÍNDICE DE FIGU</w:t>
      </w:r>
      <w:r w:rsidR="00061CE2">
        <w:rPr>
          <w:b/>
          <w:bCs/>
          <w:sz w:val="28"/>
          <w:szCs w:val="28"/>
        </w:rPr>
        <w:t>RAS</w:t>
      </w:r>
      <w:r w:rsidRPr="007E5CDC">
        <w:rPr>
          <w:b/>
          <w:bCs/>
          <w:sz w:val="28"/>
          <w:szCs w:val="28"/>
        </w:rPr>
        <w:t>, QUADROS E ANEXOS</w:t>
      </w:r>
    </w:p>
    <w:p w14:paraId="13D8195B" w14:textId="77777777" w:rsidR="002902A0" w:rsidRPr="007E5CDC" w:rsidRDefault="002902A0" w:rsidP="002902A0">
      <w:pPr>
        <w:rPr>
          <w:b/>
          <w:bCs/>
          <w:sz w:val="18"/>
          <w:szCs w:val="18"/>
        </w:rPr>
      </w:pPr>
    </w:p>
    <w:p w14:paraId="6451841C" w14:textId="4AFC2872" w:rsidR="002902A0" w:rsidRPr="00045113" w:rsidRDefault="002902A0" w:rsidP="002902A0">
      <w:pPr>
        <w:jc w:val="both"/>
        <w:rPr>
          <w:b/>
          <w:bCs/>
          <w:sz w:val="18"/>
          <w:szCs w:val="18"/>
        </w:rPr>
      </w:pPr>
      <w:r w:rsidRPr="00F52437">
        <w:rPr>
          <w:b/>
          <w:bCs/>
          <w:sz w:val="18"/>
          <w:szCs w:val="18"/>
        </w:rPr>
        <w:t>FIGURA 1 – MAPA ESTRATÉGICO DO CAU</w:t>
      </w:r>
      <w:r w:rsidR="00F6212A">
        <w:rPr>
          <w:b/>
          <w:bCs/>
          <w:sz w:val="18"/>
          <w:szCs w:val="18"/>
        </w:rPr>
        <w:t>.................</w:t>
      </w:r>
      <w:r w:rsidRPr="00F52437">
        <w:rPr>
          <w:b/>
          <w:bCs/>
          <w:sz w:val="18"/>
          <w:szCs w:val="18"/>
        </w:rPr>
        <w:t>..........................................................................................................7</w:t>
      </w:r>
    </w:p>
    <w:p w14:paraId="6894CC93" w14:textId="16DA8A5C" w:rsidR="002902A0" w:rsidRPr="00045113" w:rsidRDefault="002902A0" w:rsidP="002902A0">
      <w:pPr>
        <w:jc w:val="both"/>
        <w:rPr>
          <w:b/>
          <w:bCs/>
          <w:sz w:val="18"/>
          <w:szCs w:val="18"/>
        </w:rPr>
      </w:pPr>
      <w:r w:rsidRPr="00045113">
        <w:rPr>
          <w:b/>
          <w:bCs/>
          <w:sz w:val="18"/>
          <w:szCs w:val="18"/>
        </w:rPr>
        <w:t>QUADRO 1 – VALOR DE ANUIDADE E RRT – REPROGRAMAÇÃO 202</w:t>
      </w:r>
      <w:r w:rsidR="008B483A">
        <w:rPr>
          <w:b/>
          <w:bCs/>
          <w:sz w:val="18"/>
          <w:szCs w:val="18"/>
        </w:rPr>
        <w:t>3</w:t>
      </w:r>
      <w:r w:rsidRPr="00045113">
        <w:rPr>
          <w:b/>
          <w:bCs/>
          <w:sz w:val="18"/>
          <w:szCs w:val="18"/>
        </w:rPr>
        <w:t xml:space="preserve"> X PROGRAMAÇÃO 202</w:t>
      </w:r>
      <w:r w:rsidR="00F6212A">
        <w:rPr>
          <w:b/>
          <w:bCs/>
          <w:sz w:val="18"/>
          <w:szCs w:val="18"/>
        </w:rPr>
        <w:t>4</w:t>
      </w:r>
      <w:r w:rsidRPr="00045113">
        <w:rPr>
          <w:b/>
          <w:bCs/>
          <w:sz w:val="18"/>
          <w:szCs w:val="18"/>
        </w:rPr>
        <w:t>............</w:t>
      </w:r>
      <w:r>
        <w:rPr>
          <w:b/>
          <w:bCs/>
          <w:sz w:val="18"/>
          <w:szCs w:val="18"/>
        </w:rPr>
        <w:t>.............</w:t>
      </w:r>
      <w:r w:rsidRPr="00045113">
        <w:rPr>
          <w:b/>
          <w:bCs/>
          <w:sz w:val="18"/>
          <w:szCs w:val="18"/>
        </w:rPr>
        <w:t>.................2</w:t>
      </w:r>
      <w:r w:rsidR="009B7AAA">
        <w:rPr>
          <w:b/>
          <w:bCs/>
          <w:sz w:val="18"/>
          <w:szCs w:val="18"/>
        </w:rPr>
        <w:t>0</w:t>
      </w:r>
    </w:p>
    <w:p w14:paraId="2F791FC9" w14:textId="5D08B927" w:rsidR="002902A0" w:rsidRPr="00DA0C5F" w:rsidRDefault="002902A0" w:rsidP="00DA0C5F">
      <w:pPr>
        <w:spacing w:line="240" w:lineRule="auto"/>
        <w:rPr>
          <w:rFonts w:eastAsia="Arial Unicode MS"/>
          <w:b/>
          <w:bCs/>
          <w:lang w:eastAsia="pt-BR"/>
        </w:rPr>
      </w:pPr>
      <w:r w:rsidRPr="00045113">
        <w:rPr>
          <w:b/>
          <w:bCs/>
          <w:sz w:val="18"/>
          <w:szCs w:val="18"/>
        </w:rPr>
        <w:t xml:space="preserve">QUADRO 2 – </w:t>
      </w:r>
      <w:r w:rsidR="00DA0C5F">
        <w:rPr>
          <w:rFonts w:eastAsia="Arial Unicode MS"/>
          <w:b/>
          <w:bCs/>
          <w:lang w:eastAsia="pt-BR"/>
        </w:rPr>
        <w:t xml:space="preserve">Quantitativos de </w:t>
      </w:r>
      <w:r w:rsidR="00DA0C5F" w:rsidRPr="001A12C8">
        <w:rPr>
          <w:rFonts w:eastAsia="Arial Unicode MS"/>
          <w:b/>
          <w:bCs/>
          <w:lang w:eastAsia="pt-BR"/>
        </w:rPr>
        <w:t>Arquitet</w:t>
      </w:r>
      <w:r w:rsidR="00DA0C5F">
        <w:rPr>
          <w:rFonts w:eastAsia="Arial Unicode MS"/>
          <w:b/>
          <w:bCs/>
          <w:lang w:eastAsia="pt-BR"/>
        </w:rPr>
        <w:t xml:space="preserve">os e Urbanistas, Empresas e RRT </w:t>
      </w:r>
      <w:r w:rsidR="002537E7">
        <w:rPr>
          <w:rFonts w:eastAsia="Arial Unicode MS"/>
          <w:b/>
          <w:bCs/>
          <w:lang w:eastAsia="pt-BR"/>
        </w:rPr>
        <w:t>Reprogramação 2023 X Programação 2024</w:t>
      </w:r>
      <w:r w:rsidR="00DA0C5F">
        <w:rPr>
          <w:rFonts w:eastAsia="Arial Unicode MS"/>
          <w:b/>
          <w:bCs/>
          <w:lang w:eastAsia="pt-BR"/>
        </w:rPr>
        <w:t xml:space="preserve"> </w:t>
      </w:r>
      <w:r w:rsidRPr="00045113">
        <w:rPr>
          <w:b/>
          <w:bCs/>
          <w:sz w:val="18"/>
          <w:szCs w:val="18"/>
        </w:rPr>
        <w:t>...................................................................................................................................</w:t>
      </w:r>
      <w:r>
        <w:rPr>
          <w:b/>
          <w:bCs/>
          <w:sz w:val="18"/>
          <w:szCs w:val="18"/>
        </w:rPr>
        <w:t>............</w:t>
      </w:r>
      <w:r w:rsidRPr="00045113">
        <w:rPr>
          <w:b/>
          <w:bCs/>
          <w:sz w:val="18"/>
          <w:szCs w:val="18"/>
        </w:rPr>
        <w:t>.....2</w:t>
      </w:r>
      <w:r w:rsidR="009B7AAA">
        <w:rPr>
          <w:b/>
          <w:bCs/>
          <w:sz w:val="18"/>
          <w:szCs w:val="18"/>
        </w:rPr>
        <w:t>2</w:t>
      </w:r>
    </w:p>
    <w:p w14:paraId="54C52993" w14:textId="5F74B76D" w:rsidR="002902A0" w:rsidRPr="00045113" w:rsidRDefault="002902A0" w:rsidP="002902A0">
      <w:pPr>
        <w:jc w:val="both"/>
        <w:rPr>
          <w:b/>
          <w:bCs/>
          <w:sz w:val="18"/>
          <w:szCs w:val="18"/>
        </w:rPr>
      </w:pPr>
      <w:r w:rsidRPr="00045113">
        <w:rPr>
          <w:b/>
          <w:bCs/>
          <w:sz w:val="18"/>
          <w:szCs w:val="18"/>
        </w:rPr>
        <w:t>QUADRO 3 – ESTIMATIVAS DAS RECEITAS DO CAU – REPROGRAMAÇÃO 202</w:t>
      </w:r>
      <w:r w:rsidR="00F6212A">
        <w:rPr>
          <w:b/>
          <w:bCs/>
          <w:sz w:val="18"/>
          <w:szCs w:val="18"/>
        </w:rPr>
        <w:t>3</w:t>
      </w:r>
      <w:r w:rsidRPr="00045113">
        <w:rPr>
          <w:b/>
          <w:bCs/>
          <w:sz w:val="18"/>
          <w:szCs w:val="18"/>
        </w:rPr>
        <w:t xml:space="preserve"> X PROGRAMAÇÃO 202</w:t>
      </w:r>
      <w:r w:rsidR="00F6212A">
        <w:rPr>
          <w:b/>
          <w:bCs/>
          <w:sz w:val="18"/>
          <w:szCs w:val="18"/>
        </w:rPr>
        <w:t>4</w:t>
      </w:r>
      <w:r w:rsidRPr="00045113">
        <w:rPr>
          <w:b/>
          <w:bCs/>
          <w:sz w:val="18"/>
          <w:szCs w:val="18"/>
        </w:rPr>
        <w:t>...............</w:t>
      </w:r>
      <w:r>
        <w:rPr>
          <w:b/>
          <w:bCs/>
          <w:sz w:val="18"/>
          <w:szCs w:val="18"/>
        </w:rPr>
        <w:t>..............</w:t>
      </w:r>
      <w:r w:rsidRPr="00045113">
        <w:rPr>
          <w:b/>
          <w:bCs/>
          <w:sz w:val="18"/>
          <w:szCs w:val="18"/>
        </w:rPr>
        <w:t>2</w:t>
      </w:r>
      <w:r w:rsidR="00DB7BC1">
        <w:rPr>
          <w:b/>
          <w:bCs/>
          <w:sz w:val="18"/>
          <w:szCs w:val="18"/>
        </w:rPr>
        <w:t>3</w:t>
      </w:r>
    </w:p>
    <w:p w14:paraId="2AD8D827" w14:textId="72F43F63" w:rsidR="002902A0" w:rsidRPr="00045113" w:rsidRDefault="002902A0" w:rsidP="002902A0">
      <w:pPr>
        <w:jc w:val="both"/>
        <w:rPr>
          <w:b/>
          <w:bCs/>
          <w:sz w:val="18"/>
          <w:szCs w:val="18"/>
        </w:rPr>
      </w:pPr>
      <w:r w:rsidRPr="00045113">
        <w:rPr>
          <w:b/>
          <w:bCs/>
          <w:sz w:val="18"/>
          <w:szCs w:val="18"/>
        </w:rPr>
        <w:t>QUADRO 4 – RECEITA DO CAU PARA 202</w:t>
      </w:r>
      <w:r w:rsidR="00F6212A">
        <w:rPr>
          <w:b/>
          <w:bCs/>
          <w:sz w:val="18"/>
          <w:szCs w:val="18"/>
        </w:rPr>
        <w:t>4</w:t>
      </w:r>
      <w:r w:rsidRPr="00045113">
        <w:rPr>
          <w:b/>
          <w:bCs/>
          <w:sz w:val="18"/>
          <w:szCs w:val="18"/>
        </w:rPr>
        <w:t>............................................................................................................</w:t>
      </w:r>
      <w:r>
        <w:rPr>
          <w:b/>
          <w:bCs/>
          <w:sz w:val="18"/>
          <w:szCs w:val="18"/>
        </w:rPr>
        <w:t>............</w:t>
      </w:r>
      <w:r w:rsidRPr="00045113">
        <w:rPr>
          <w:b/>
          <w:bCs/>
          <w:sz w:val="18"/>
          <w:szCs w:val="18"/>
        </w:rPr>
        <w:t>2</w:t>
      </w:r>
      <w:r w:rsidR="00DB7BC1">
        <w:rPr>
          <w:b/>
          <w:bCs/>
          <w:sz w:val="18"/>
          <w:szCs w:val="18"/>
        </w:rPr>
        <w:t>3</w:t>
      </w:r>
    </w:p>
    <w:p w14:paraId="5BE90B49" w14:textId="2ACF3D49" w:rsidR="002902A0" w:rsidRPr="00045113" w:rsidRDefault="002902A0" w:rsidP="002902A0">
      <w:pPr>
        <w:jc w:val="both"/>
        <w:rPr>
          <w:b/>
          <w:bCs/>
          <w:sz w:val="18"/>
          <w:szCs w:val="18"/>
        </w:rPr>
      </w:pPr>
      <w:r w:rsidRPr="00045113">
        <w:rPr>
          <w:b/>
          <w:bCs/>
          <w:sz w:val="18"/>
          <w:szCs w:val="18"/>
        </w:rPr>
        <w:t>QUADRO 5 – RECEITAS DOS CAU/UF E CAU/BR – PROGRAMAÇÃO 202</w:t>
      </w:r>
      <w:r w:rsidR="00F6212A">
        <w:rPr>
          <w:b/>
          <w:bCs/>
          <w:sz w:val="18"/>
          <w:szCs w:val="18"/>
        </w:rPr>
        <w:t>4</w:t>
      </w:r>
      <w:r w:rsidRPr="00045113">
        <w:rPr>
          <w:b/>
          <w:bCs/>
          <w:sz w:val="18"/>
          <w:szCs w:val="18"/>
        </w:rPr>
        <w:t>............................................................</w:t>
      </w:r>
      <w:r w:rsidR="003D1CFE">
        <w:rPr>
          <w:b/>
          <w:bCs/>
          <w:sz w:val="18"/>
          <w:szCs w:val="18"/>
        </w:rPr>
        <w:t>............</w:t>
      </w:r>
      <w:r w:rsidRPr="00045113">
        <w:rPr>
          <w:b/>
          <w:bCs/>
          <w:sz w:val="18"/>
          <w:szCs w:val="18"/>
        </w:rPr>
        <w:t>...</w:t>
      </w:r>
      <w:r w:rsidR="001A35CD">
        <w:rPr>
          <w:b/>
          <w:bCs/>
          <w:sz w:val="18"/>
          <w:szCs w:val="18"/>
        </w:rPr>
        <w:t>2</w:t>
      </w:r>
      <w:r w:rsidR="00DB7BC1">
        <w:rPr>
          <w:b/>
          <w:bCs/>
          <w:sz w:val="18"/>
          <w:szCs w:val="18"/>
        </w:rPr>
        <w:t>5</w:t>
      </w:r>
    </w:p>
    <w:p w14:paraId="1662D56D" w14:textId="1322BE9C" w:rsidR="002902A0" w:rsidRPr="00045113" w:rsidRDefault="002902A0" w:rsidP="002902A0">
      <w:pPr>
        <w:jc w:val="both"/>
        <w:rPr>
          <w:b/>
          <w:bCs/>
          <w:sz w:val="18"/>
          <w:szCs w:val="18"/>
        </w:rPr>
      </w:pPr>
      <w:r w:rsidRPr="00045113">
        <w:rPr>
          <w:b/>
          <w:bCs/>
          <w:sz w:val="18"/>
          <w:szCs w:val="18"/>
        </w:rPr>
        <w:t>Q</w:t>
      </w:r>
      <w:r w:rsidR="00177C87">
        <w:rPr>
          <w:b/>
          <w:bCs/>
          <w:sz w:val="18"/>
          <w:szCs w:val="18"/>
        </w:rPr>
        <w:t>U</w:t>
      </w:r>
      <w:r w:rsidRPr="00045113">
        <w:rPr>
          <w:b/>
          <w:bCs/>
          <w:sz w:val="18"/>
          <w:szCs w:val="18"/>
        </w:rPr>
        <w:t>ADRO 6 – ESTIMATIVAS DAS RECEITAS DOS CAU/UF POR REGIÃO REPROGRAMAÇÃO 202</w:t>
      </w:r>
      <w:r w:rsidR="00F6212A">
        <w:rPr>
          <w:b/>
          <w:bCs/>
          <w:sz w:val="18"/>
          <w:szCs w:val="18"/>
        </w:rPr>
        <w:t>3</w:t>
      </w:r>
      <w:r w:rsidRPr="00045113">
        <w:rPr>
          <w:b/>
          <w:bCs/>
          <w:sz w:val="18"/>
          <w:szCs w:val="18"/>
        </w:rPr>
        <w:t xml:space="preserve"> X P</w:t>
      </w:r>
      <w:r w:rsidR="00061CE2">
        <w:rPr>
          <w:b/>
          <w:bCs/>
          <w:sz w:val="18"/>
          <w:szCs w:val="18"/>
        </w:rPr>
        <w:t>R</w:t>
      </w:r>
      <w:r w:rsidRPr="00045113">
        <w:rPr>
          <w:b/>
          <w:bCs/>
          <w:sz w:val="18"/>
          <w:szCs w:val="18"/>
        </w:rPr>
        <w:t>OGRAMAÇÃO 202</w:t>
      </w:r>
      <w:r w:rsidR="00F6212A">
        <w:rPr>
          <w:b/>
          <w:bCs/>
          <w:sz w:val="18"/>
          <w:szCs w:val="18"/>
        </w:rPr>
        <w:t>4</w:t>
      </w:r>
      <w:r w:rsidRPr="00045113">
        <w:rPr>
          <w:b/>
          <w:bCs/>
          <w:sz w:val="18"/>
          <w:szCs w:val="18"/>
        </w:rPr>
        <w:t>.....</w:t>
      </w:r>
      <w:r>
        <w:rPr>
          <w:b/>
          <w:bCs/>
          <w:sz w:val="18"/>
          <w:szCs w:val="18"/>
        </w:rPr>
        <w:t>...................................................................................................................................................</w:t>
      </w:r>
      <w:r w:rsidR="003D1CFE">
        <w:rPr>
          <w:b/>
          <w:bCs/>
          <w:sz w:val="18"/>
          <w:szCs w:val="18"/>
        </w:rPr>
        <w:t>............</w:t>
      </w:r>
      <w:r>
        <w:rPr>
          <w:b/>
          <w:bCs/>
          <w:sz w:val="18"/>
          <w:szCs w:val="18"/>
        </w:rPr>
        <w:t>.............</w:t>
      </w:r>
      <w:r w:rsidR="00DB7BC1">
        <w:rPr>
          <w:b/>
          <w:bCs/>
          <w:sz w:val="18"/>
          <w:szCs w:val="18"/>
        </w:rPr>
        <w:t>25</w:t>
      </w:r>
    </w:p>
    <w:p w14:paraId="68A26B45" w14:textId="4C2D590A" w:rsidR="002902A0" w:rsidRPr="00045113" w:rsidRDefault="002902A0" w:rsidP="002902A0">
      <w:pPr>
        <w:jc w:val="both"/>
        <w:rPr>
          <w:b/>
          <w:bCs/>
          <w:sz w:val="18"/>
          <w:szCs w:val="18"/>
        </w:rPr>
      </w:pPr>
      <w:r w:rsidRPr="00045113">
        <w:rPr>
          <w:b/>
          <w:bCs/>
          <w:sz w:val="18"/>
          <w:szCs w:val="18"/>
        </w:rPr>
        <w:t>ANEXO I – INDICADORES INSTITUCIONAIS E DE RESULTADO – CAU/UF..............................................................</w:t>
      </w:r>
      <w:r>
        <w:rPr>
          <w:b/>
          <w:bCs/>
          <w:sz w:val="18"/>
          <w:szCs w:val="18"/>
        </w:rPr>
        <w:t>..</w:t>
      </w:r>
      <w:r w:rsidR="003D1CFE">
        <w:rPr>
          <w:b/>
          <w:bCs/>
          <w:sz w:val="18"/>
          <w:szCs w:val="18"/>
        </w:rPr>
        <w:t>............</w:t>
      </w:r>
      <w:r>
        <w:rPr>
          <w:b/>
          <w:bCs/>
          <w:sz w:val="18"/>
          <w:szCs w:val="18"/>
        </w:rPr>
        <w:t>.</w:t>
      </w:r>
      <w:r w:rsidRPr="00045113">
        <w:rPr>
          <w:b/>
          <w:bCs/>
          <w:sz w:val="18"/>
          <w:szCs w:val="18"/>
        </w:rPr>
        <w:t>3</w:t>
      </w:r>
      <w:r w:rsidR="009228DD">
        <w:rPr>
          <w:b/>
          <w:bCs/>
          <w:sz w:val="18"/>
          <w:szCs w:val="18"/>
        </w:rPr>
        <w:t>0</w:t>
      </w:r>
    </w:p>
    <w:p w14:paraId="39FA2A81" w14:textId="2FC31141" w:rsidR="002902A0" w:rsidRPr="00045113" w:rsidRDefault="002902A0" w:rsidP="002902A0">
      <w:pPr>
        <w:jc w:val="both"/>
        <w:rPr>
          <w:b/>
          <w:bCs/>
          <w:sz w:val="18"/>
          <w:szCs w:val="18"/>
        </w:rPr>
      </w:pPr>
      <w:r w:rsidRPr="00045113">
        <w:rPr>
          <w:b/>
          <w:bCs/>
          <w:sz w:val="18"/>
          <w:szCs w:val="18"/>
        </w:rPr>
        <w:t>ANEXO II – INDICADORES INSTITUCIONAIS E DE RESULTADO – CAU/BR................................................................</w:t>
      </w:r>
      <w:r w:rsidR="003D1CFE">
        <w:rPr>
          <w:b/>
          <w:bCs/>
          <w:sz w:val="18"/>
          <w:szCs w:val="18"/>
        </w:rPr>
        <w:t>.............</w:t>
      </w:r>
      <w:r w:rsidR="00DB7BC1">
        <w:rPr>
          <w:b/>
          <w:bCs/>
          <w:sz w:val="18"/>
          <w:szCs w:val="18"/>
        </w:rPr>
        <w:t>44</w:t>
      </w:r>
    </w:p>
    <w:p w14:paraId="4D3D7B0B" w14:textId="0A3AA65F" w:rsidR="002902A0" w:rsidRPr="00045113" w:rsidRDefault="002902A0" w:rsidP="002902A0">
      <w:pPr>
        <w:jc w:val="both"/>
        <w:rPr>
          <w:b/>
          <w:bCs/>
          <w:sz w:val="18"/>
          <w:szCs w:val="18"/>
        </w:rPr>
      </w:pPr>
      <w:r w:rsidRPr="00045113">
        <w:rPr>
          <w:b/>
          <w:bCs/>
          <w:sz w:val="18"/>
          <w:szCs w:val="18"/>
        </w:rPr>
        <w:t>ANEXO III</w:t>
      </w:r>
      <w:r w:rsidR="009228DD">
        <w:rPr>
          <w:b/>
          <w:bCs/>
          <w:sz w:val="18"/>
          <w:szCs w:val="18"/>
        </w:rPr>
        <w:t xml:space="preserve"> </w:t>
      </w:r>
      <w:r w:rsidRPr="00045113">
        <w:rPr>
          <w:b/>
          <w:bCs/>
          <w:sz w:val="18"/>
          <w:szCs w:val="18"/>
        </w:rPr>
        <w:t>– POSIÇÃO DE ARQUITETOS E URBANISTAS, EMPRESAS E RRT</w:t>
      </w:r>
      <w:r w:rsidR="009228DD">
        <w:rPr>
          <w:b/>
          <w:bCs/>
          <w:sz w:val="18"/>
          <w:szCs w:val="18"/>
        </w:rPr>
        <w:t xml:space="preserve"> </w:t>
      </w:r>
      <w:r w:rsidR="009228DD" w:rsidRPr="00045113">
        <w:rPr>
          <w:b/>
          <w:bCs/>
          <w:sz w:val="18"/>
          <w:szCs w:val="18"/>
        </w:rPr>
        <w:t>– CAU/UF</w:t>
      </w:r>
      <w:r w:rsidR="009228DD">
        <w:rPr>
          <w:b/>
          <w:bCs/>
          <w:sz w:val="18"/>
          <w:szCs w:val="18"/>
        </w:rPr>
        <w:t xml:space="preserve"> </w:t>
      </w:r>
      <w:r w:rsidRPr="00045113">
        <w:rPr>
          <w:b/>
          <w:bCs/>
          <w:sz w:val="18"/>
          <w:szCs w:val="18"/>
        </w:rPr>
        <w:t>.......................................</w:t>
      </w:r>
      <w:r w:rsidR="003D1CFE">
        <w:rPr>
          <w:b/>
          <w:bCs/>
          <w:sz w:val="18"/>
          <w:szCs w:val="18"/>
        </w:rPr>
        <w:t>.............</w:t>
      </w:r>
      <w:r w:rsidRPr="00045113">
        <w:rPr>
          <w:b/>
          <w:bCs/>
          <w:sz w:val="18"/>
          <w:szCs w:val="18"/>
        </w:rPr>
        <w:t>.......</w:t>
      </w:r>
      <w:r w:rsidR="003D1CFE">
        <w:rPr>
          <w:b/>
          <w:bCs/>
          <w:sz w:val="18"/>
          <w:szCs w:val="18"/>
        </w:rPr>
        <w:t>.</w:t>
      </w:r>
      <w:r w:rsidR="00DB7BC1">
        <w:rPr>
          <w:b/>
          <w:bCs/>
          <w:sz w:val="18"/>
          <w:szCs w:val="18"/>
        </w:rPr>
        <w:t>55</w:t>
      </w:r>
    </w:p>
    <w:p w14:paraId="4AA62937" w14:textId="1595C6E6" w:rsidR="002902A0" w:rsidRPr="00045113" w:rsidRDefault="002902A0" w:rsidP="002902A0">
      <w:pPr>
        <w:jc w:val="both"/>
        <w:rPr>
          <w:b/>
          <w:bCs/>
          <w:sz w:val="18"/>
          <w:szCs w:val="18"/>
        </w:rPr>
      </w:pPr>
      <w:r w:rsidRPr="00045113">
        <w:rPr>
          <w:b/>
          <w:bCs/>
          <w:sz w:val="18"/>
          <w:szCs w:val="18"/>
        </w:rPr>
        <w:t>ANEXO IV – PROJEÇÃO DA QUANTIDADE DE PAGANTES X RECEITA TOTAL DO CAU – EXERCÍCIO 202</w:t>
      </w:r>
      <w:r w:rsidR="00F6212A">
        <w:rPr>
          <w:b/>
          <w:bCs/>
          <w:sz w:val="18"/>
          <w:szCs w:val="18"/>
        </w:rPr>
        <w:t>4</w:t>
      </w:r>
      <w:r w:rsidRPr="00045113">
        <w:rPr>
          <w:b/>
          <w:bCs/>
          <w:sz w:val="18"/>
          <w:szCs w:val="18"/>
        </w:rPr>
        <w:t xml:space="preserve"> (100%)</w:t>
      </w:r>
      <w:r>
        <w:rPr>
          <w:b/>
          <w:bCs/>
          <w:sz w:val="18"/>
          <w:szCs w:val="18"/>
        </w:rPr>
        <w:t xml:space="preserve"> </w:t>
      </w:r>
      <w:r w:rsidRPr="00045113">
        <w:rPr>
          <w:b/>
          <w:bCs/>
          <w:sz w:val="18"/>
          <w:szCs w:val="18"/>
        </w:rPr>
        <w:t>......</w:t>
      </w:r>
      <w:r w:rsidR="003D1CFE">
        <w:rPr>
          <w:b/>
          <w:bCs/>
          <w:sz w:val="18"/>
          <w:szCs w:val="18"/>
        </w:rPr>
        <w:t>...............</w:t>
      </w:r>
      <w:r w:rsidR="00DB7BC1">
        <w:rPr>
          <w:b/>
          <w:bCs/>
          <w:sz w:val="18"/>
          <w:szCs w:val="18"/>
        </w:rPr>
        <w:t>57</w:t>
      </w:r>
    </w:p>
    <w:p w14:paraId="6388031D" w14:textId="7F70D462" w:rsidR="002902A0" w:rsidRPr="00045113" w:rsidRDefault="002902A0" w:rsidP="002902A0">
      <w:pPr>
        <w:jc w:val="both"/>
        <w:rPr>
          <w:b/>
          <w:bCs/>
          <w:sz w:val="18"/>
          <w:szCs w:val="18"/>
        </w:rPr>
      </w:pPr>
      <w:r w:rsidRPr="00045113">
        <w:rPr>
          <w:b/>
          <w:bCs/>
          <w:sz w:val="18"/>
          <w:szCs w:val="18"/>
        </w:rPr>
        <w:t>ANEXO V – PROJEÇÃO DA RECEITA DOS CAU/UF – EXERCÍCIO 202</w:t>
      </w:r>
      <w:r w:rsidR="00F6212A">
        <w:rPr>
          <w:b/>
          <w:bCs/>
          <w:sz w:val="18"/>
          <w:szCs w:val="18"/>
        </w:rPr>
        <w:t>4</w:t>
      </w:r>
      <w:r w:rsidRPr="00045113">
        <w:rPr>
          <w:b/>
          <w:bCs/>
          <w:sz w:val="18"/>
          <w:szCs w:val="18"/>
        </w:rPr>
        <w:t xml:space="preserve"> (80%) .....................................................</w:t>
      </w:r>
      <w:r>
        <w:rPr>
          <w:b/>
          <w:bCs/>
          <w:sz w:val="18"/>
          <w:szCs w:val="18"/>
        </w:rPr>
        <w:t>.</w:t>
      </w:r>
      <w:r w:rsidRPr="00045113">
        <w:rPr>
          <w:b/>
          <w:bCs/>
          <w:sz w:val="18"/>
          <w:szCs w:val="18"/>
        </w:rPr>
        <w:t>....</w:t>
      </w:r>
      <w:r w:rsidR="003D1CFE">
        <w:rPr>
          <w:b/>
          <w:bCs/>
          <w:sz w:val="18"/>
          <w:szCs w:val="18"/>
        </w:rPr>
        <w:t>..............</w:t>
      </w:r>
      <w:r w:rsidRPr="00045113">
        <w:rPr>
          <w:b/>
          <w:bCs/>
          <w:sz w:val="18"/>
          <w:szCs w:val="18"/>
        </w:rPr>
        <w:t>.</w:t>
      </w:r>
      <w:r w:rsidR="00DB7BC1">
        <w:rPr>
          <w:b/>
          <w:bCs/>
          <w:sz w:val="18"/>
          <w:szCs w:val="18"/>
        </w:rPr>
        <w:t>59</w:t>
      </w:r>
    </w:p>
    <w:p w14:paraId="73EC4B18" w14:textId="1A907D84" w:rsidR="002902A0" w:rsidRPr="00045113" w:rsidRDefault="002902A0" w:rsidP="002902A0">
      <w:pPr>
        <w:jc w:val="both"/>
        <w:rPr>
          <w:b/>
          <w:bCs/>
          <w:sz w:val="18"/>
          <w:szCs w:val="18"/>
        </w:rPr>
      </w:pPr>
      <w:r w:rsidRPr="00045113">
        <w:rPr>
          <w:b/>
          <w:bCs/>
          <w:sz w:val="18"/>
          <w:szCs w:val="18"/>
        </w:rPr>
        <w:t>ANEXO VI – FUNDO DE APOIO FINANCEIRO AOS CAU/UF – EXERCÍCIO 202</w:t>
      </w:r>
      <w:r w:rsidR="00F6212A">
        <w:rPr>
          <w:b/>
          <w:bCs/>
          <w:sz w:val="18"/>
          <w:szCs w:val="18"/>
        </w:rPr>
        <w:t>4</w:t>
      </w:r>
      <w:r w:rsidRPr="00045113">
        <w:rPr>
          <w:b/>
          <w:bCs/>
          <w:sz w:val="18"/>
          <w:szCs w:val="18"/>
        </w:rPr>
        <w:t xml:space="preserve"> – DESTINAÇÃO DOS RECURSOS POR CAU/BÁSICO (REPASSE)....................................................................................................</w:t>
      </w:r>
      <w:r>
        <w:rPr>
          <w:b/>
          <w:bCs/>
          <w:sz w:val="18"/>
          <w:szCs w:val="18"/>
        </w:rPr>
        <w:t>........................</w:t>
      </w:r>
      <w:r w:rsidRPr="00045113">
        <w:rPr>
          <w:b/>
          <w:bCs/>
          <w:sz w:val="18"/>
          <w:szCs w:val="18"/>
        </w:rPr>
        <w:t>...........</w:t>
      </w:r>
      <w:r>
        <w:rPr>
          <w:b/>
          <w:bCs/>
          <w:sz w:val="18"/>
          <w:szCs w:val="18"/>
        </w:rPr>
        <w:t>.</w:t>
      </w:r>
      <w:r w:rsidR="003D1CFE">
        <w:rPr>
          <w:b/>
          <w:bCs/>
          <w:sz w:val="18"/>
          <w:szCs w:val="18"/>
        </w:rPr>
        <w:t>............</w:t>
      </w:r>
      <w:r w:rsidRPr="00045113">
        <w:rPr>
          <w:b/>
          <w:bCs/>
          <w:sz w:val="18"/>
          <w:szCs w:val="18"/>
        </w:rPr>
        <w:t>6</w:t>
      </w:r>
      <w:r w:rsidR="00DB7BC1">
        <w:rPr>
          <w:b/>
          <w:bCs/>
          <w:sz w:val="18"/>
          <w:szCs w:val="18"/>
        </w:rPr>
        <w:t>2</w:t>
      </w:r>
    </w:p>
    <w:p w14:paraId="4B09D692" w14:textId="152EA762" w:rsidR="002902A0" w:rsidRPr="00045113" w:rsidRDefault="002902A0" w:rsidP="002902A0">
      <w:pPr>
        <w:jc w:val="both"/>
        <w:rPr>
          <w:b/>
          <w:bCs/>
          <w:sz w:val="18"/>
          <w:szCs w:val="18"/>
        </w:rPr>
      </w:pPr>
      <w:r w:rsidRPr="00045113">
        <w:rPr>
          <w:b/>
          <w:bCs/>
          <w:sz w:val="18"/>
          <w:szCs w:val="18"/>
        </w:rPr>
        <w:t>ANEXO VI.I – FUNDO DE APOIO FINANCEIRO AOS CAU/UF – EXERCÍCIO 202</w:t>
      </w:r>
      <w:r w:rsidR="00F6212A">
        <w:rPr>
          <w:b/>
          <w:bCs/>
          <w:sz w:val="18"/>
          <w:szCs w:val="18"/>
        </w:rPr>
        <w:t>4</w:t>
      </w:r>
      <w:r w:rsidRPr="00045113">
        <w:rPr>
          <w:b/>
          <w:bCs/>
          <w:sz w:val="18"/>
          <w:szCs w:val="18"/>
        </w:rPr>
        <w:t xml:space="preserve"> – PARTICIPAÇÃO DOS CAU/UF E CAU/BR (APORTE)....................................................................................................................</w:t>
      </w:r>
      <w:r>
        <w:rPr>
          <w:b/>
          <w:bCs/>
          <w:sz w:val="18"/>
          <w:szCs w:val="18"/>
        </w:rPr>
        <w:t>.............................</w:t>
      </w:r>
      <w:r w:rsidR="003D1CFE">
        <w:rPr>
          <w:b/>
          <w:bCs/>
          <w:sz w:val="18"/>
          <w:szCs w:val="18"/>
        </w:rPr>
        <w:t>........................</w:t>
      </w:r>
      <w:r w:rsidR="001A35CD">
        <w:rPr>
          <w:b/>
          <w:bCs/>
          <w:sz w:val="18"/>
          <w:szCs w:val="18"/>
        </w:rPr>
        <w:t>6</w:t>
      </w:r>
      <w:r w:rsidR="00DB7BC1">
        <w:rPr>
          <w:b/>
          <w:bCs/>
          <w:sz w:val="18"/>
          <w:szCs w:val="18"/>
        </w:rPr>
        <w:t>3</w:t>
      </w:r>
    </w:p>
    <w:p w14:paraId="53798CCF" w14:textId="6CD3F6F4" w:rsidR="002902A0" w:rsidRPr="00045113" w:rsidRDefault="002902A0" w:rsidP="002902A0">
      <w:pPr>
        <w:jc w:val="both"/>
        <w:rPr>
          <w:b/>
          <w:bCs/>
          <w:sz w:val="18"/>
          <w:szCs w:val="18"/>
        </w:rPr>
      </w:pPr>
      <w:r w:rsidRPr="00045113">
        <w:rPr>
          <w:b/>
          <w:bCs/>
          <w:sz w:val="18"/>
          <w:szCs w:val="18"/>
        </w:rPr>
        <w:t>ANEXO VII – DEMONSTRATIVO DA PARTICIPAÇÃO DOS CAU/UF E DO CAU/BR NAS DESPESAS DO CENTRO DE SERVIÇOS COMPARTILHADOS (SERVIÇOS TOTAIS</w:t>
      </w:r>
      <w:r w:rsidR="009228DD">
        <w:rPr>
          <w:b/>
          <w:bCs/>
          <w:sz w:val="18"/>
          <w:szCs w:val="18"/>
        </w:rPr>
        <w:t>)</w:t>
      </w:r>
      <w:r w:rsidRPr="00045113">
        <w:rPr>
          <w:b/>
          <w:bCs/>
          <w:sz w:val="18"/>
          <w:szCs w:val="18"/>
        </w:rPr>
        <w:t>...........................................................................</w:t>
      </w:r>
      <w:r>
        <w:rPr>
          <w:b/>
          <w:bCs/>
          <w:sz w:val="18"/>
          <w:szCs w:val="18"/>
        </w:rPr>
        <w:t>....................</w:t>
      </w:r>
      <w:r w:rsidR="003D1CFE">
        <w:rPr>
          <w:b/>
          <w:bCs/>
          <w:sz w:val="18"/>
          <w:szCs w:val="18"/>
        </w:rPr>
        <w:t>............................</w:t>
      </w:r>
      <w:r>
        <w:rPr>
          <w:b/>
          <w:bCs/>
          <w:sz w:val="18"/>
          <w:szCs w:val="18"/>
        </w:rPr>
        <w:t>.</w:t>
      </w:r>
      <w:r w:rsidR="00DB7BC1">
        <w:rPr>
          <w:b/>
          <w:bCs/>
          <w:sz w:val="18"/>
          <w:szCs w:val="18"/>
        </w:rPr>
        <w:t>65</w:t>
      </w:r>
    </w:p>
    <w:p w14:paraId="78BAB601" w14:textId="47B352E5" w:rsidR="002902A0" w:rsidRPr="00045113" w:rsidRDefault="002902A0" w:rsidP="002902A0">
      <w:pPr>
        <w:jc w:val="both"/>
        <w:rPr>
          <w:b/>
          <w:bCs/>
          <w:sz w:val="18"/>
          <w:szCs w:val="18"/>
        </w:rPr>
      </w:pPr>
      <w:r w:rsidRPr="00045113">
        <w:rPr>
          <w:b/>
          <w:bCs/>
          <w:sz w:val="18"/>
          <w:szCs w:val="18"/>
        </w:rPr>
        <w:t>ANEXO VIII – RESSARCIMENTO DE TARIFAS BANCÁRIAS AO CAU/UF.............................</w:t>
      </w:r>
      <w:r>
        <w:rPr>
          <w:b/>
          <w:bCs/>
          <w:sz w:val="18"/>
          <w:szCs w:val="18"/>
        </w:rPr>
        <w:t>...............................</w:t>
      </w:r>
      <w:r w:rsidRPr="00045113">
        <w:rPr>
          <w:b/>
          <w:bCs/>
          <w:sz w:val="18"/>
          <w:szCs w:val="18"/>
        </w:rPr>
        <w:t>...</w:t>
      </w:r>
      <w:r>
        <w:rPr>
          <w:b/>
          <w:bCs/>
          <w:sz w:val="18"/>
          <w:szCs w:val="18"/>
        </w:rPr>
        <w:t>.</w:t>
      </w:r>
      <w:r w:rsidRPr="00045113">
        <w:rPr>
          <w:b/>
          <w:bCs/>
          <w:sz w:val="18"/>
          <w:szCs w:val="18"/>
        </w:rPr>
        <w:t>....</w:t>
      </w:r>
      <w:r w:rsidR="003D1CFE">
        <w:rPr>
          <w:b/>
          <w:bCs/>
          <w:sz w:val="18"/>
          <w:szCs w:val="18"/>
        </w:rPr>
        <w:t>..............</w:t>
      </w:r>
      <w:r w:rsidR="00DB7BC1">
        <w:rPr>
          <w:b/>
          <w:bCs/>
          <w:sz w:val="18"/>
          <w:szCs w:val="18"/>
        </w:rPr>
        <w:t>67</w:t>
      </w:r>
    </w:p>
    <w:p w14:paraId="2DE52D6A" w14:textId="6244E2BF" w:rsidR="002902A0" w:rsidRPr="00045113" w:rsidRDefault="002902A0" w:rsidP="002902A0">
      <w:pPr>
        <w:jc w:val="both"/>
        <w:rPr>
          <w:b/>
          <w:bCs/>
          <w:sz w:val="18"/>
          <w:szCs w:val="18"/>
        </w:rPr>
      </w:pPr>
      <w:r w:rsidRPr="00045113">
        <w:rPr>
          <w:b/>
          <w:bCs/>
          <w:sz w:val="18"/>
          <w:szCs w:val="18"/>
        </w:rPr>
        <w:t>ANEXO IX – MODELOS PARA ELABORAÇÃO DA PROGRAMAÇÃO DO PLANO DE AÇÃO E ORÇAMENTO – EXERCÍCIO 202</w:t>
      </w:r>
      <w:r w:rsidR="00F6212A">
        <w:rPr>
          <w:b/>
          <w:bCs/>
          <w:sz w:val="18"/>
          <w:szCs w:val="18"/>
        </w:rPr>
        <w:t>4</w:t>
      </w:r>
      <w:r w:rsidRPr="00045113">
        <w:rPr>
          <w:b/>
          <w:bCs/>
          <w:sz w:val="18"/>
          <w:szCs w:val="18"/>
        </w:rPr>
        <w:t>...........</w:t>
      </w:r>
      <w:r>
        <w:rPr>
          <w:b/>
          <w:bCs/>
          <w:sz w:val="18"/>
          <w:szCs w:val="18"/>
        </w:rPr>
        <w:t>..........................................................................................................................................................</w:t>
      </w:r>
      <w:r w:rsidR="003D1CFE">
        <w:rPr>
          <w:b/>
          <w:bCs/>
          <w:sz w:val="18"/>
          <w:szCs w:val="18"/>
        </w:rPr>
        <w:t>............</w:t>
      </w:r>
      <w:r w:rsidR="00DB7BC1">
        <w:rPr>
          <w:b/>
          <w:bCs/>
          <w:sz w:val="18"/>
          <w:szCs w:val="18"/>
        </w:rPr>
        <w:t>68</w:t>
      </w:r>
    </w:p>
    <w:p w14:paraId="4C0C0875" w14:textId="11465AC2" w:rsidR="002902A0" w:rsidRPr="00045113" w:rsidRDefault="002902A0" w:rsidP="002902A0">
      <w:pPr>
        <w:jc w:val="both"/>
        <w:rPr>
          <w:b/>
          <w:bCs/>
          <w:sz w:val="18"/>
          <w:szCs w:val="18"/>
        </w:rPr>
      </w:pPr>
      <w:r w:rsidRPr="00045113">
        <w:rPr>
          <w:b/>
          <w:bCs/>
          <w:sz w:val="18"/>
          <w:szCs w:val="18"/>
        </w:rPr>
        <w:t>ANEXO X – ANEXOS COMPLEMENTARES..............................</w:t>
      </w:r>
      <w:r>
        <w:rPr>
          <w:b/>
          <w:bCs/>
          <w:sz w:val="18"/>
          <w:szCs w:val="18"/>
        </w:rPr>
        <w:t>...........................................................................</w:t>
      </w:r>
      <w:r w:rsidRPr="00045113">
        <w:rPr>
          <w:b/>
          <w:bCs/>
          <w:sz w:val="18"/>
          <w:szCs w:val="18"/>
        </w:rPr>
        <w:t>......</w:t>
      </w:r>
      <w:r w:rsidR="003D1CFE">
        <w:rPr>
          <w:b/>
          <w:bCs/>
          <w:sz w:val="18"/>
          <w:szCs w:val="18"/>
        </w:rPr>
        <w:t>............</w:t>
      </w:r>
      <w:r w:rsidR="00DB7BC1">
        <w:rPr>
          <w:b/>
          <w:bCs/>
          <w:sz w:val="18"/>
          <w:szCs w:val="18"/>
        </w:rPr>
        <w:t>76</w:t>
      </w:r>
    </w:p>
    <w:p w14:paraId="7DC851CA" w14:textId="1A462F05" w:rsidR="00E72733" w:rsidRDefault="00E72733">
      <w:pPr>
        <w:rPr>
          <w:sz w:val="21"/>
          <w:szCs w:val="21"/>
        </w:rPr>
      </w:pPr>
    </w:p>
    <w:p w14:paraId="1186895E" w14:textId="7150979D" w:rsidR="000E4E85" w:rsidRDefault="000E4E85">
      <w:pPr>
        <w:rPr>
          <w:sz w:val="21"/>
          <w:szCs w:val="21"/>
        </w:rPr>
      </w:pPr>
    </w:p>
    <w:p w14:paraId="3BD55247" w14:textId="01C24B88" w:rsidR="000E4E85" w:rsidRDefault="000E4E85">
      <w:pPr>
        <w:rPr>
          <w:sz w:val="21"/>
          <w:szCs w:val="21"/>
        </w:rPr>
      </w:pPr>
    </w:p>
    <w:p w14:paraId="15D85CCD" w14:textId="77777777" w:rsidR="000E4E85" w:rsidRDefault="000E4E85">
      <w:pPr>
        <w:rPr>
          <w:sz w:val="21"/>
          <w:szCs w:val="21"/>
        </w:rPr>
      </w:pPr>
    </w:p>
    <w:p w14:paraId="2082AA2C" w14:textId="09D37584" w:rsidR="002902A0" w:rsidRDefault="002902A0">
      <w:pPr>
        <w:rPr>
          <w:sz w:val="21"/>
          <w:szCs w:val="21"/>
        </w:rPr>
      </w:pPr>
    </w:p>
    <w:p w14:paraId="104FF70A" w14:textId="6E268B26" w:rsidR="002902A0" w:rsidRDefault="002902A0">
      <w:pPr>
        <w:rPr>
          <w:sz w:val="21"/>
          <w:szCs w:val="21"/>
        </w:rPr>
      </w:pPr>
    </w:p>
    <w:p w14:paraId="57B513EF" w14:textId="06439BDC" w:rsidR="002902A0" w:rsidRDefault="002902A0">
      <w:pPr>
        <w:rPr>
          <w:sz w:val="21"/>
          <w:szCs w:val="21"/>
        </w:rPr>
      </w:pPr>
    </w:p>
    <w:p w14:paraId="24EE816B" w14:textId="58CBC5EC" w:rsidR="005F6FDE" w:rsidRDefault="005F6FDE">
      <w:pPr>
        <w:rPr>
          <w:sz w:val="21"/>
          <w:szCs w:val="21"/>
        </w:rPr>
      </w:pPr>
    </w:p>
    <w:p w14:paraId="1C74CFFE" w14:textId="485C1445" w:rsidR="00F52437" w:rsidRDefault="00F52437">
      <w:pPr>
        <w:rPr>
          <w:sz w:val="21"/>
          <w:szCs w:val="21"/>
        </w:rPr>
      </w:pPr>
    </w:p>
    <w:p w14:paraId="3D46C244" w14:textId="77777777" w:rsidR="002902A0" w:rsidRDefault="002902A0">
      <w:pPr>
        <w:rPr>
          <w:sz w:val="21"/>
          <w:szCs w:val="21"/>
        </w:rPr>
      </w:pPr>
    </w:p>
    <w:p w14:paraId="7DC851CB" w14:textId="5554DB16" w:rsidR="00736FF1" w:rsidRPr="002F0A50" w:rsidRDefault="00736FF1" w:rsidP="002F0A50">
      <w:pPr>
        <w:pStyle w:val="Ttulo1"/>
        <w:numPr>
          <w:ilvl w:val="0"/>
          <w:numId w:val="0"/>
        </w:numPr>
        <w:tabs>
          <w:tab w:val="left" w:pos="3060"/>
        </w:tabs>
        <w:ind w:left="426"/>
        <w:jc w:val="both"/>
        <w:rPr>
          <w:rFonts w:eastAsia="Arial Unicode MS"/>
          <w:color w:val="612141"/>
        </w:rPr>
      </w:pPr>
      <w:bookmarkStart w:id="10" w:name="_Toc147404327"/>
      <w:r w:rsidRPr="002F0A50">
        <w:rPr>
          <w:rFonts w:eastAsia="Arial Unicode MS"/>
          <w:color w:val="612141"/>
        </w:rPr>
        <w:lastRenderedPageBreak/>
        <w:t>INTRODUÇÃO</w:t>
      </w:r>
      <w:bookmarkEnd w:id="6"/>
      <w:bookmarkEnd w:id="7"/>
      <w:bookmarkEnd w:id="8"/>
      <w:bookmarkEnd w:id="9"/>
      <w:bookmarkEnd w:id="10"/>
      <w:r w:rsidR="002F0A50">
        <w:rPr>
          <w:rFonts w:eastAsia="Arial Unicode MS"/>
          <w:color w:val="612141"/>
        </w:rPr>
        <w:tab/>
      </w:r>
    </w:p>
    <w:p w14:paraId="7DC851CC" w14:textId="3743C797" w:rsidR="003F0F56" w:rsidRPr="003F0F56"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 xml:space="preserve">O </w:t>
      </w:r>
      <w:r w:rsidR="00061CE2">
        <w:rPr>
          <w:rFonts w:eastAsia="Arial Unicode MS" w:cs="Calibri"/>
          <w:sz w:val="24"/>
          <w:szCs w:val="24"/>
        </w:rPr>
        <w:t xml:space="preserve">conjunto autárquico do </w:t>
      </w:r>
      <w:r w:rsidRPr="003F0F56">
        <w:rPr>
          <w:rFonts w:eastAsia="Arial Unicode MS" w:cs="Calibri"/>
          <w:sz w:val="24"/>
          <w:szCs w:val="24"/>
        </w:rPr>
        <w:t>Conselho de Arquitetura e Urbanismo – CAU</w:t>
      </w:r>
      <w:r w:rsidR="00061CE2">
        <w:rPr>
          <w:rFonts w:eastAsia="Arial Unicode MS" w:cs="Calibri"/>
          <w:sz w:val="24"/>
          <w:szCs w:val="24"/>
        </w:rPr>
        <w:t>, composto pelo CAU/BR e pelos CAU/UF</w:t>
      </w:r>
      <w:r w:rsidRPr="003F0F56">
        <w:rPr>
          <w:rFonts w:eastAsia="Arial Unicode MS" w:cs="Calibri"/>
          <w:sz w:val="24"/>
          <w:szCs w:val="24"/>
        </w:rPr>
        <w:t>,</w:t>
      </w:r>
      <w:r w:rsidR="00061CE2">
        <w:rPr>
          <w:rFonts w:eastAsia="Arial Unicode MS" w:cs="Calibri"/>
          <w:sz w:val="24"/>
          <w:szCs w:val="24"/>
        </w:rPr>
        <w:t xml:space="preserve"> </w:t>
      </w:r>
      <w:r w:rsidR="005F6FDE">
        <w:rPr>
          <w:rFonts w:eastAsia="Arial Unicode MS" w:cs="Calibri"/>
          <w:sz w:val="24"/>
          <w:szCs w:val="24"/>
        </w:rPr>
        <w:t xml:space="preserve">foi </w:t>
      </w:r>
      <w:r w:rsidRPr="003F0F56">
        <w:rPr>
          <w:rFonts w:eastAsia="Arial Unicode MS" w:cs="Calibri"/>
          <w:sz w:val="24"/>
          <w:szCs w:val="24"/>
        </w:rPr>
        <w:t>criad</w:t>
      </w:r>
      <w:r w:rsidR="00061CE2">
        <w:rPr>
          <w:rFonts w:eastAsia="Arial Unicode MS" w:cs="Calibri"/>
          <w:sz w:val="24"/>
          <w:szCs w:val="24"/>
        </w:rPr>
        <w:t>o</w:t>
      </w:r>
      <w:r w:rsidRPr="003F0F56">
        <w:rPr>
          <w:rFonts w:eastAsia="Arial Unicode MS" w:cs="Calibri"/>
          <w:sz w:val="24"/>
          <w:szCs w:val="24"/>
        </w:rPr>
        <w:t xml:space="preserve"> pela Lei</w:t>
      </w:r>
      <w:r w:rsidR="00FB4CE3">
        <w:rPr>
          <w:rFonts w:eastAsia="Arial Unicode MS" w:cs="Calibri"/>
          <w:sz w:val="24"/>
          <w:szCs w:val="24"/>
        </w:rPr>
        <w:t xml:space="preserve"> nº</w:t>
      </w:r>
      <w:r w:rsidR="00F05F88">
        <w:rPr>
          <w:rFonts w:eastAsia="Arial Unicode MS" w:cs="Calibri"/>
          <w:sz w:val="24"/>
          <w:szCs w:val="24"/>
        </w:rPr>
        <w:t xml:space="preserve"> </w:t>
      </w:r>
      <w:r w:rsidRPr="003F0F56">
        <w:rPr>
          <w:rFonts w:eastAsia="Arial Unicode MS" w:cs="Calibri"/>
          <w:sz w:val="24"/>
          <w:szCs w:val="24"/>
        </w:rPr>
        <w:t>12.378/2010</w:t>
      </w:r>
      <w:r w:rsidR="005F6FDE">
        <w:rPr>
          <w:rFonts w:eastAsia="Arial Unicode MS" w:cs="Calibri"/>
          <w:sz w:val="24"/>
          <w:szCs w:val="24"/>
        </w:rPr>
        <w:t xml:space="preserve"> e </w:t>
      </w:r>
      <w:r w:rsidRPr="003F0F56">
        <w:rPr>
          <w:rFonts w:eastAsia="Arial Unicode MS" w:cs="Calibri"/>
          <w:sz w:val="24"/>
          <w:szCs w:val="24"/>
        </w:rPr>
        <w:t>tem como funç</w:t>
      </w:r>
      <w:r w:rsidR="00061CE2">
        <w:rPr>
          <w:rFonts w:eastAsia="Arial Unicode MS" w:cs="Calibri"/>
          <w:sz w:val="24"/>
          <w:szCs w:val="24"/>
        </w:rPr>
        <w:t>ões</w:t>
      </w:r>
      <w:r w:rsidRPr="003F0F56">
        <w:rPr>
          <w:rFonts w:eastAsia="Arial Unicode MS" w:cs="Calibri"/>
          <w:sz w:val="24"/>
          <w:szCs w:val="24"/>
        </w:rPr>
        <w:t xml:space="preserve"> “</w:t>
      </w:r>
      <w:r w:rsidRPr="005F6FDE">
        <w:rPr>
          <w:rFonts w:eastAsia="Arial Unicode MS" w:cs="Calibri"/>
          <w:i/>
          <w:iCs/>
          <w:sz w:val="24"/>
          <w:szCs w:val="24"/>
        </w:rPr>
        <w:t>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r w:rsidRPr="003F0F56">
        <w:rPr>
          <w:rFonts w:eastAsia="Arial Unicode MS" w:cs="Calibri"/>
          <w:sz w:val="24"/>
          <w:szCs w:val="24"/>
        </w:rPr>
        <w:t>”.</w:t>
      </w:r>
    </w:p>
    <w:p w14:paraId="7DC851CD" w14:textId="4FCB8C0E" w:rsidR="003F0F56" w:rsidRPr="005F6FDE" w:rsidRDefault="003F0F56" w:rsidP="003F0F56">
      <w:pPr>
        <w:spacing w:line="360" w:lineRule="auto"/>
        <w:ind w:firstLine="851"/>
        <w:jc w:val="both"/>
        <w:rPr>
          <w:rFonts w:eastAsia="Arial Unicode MS" w:cs="Calibri"/>
          <w:bCs/>
          <w:iCs/>
          <w:sz w:val="24"/>
          <w:szCs w:val="24"/>
        </w:rPr>
      </w:pPr>
      <w:r w:rsidRPr="005F6FDE">
        <w:rPr>
          <w:rFonts w:eastAsia="Arial Unicode MS" w:cs="Calibri"/>
          <w:bCs/>
          <w:iCs/>
          <w:sz w:val="24"/>
          <w:szCs w:val="24"/>
        </w:rPr>
        <w:t>O Plano de Ação do CAU orienta-se pela missão</w:t>
      </w:r>
      <w:r w:rsidR="00DF78EF" w:rsidRPr="005F6FDE">
        <w:rPr>
          <w:rFonts w:eastAsia="Arial Unicode MS" w:cs="Calibri"/>
          <w:bCs/>
          <w:iCs/>
          <w:sz w:val="24"/>
          <w:szCs w:val="24"/>
        </w:rPr>
        <w:t xml:space="preserve"> de “</w:t>
      </w:r>
      <w:r w:rsidR="002054DA">
        <w:rPr>
          <w:rFonts w:eastAsia="Arial Unicode MS" w:cs="Calibri"/>
          <w:bCs/>
          <w:iCs/>
          <w:sz w:val="24"/>
          <w:szCs w:val="24"/>
        </w:rPr>
        <w:t>P</w:t>
      </w:r>
      <w:r w:rsidR="00DF78EF" w:rsidRPr="005F6FDE">
        <w:rPr>
          <w:rFonts w:eastAsia="Arial Unicode MS" w:cs="Calibri"/>
          <w:bCs/>
          <w:iCs/>
          <w:sz w:val="24"/>
          <w:szCs w:val="24"/>
        </w:rPr>
        <w:t>romover a Arquitetura e Urbanismo para todos” e pela visão de “</w:t>
      </w:r>
      <w:r w:rsidR="002054DA">
        <w:rPr>
          <w:rFonts w:eastAsia="Arial Unicode MS" w:cs="Calibri"/>
          <w:bCs/>
          <w:iCs/>
          <w:sz w:val="24"/>
          <w:szCs w:val="24"/>
        </w:rPr>
        <w:t>S</w:t>
      </w:r>
      <w:r w:rsidR="00DF78EF" w:rsidRPr="005F6FDE">
        <w:rPr>
          <w:rFonts w:eastAsia="Arial Unicode MS" w:cs="Calibri"/>
          <w:bCs/>
          <w:iCs/>
          <w:sz w:val="24"/>
          <w:szCs w:val="24"/>
        </w:rPr>
        <w:t xml:space="preserve">er reconhecido como referência na defesa e fomento das boas práticas da Arquitetura e Urbanismo”, </w:t>
      </w:r>
      <w:r w:rsidR="00DF78EF" w:rsidRPr="00D26BFD">
        <w:rPr>
          <w:rFonts w:eastAsia="Arial Unicode MS" w:cs="Calibri"/>
          <w:bCs/>
          <w:iCs/>
          <w:sz w:val="24"/>
          <w:szCs w:val="24"/>
        </w:rPr>
        <w:t xml:space="preserve">definidas no </w:t>
      </w:r>
      <w:r w:rsidRPr="00D26BFD">
        <w:rPr>
          <w:rFonts w:eastAsia="Arial Unicode MS" w:cs="Calibri"/>
          <w:bCs/>
          <w:iCs/>
          <w:sz w:val="24"/>
          <w:szCs w:val="24"/>
        </w:rPr>
        <w:t>Planejamento Estratégico</w:t>
      </w:r>
      <w:r w:rsidR="009B6546">
        <w:rPr>
          <w:rFonts w:eastAsia="Arial Unicode MS" w:cs="Calibri"/>
          <w:bCs/>
          <w:iCs/>
          <w:sz w:val="24"/>
          <w:szCs w:val="24"/>
        </w:rPr>
        <w:t>.</w:t>
      </w:r>
    </w:p>
    <w:p w14:paraId="7DC851CE" w14:textId="5BE632B5" w:rsidR="00FB4CE3" w:rsidRDefault="00FB4CE3" w:rsidP="004C69C4">
      <w:pPr>
        <w:spacing w:line="360" w:lineRule="auto"/>
        <w:ind w:firstLine="851"/>
        <w:jc w:val="both"/>
        <w:rPr>
          <w:rFonts w:eastAsia="Arial Unicode MS" w:cs="Calibri"/>
          <w:sz w:val="24"/>
          <w:szCs w:val="24"/>
        </w:rPr>
      </w:pPr>
      <w:r w:rsidRPr="00FB4CE3">
        <w:rPr>
          <w:rFonts w:eastAsia="Arial Unicode MS" w:cs="Calibri"/>
          <w:sz w:val="24"/>
          <w:szCs w:val="24"/>
        </w:rPr>
        <w:t xml:space="preserve">As Diretrizes para Elaboração do Plano de Ação e Orçamento </w:t>
      </w:r>
      <w:r w:rsidR="00465BFC">
        <w:rPr>
          <w:rFonts w:eastAsia="Arial Unicode MS" w:cs="Calibri"/>
          <w:sz w:val="24"/>
          <w:szCs w:val="24"/>
        </w:rPr>
        <w:t>20</w:t>
      </w:r>
      <w:r w:rsidR="00742347">
        <w:rPr>
          <w:rFonts w:eastAsia="Arial Unicode MS" w:cs="Calibri"/>
          <w:sz w:val="24"/>
          <w:szCs w:val="24"/>
        </w:rPr>
        <w:t>2</w:t>
      </w:r>
      <w:r w:rsidR="004F6FEA">
        <w:rPr>
          <w:rFonts w:eastAsia="Arial Unicode MS" w:cs="Calibri"/>
          <w:sz w:val="24"/>
          <w:szCs w:val="24"/>
        </w:rPr>
        <w:t>4</w:t>
      </w:r>
      <w:r w:rsidRPr="00FB4CE3">
        <w:rPr>
          <w:rFonts w:eastAsia="Arial Unicode MS" w:cs="Calibri"/>
          <w:sz w:val="24"/>
          <w:szCs w:val="24"/>
        </w:rPr>
        <w:t xml:space="preserve"> do CAU</w:t>
      </w:r>
      <w:r w:rsidR="00DA64C8">
        <w:rPr>
          <w:rFonts w:eastAsia="Arial Unicode MS" w:cs="Calibri"/>
          <w:sz w:val="24"/>
          <w:szCs w:val="24"/>
        </w:rPr>
        <w:t xml:space="preserve"> são </w:t>
      </w:r>
      <w:r w:rsidR="00DF78EF">
        <w:rPr>
          <w:rFonts w:eastAsia="Arial Unicode MS" w:cs="Calibri"/>
          <w:sz w:val="24"/>
          <w:szCs w:val="24"/>
        </w:rPr>
        <w:t>orientadas pelo P</w:t>
      </w:r>
      <w:r w:rsidRPr="00FB4CE3">
        <w:rPr>
          <w:rFonts w:eastAsia="Arial Unicode MS" w:cs="Calibri"/>
          <w:sz w:val="24"/>
          <w:szCs w:val="24"/>
        </w:rPr>
        <w:t>lanejamento Estratégico</w:t>
      </w:r>
      <w:r w:rsidR="00DA64C8">
        <w:rPr>
          <w:rFonts w:eastAsia="Arial Unicode MS" w:cs="Calibri"/>
          <w:sz w:val="24"/>
          <w:szCs w:val="24"/>
        </w:rPr>
        <w:t xml:space="preserve">, </w:t>
      </w:r>
      <w:r w:rsidR="00DF78EF">
        <w:rPr>
          <w:rFonts w:eastAsia="Arial Unicode MS" w:cs="Calibri"/>
          <w:sz w:val="24"/>
          <w:szCs w:val="24"/>
        </w:rPr>
        <w:t xml:space="preserve">pela </w:t>
      </w:r>
      <w:r w:rsidRPr="00FB4CE3">
        <w:rPr>
          <w:rFonts w:eastAsia="Arial Unicode MS" w:cs="Calibri"/>
          <w:sz w:val="24"/>
          <w:szCs w:val="24"/>
        </w:rPr>
        <w:t xml:space="preserve">avaliação dos resultados obtidos com a aplicação da estratégia atual </w:t>
      </w:r>
      <w:r w:rsidR="00DF78EF">
        <w:rPr>
          <w:rFonts w:eastAsia="Arial Unicode MS" w:cs="Calibri"/>
          <w:sz w:val="24"/>
          <w:szCs w:val="24"/>
        </w:rPr>
        <w:t xml:space="preserve">e por uma </w:t>
      </w:r>
      <w:r w:rsidRPr="00FB4CE3">
        <w:rPr>
          <w:rFonts w:eastAsia="Arial Unicode MS" w:cs="Calibri"/>
          <w:sz w:val="24"/>
          <w:szCs w:val="24"/>
        </w:rPr>
        <w:t xml:space="preserve">reflexão sobre os cenários de atuação e de recursos, </w:t>
      </w:r>
      <w:r w:rsidR="00DF78EF">
        <w:rPr>
          <w:rFonts w:eastAsia="Arial Unicode MS" w:cs="Calibri"/>
          <w:sz w:val="24"/>
          <w:szCs w:val="24"/>
        </w:rPr>
        <w:t>busca</w:t>
      </w:r>
      <w:r w:rsidR="00DA64C8">
        <w:rPr>
          <w:rFonts w:eastAsia="Arial Unicode MS" w:cs="Calibri"/>
          <w:sz w:val="24"/>
          <w:szCs w:val="24"/>
        </w:rPr>
        <w:t xml:space="preserve">ndo </w:t>
      </w:r>
      <w:r w:rsidRPr="00FB4CE3">
        <w:rPr>
          <w:rFonts w:eastAsia="Arial Unicode MS" w:cs="Calibri"/>
          <w:sz w:val="24"/>
          <w:szCs w:val="24"/>
        </w:rPr>
        <w:t xml:space="preserve">estabelecer um conjunto de prioridades e metas para orientar a </w:t>
      </w:r>
      <w:r w:rsidR="00DF78EF">
        <w:rPr>
          <w:rFonts w:eastAsia="Arial Unicode MS" w:cs="Calibri"/>
          <w:sz w:val="24"/>
          <w:szCs w:val="24"/>
        </w:rPr>
        <w:t xml:space="preserve">confecção </w:t>
      </w:r>
      <w:r w:rsidRPr="00FB4CE3">
        <w:rPr>
          <w:rFonts w:eastAsia="Arial Unicode MS" w:cs="Calibri"/>
          <w:sz w:val="24"/>
          <w:szCs w:val="24"/>
        </w:rPr>
        <w:t xml:space="preserve">dos planos de ação </w:t>
      </w:r>
      <w:r w:rsidR="00DF78EF">
        <w:rPr>
          <w:rFonts w:eastAsia="Arial Unicode MS" w:cs="Calibri"/>
          <w:sz w:val="24"/>
          <w:szCs w:val="24"/>
        </w:rPr>
        <w:t xml:space="preserve">para o exercício vindouro. </w:t>
      </w:r>
    </w:p>
    <w:p w14:paraId="7DC851CF" w14:textId="21B2E29D" w:rsidR="008738D3" w:rsidRDefault="00DF78EF" w:rsidP="004C69C4">
      <w:pPr>
        <w:spacing w:line="360" w:lineRule="auto"/>
        <w:ind w:firstLine="851"/>
        <w:jc w:val="both"/>
        <w:rPr>
          <w:rFonts w:eastAsia="Arial Unicode MS" w:cs="Calibri"/>
          <w:sz w:val="24"/>
          <w:szCs w:val="24"/>
        </w:rPr>
      </w:pPr>
      <w:r>
        <w:rPr>
          <w:rFonts w:eastAsia="Arial Unicode MS" w:cs="Calibri"/>
          <w:sz w:val="24"/>
          <w:szCs w:val="24"/>
        </w:rPr>
        <w:t xml:space="preserve">O </w:t>
      </w:r>
      <w:r w:rsidR="006C0CC3" w:rsidRPr="006C0CC3">
        <w:rPr>
          <w:rFonts w:eastAsia="Arial Unicode MS" w:cs="Calibri"/>
          <w:sz w:val="24"/>
          <w:szCs w:val="24"/>
        </w:rPr>
        <w:t>processo de planejamento</w:t>
      </w:r>
      <w:r>
        <w:rPr>
          <w:rFonts w:eastAsia="Arial Unicode MS" w:cs="Calibri"/>
          <w:sz w:val="24"/>
          <w:szCs w:val="24"/>
        </w:rPr>
        <w:t xml:space="preserve"> </w:t>
      </w:r>
      <w:r w:rsidR="006C0CC3" w:rsidRPr="006C0CC3">
        <w:rPr>
          <w:rFonts w:eastAsia="Arial Unicode MS" w:cs="Calibri"/>
          <w:sz w:val="24"/>
          <w:szCs w:val="24"/>
        </w:rPr>
        <w:t xml:space="preserve">caracteriza-se como uma atividade contínua e sistematizada, </w:t>
      </w:r>
      <w:r>
        <w:rPr>
          <w:rFonts w:eastAsia="Arial Unicode MS" w:cs="Calibri"/>
          <w:sz w:val="24"/>
          <w:szCs w:val="24"/>
        </w:rPr>
        <w:t xml:space="preserve">com o </w:t>
      </w:r>
      <w:r w:rsidR="006C0CC3" w:rsidRPr="006C0CC3">
        <w:rPr>
          <w:rFonts w:eastAsia="Arial Unicode MS" w:cs="Calibri"/>
          <w:sz w:val="24"/>
          <w:szCs w:val="24"/>
        </w:rPr>
        <w:t>objetiv</w:t>
      </w:r>
      <w:r>
        <w:rPr>
          <w:rFonts w:eastAsia="Arial Unicode MS" w:cs="Calibri"/>
          <w:sz w:val="24"/>
          <w:szCs w:val="24"/>
        </w:rPr>
        <w:t xml:space="preserve">o de </w:t>
      </w:r>
      <w:r w:rsidR="006C0CC3" w:rsidRPr="006C0CC3">
        <w:rPr>
          <w:rFonts w:eastAsia="Arial Unicode MS" w:cs="Calibri"/>
          <w:sz w:val="24"/>
          <w:szCs w:val="24"/>
        </w:rPr>
        <w:t>implementar as políticas e estratégias definidas para a entidade.</w:t>
      </w:r>
    </w:p>
    <w:p w14:paraId="7DC851D0" w14:textId="77777777" w:rsidR="008738D3" w:rsidRDefault="008738D3" w:rsidP="004C69C4">
      <w:pPr>
        <w:spacing w:line="360" w:lineRule="auto"/>
        <w:ind w:firstLine="851"/>
        <w:jc w:val="both"/>
        <w:rPr>
          <w:rFonts w:eastAsia="Arial Unicode MS" w:cs="Calibri"/>
          <w:sz w:val="24"/>
          <w:szCs w:val="24"/>
        </w:rPr>
      </w:pPr>
    </w:p>
    <w:p w14:paraId="7DC851D1" w14:textId="77777777" w:rsidR="008738D3" w:rsidRDefault="008738D3" w:rsidP="004C69C4">
      <w:pPr>
        <w:spacing w:line="360" w:lineRule="auto"/>
        <w:ind w:firstLine="851"/>
        <w:jc w:val="both"/>
        <w:rPr>
          <w:rFonts w:eastAsia="Arial Unicode MS" w:cs="Calibri"/>
          <w:sz w:val="24"/>
          <w:szCs w:val="24"/>
        </w:rPr>
      </w:pPr>
    </w:p>
    <w:p w14:paraId="7DC851D2" w14:textId="77777777" w:rsidR="008738D3" w:rsidRDefault="008738D3" w:rsidP="004C69C4">
      <w:pPr>
        <w:spacing w:line="360" w:lineRule="auto"/>
        <w:jc w:val="both"/>
        <w:rPr>
          <w:rFonts w:eastAsia="Arial Unicode MS" w:cs="Calibri"/>
          <w:sz w:val="24"/>
          <w:szCs w:val="24"/>
        </w:rPr>
      </w:pPr>
      <w:r>
        <w:rPr>
          <w:rFonts w:eastAsia="Arial Unicode MS" w:cs="Calibri"/>
          <w:sz w:val="24"/>
          <w:szCs w:val="24"/>
        </w:rPr>
        <w:br w:type="page"/>
      </w:r>
    </w:p>
    <w:p w14:paraId="7DC851D3" w14:textId="63B01386" w:rsidR="008738D3" w:rsidRPr="002F0A50" w:rsidRDefault="0064754B">
      <w:pPr>
        <w:pStyle w:val="Ttulo1"/>
        <w:numPr>
          <w:ilvl w:val="0"/>
          <w:numId w:val="11"/>
        </w:numPr>
        <w:ind w:left="426" w:hanging="426"/>
        <w:jc w:val="both"/>
        <w:rPr>
          <w:rFonts w:eastAsia="Arial Unicode MS"/>
          <w:color w:val="612141"/>
        </w:rPr>
      </w:pPr>
      <w:bookmarkStart w:id="11" w:name="_Toc487558902"/>
      <w:bookmarkStart w:id="12" w:name="_Toc487559003"/>
      <w:bookmarkStart w:id="13" w:name="_Toc147404328"/>
      <w:r w:rsidRPr="002F0A50">
        <w:rPr>
          <w:rFonts w:eastAsia="Arial Unicode MS"/>
          <w:color w:val="612141"/>
        </w:rPr>
        <w:t>ESTRATÉGIA</w:t>
      </w:r>
      <w:bookmarkEnd w:id="11"/>
      <w:bookmarkEnd w:id="12"/>
      <w:bookmarkEnd w:id="13"/>
    </w:p>
    <w:p w14:paraId="36BCB195" w14:textId="0AE1BCA7" w:rsidR="00F75C5F" w:rsidRDefault="003F0F56" w:rsidP="006C0CC3">
      <w:pPr>
        <w:spacing w:line="360" w:lineRule="auto"/>
        <w:ind w:firstLine="851"/>
        <w:jc w:val="both"/>
        <w:rPr>
          <w:rFonts w:eastAsia="Arial Unicode MS" w:cs="Calibri"/>
          <w:sz w:val="24"/>
          <w:szCs w:val="24"/>
        </w:rPr>
      </w:pPr>
      <w:r w:rsidRPr="003F0F56">
        <w:rPr>
          <w:rFonts w:eastAsia="Arial Unicode MS" w:cs="Calibri"/>
          <w:sz w:val="24"/>
          <w:szCs w:val="24"/>
        </w:rPr>
        <w:t xml:space="preserve">A </w:t>
      </w:r>
      <w:r w:rsidR="005D18A7">
        <w:rPr>
          <w:rFonts w:eastAsia="Arial Unicode MS" w:cs="Calibri"/>
          <w:sz w:val="24"/>
          <w:szCs w:val="24"/>
        </w:rPr>
        <w:t xml:space="preserve">estratégia do </w:t>
      </w:r>
      <w:r w:rsidRPr="003F0F56">
        <w:rPr>
          <w:rFonts w:eastAsia="Arial Unicode MS" w:cs="Calibri"/>
          <w:sz w:val="24"/>
          <w:szCs w:val="24"/>
        </w:rPr>
        <w:t xml:space="preserve">CAU </w:t>
      </w:r>
      <w:r w:rsidR="00DF78EF">
        <w:rPr>
          <w:rFonts w:eastAsia="Arial Unicode MS" w:cs="Calibri"/>
          <w:sz w:val="24"/>
          <w:szCs w:val="24"/>
        </w:rPr>
        <w:t xml:space="preserve">é orientada </w:t>
      </w:r>
      <w:r w:rsidRPr="003F0F56">
        <w:rPr>
          <w:rFonts w:eastAsia="Arial Unicode MS" w:cs="Calibri"/>
          <w:sz w:val="24"/>
          <w:szCs w:val="24"/>
        </w:rPr>
        <w:t>p</w:t>
      </w:r>
      <w:r w:rsidR="00DF78EF">
        <w:rPr>
          <w:rFonts w:eastAsia="Arial Unicode MS" w:cs="Calibri"/>
          <w:sz w:val="24"/>
          <w:szCs w:val="24"/>
        </w:rPr>
        <w:t xml:space="preserve">ela </w:t>
      </w:r>
      <w:r w:rsidRPr="003F0F56">
        <w:rPr>
          <w:rFonts w:eastAsia="Arial Unicode MS" w:cs="Calibri"/>
          <w:sz w:val="24"/>
          <w:szCs w:val="24"/>
        </w:rPr>
        <w:t>leitura do cenário econômico e social do país</w:t>
      </w:r>
      <w:r w:rsidR="005D18A7">
        <w:rPr>
          <w:rFonts w:eastAsia="Arial Unicode MS" w:cs="Calibri"/>
          <w:sz w:val="24"/>
          <w:szCs w:val="24"/>
        </w:rPr>
        <w:t>,</w:t>
      </w:r>
      <w:r w:rsidR="00DF78EF">
        <w:rPr>
          <w:rFonts w:eastAsia="Arial Unicode MS" w:cs="Calibri"/>
          <w:sz w:val="24"/>
          <w:szCs w:val="24"/>
        </w:rPr>
        <w:t xml:space="preserve"> pelo contexto do mercado da A</w:t>
      </w:r>
      <w:r w:rsidRPr="003F0F56">
        <w:rPr>
          <w:rFonts w:eastAsia="Arial Unicode MS" w:cs="Calibri"/>
          <w:sz w:val="24"/>
          <w:szCs w:val="24"/>
        </w:rPr>
        <w:t xml:space="preserve">rquitetura e </w:t>
      </w:r>
      <w:r w:rsidR="00DF78EF">
        <w:rPr>
          <w:rFonts w:eastAsia="Arial Unicode MS" w:cs="Calibri"/>
          <w:sz w:val="24"/>
          <w:szCs w:val="24"/>
        </w:rPr>
        <w:t>U</w:t>
      </w:r>
      <w:r w:rsidRPr="003F0F56">
        <w:rPr>
          <w:rFonts w:eastAsia="Arial Unicode MS" w:cs="Calibri"/>
          <w:sz w:val="24"/>
          <w:szCs w:val="24"/>
        </w:rPr>
        <w:t>rbanismo</w:t>
      </w:r>
      <w:r w:rsidR="005D18A7">
        <w:rPr>
          <w:rFonts w:eastAsia="Arial Unicode MS" w:cs="Calibri"/>
          <w:sz w:val="24"/>
          <w:szCs w:val="24"/>
        </w:rPr>
        <w:t>, p</w:t>
      </w:r>
      <w:r w:rsidR="00DF78EF">
        <w:rPr>
          <w:rFonts w:eastAsia="Arial Unicode MS" w:cs="Calibri"/>
          <w:sz w:val="24"/>
          <w:szCs w:val="24"/>
        </w:rPr>
        <w:t xml:space="preserve">ela </w:t>
      </w:r>
      <w:r w:rsidRPr="003F0F56">
        <w:rPr>
          <w:rFonts w:eastAsia="Arial Unicode MS" w:cs="Calibri"/>
          <w:sz w:val="24"/>
          <w:szCs w:val="24"/>
        </w:rPr>
        <w:t>análise do desempenho</w:t>
      </w:r>
      <w:r w:rsidR="00DF78EF">
        <w:rPr>
          <w:rFonts w:eastAsia="Arial Unicode MS" w:cs="Calibri"/>
          <w:sz w:val="24"/>
          <w:szCs w:val="24"/>
        </w:rPr>
        <w:t xml:space="preserve"> nos exercícios atual e anteriores</w:t>
      </w:r>
      <w:r w:rsidR="005D18A7">
        <w:rPr>
          <w:rFonts w:eastAsia="Arial Unicode MS" w:cs="Calibri"/>
          <w:sz w:val="24"/>
          <w:szCs w:val="24"/>
        </w:rPr>
        <w:t xml:space="preserve"> </w:t>
      </w:r>
      <w:r w:rsidRPr="003F0F56">
        <w:rPr>
          <w:rFonts w:eastAsia="Arial Unicode MS" w:cs="Calibri"/>
          <w:sz w:val="24"/>
          <w:szCs w:val="24"/>
        </w:rPr>
        <w:t>e</w:t>
      </w:r>
      <w:r w:rsidR="005D18A7">
        <w:rPr>
          <w:rFonts w:eastAsia="Arial Unicode MS" w:cs="Calibri"/>
          <w:sz w:val="24"/>
          <w:szCs w:val="24"/>
        </w:rPr>
        <w:t xml:space="preserve"> pelas</w:t>
      </w:r>
      <w:r w:rsidRPr="003F0F56">
        <w:rPr>
          <w:rFonts w:eastAsia="Arial Unicode MS" w:cs="Calibri"/>
          <w:sz w:val="24"/>
          <w:szCs w:val="24"/>
        </w:rPr>
        <w:t xml:space="preserve"> projeções sobre a evolução do Conselho no período</w:t>
      </w:r>
      <w:r w:rsidR="00DF78EF">
        <w:rPr>
          <w:rFonts w:eastAsia="Arial Unicode MS" w:cs="Calibri"/>
          <w:sz w:val="24"/>
          <w:szCs w:val="24"/>
        </w:rPr>
        <w:t xml:space="preserve"> vindouro</w:t>
      </w:r>
      <w:r w:rsidRPr="003F0F56">
        <w:rPr>
          <w:rFonts w:eastAsia="Arial Unicode MS" w:cs="Calibri"/>
          <w:sz w:val="24"/>
          <w:szCs w:val="24"/>
        </w:rPr>
        <w:t xml:space="preserve">. </w:t>
      </w:r>
    </w:p>
    <w:p w14:paraId="7DC851D4" w14:textId="241F3A25" w:rsidR="003F0F56" w:rsidRPr="00C1607D" w:rsidRDefault="00F75C5F" w:rsidP="006C0CC3">
      <w:pPr>
        <w:spacing w:line="360" w:lineRule="auto"/>
        <w:ind w:firstLine="851"/>
        <w:jc w:val="both"/>
        <w:rPr>
          <w:rFonts w:eastAsia="Arial Unicode MS" w:cs="Calibri"/>
          <w:sz w:val="24"/>
          <w:szCs w:val="24"/>
        </w:rPr>
      </w:pPr>
      <w:r>
        <w:rPr>
          <w:rFonts w:eastAsia="Arial Unicode MS" w:cs="Calibri"/>
          <w:sz w:val="24"/>
          <w:szCs w:val="24"/>
        </w:rPr>
        <w:t>A</w:t>
      </w:r>
      <w:r w:rsidR="000A4CFB">
        <w:rPr>
          <w:rFonts w:eastAsia="Arial Unicode MS" w:cs="Calibri"/>
          <w:sz w:val="24"/>
          <w:szCs w:val="24"/>
        </w:rPr>
        <w:t xml:space="preserve"> estratégia </w:t>
      </w:r>
      <w:r>
        <w:rPr>
          <w:rFonts w:eastAsia="Arial Unicode MS" w:cs="Calibri"/>
          <w:sz w:val="24"/>
          <w:szCs w:val="24"/>
        </w:rPr>
        <w:t xml:space="preserve">considera </w:t>
      </w:r>
      <w:r w:rsidR="003F0F56" w:rsidRPr="003F0F56">
        <w:rPr>
          <w:rFonts w:eastAsia="Arial Unicode MS" w:cs="Calibri"/>
          <w:sz w:val="24"/>
          <w:szCs w:val="24"/>
        </w:rPr>
        <w:t>a ampliação da capacidade operacional decorrente da necessidade da melhoria</w:t>
      </w:r>
      <w:r>
        <w:rPr>
          <w:rFonts w:eastAsia="Arial Unicode MS" w:cs="Calibri"/>
          <w:sz w:val="24"/>
          <w:szCs w:val="24"/>
        </w:rPr>
        <w:t xml:space="preserve"> e incremento</w:t>
      </w:r>
      <w:r w:rsidR="003F0F56" w:rsidRPr="003F0F56">
        <w:rPr>
          <w:rFonts w:eastAsia="Arial Unicode MS" w:cs="Calibri"/>
          <w:sz w:val="24"/>
          <w:szCs w:val="24"/>
        </w:rPr>
        <w:t xml:space="preserve"> da fiscalização profissional</w:t>
      </w:r>
      <w:r>
        <w:rPr>
          <w:rFonts w:eastAsia="Arial Unicode MS" w:cs="Calibri"/>
          <w:sz w:val="24"/>
          <w:szCs w:val="24"/>
        </w:rPr>
        <w:t xml:space="preserve">, </w:t>
      </w:r>
      <w:r w:rsidR="009378A3" w:rsidRPr="00C1607D">
        <w:rPr>
          <w:rFonts w:eastAsia="Arial Unicode MS" w:cs="Calibri"/>
          <w:sz w:val="24"/>
          <w:szCs w:val="24"/>
        </w:rPr>
        <w:t>da comunicação com a sociedade</w:t>
      </w:r>
      <w:r w:rsidR="009B6546" w:rsidRPr="00C1607D">
        <w:rPr>
          <w:rFonts w:eastAsia="Arial Unicode MS" w:cs="Calibri"/>
          <w:sz w:val="24"/>
          <w:szCs w:val="24"/>
        </w:rPr>
        <w:t xml:space="preserve"> e de sistemas de informação e infraestrutura. </w:t>
      </w:r>
    </w:p>
    <w:p w14:paraId="7DC851D5" w14:textId="501C511F" w:rsidR="003F0F56" w:rsidRPr="00C1607D" w:rsidRDefault="003F0F56" w:rsidP="003F0F56">
      <w:pPr>
        <w:spacing w:line="360" w:lineRule="auto"/>
        <w:ind w:firstLine="851"/>
        <w:jc w:val="both"/>
        <w:rPr>
          <w:rFonts w:eastAsia="Arial Unicode MS" w:cs="Calibri"/>
          <w:sz w:val="24"/>
          <w:szCs w:val="24"/>
        </w:rPr>
      </w:pPr>
      <w:r w:rsidRPr="00C1607D">
        <w:rPr>
          <w:rFonts w:eastAsia="Arial Unicode MS" w:cs="Calibri"/>
          <w:sz w:val="24"/>
          <w:szCs w:val="24"/>
        </w:rPr>
        <w:t xml:space="preserve">A estratégia é </w:t>
      </w:r>
      <w:r w:rsidR="00F75C5F" w:rsidRPr="00C1607D">
        <w:rPr>
          <w:rFonts w:eastAsia="Arial Unicode MS" w:cs="Calibri"/>
          <w:sz w:val="24"/>
          <w:szCs w:val="24"/>
        </w:rPr>
        <w:t xml:space="preserve">constituída </w:t>
      </w:r>
      <w:r w:rsidRPr="00C1607D">
        <w:rPr>
          <w:rFonts w:eastAsia="Arial Unicode MS" w:cs="Calibri"/>
          <w:sz w:val="24"/>
          <w:szCs w:val="24"/>
        </w:rPr>
        <w:t>pela identificação do foco de cada objetivo estratégico, representado por um conjunto de indicadores e metas, desdobrado nos respectivos planos de ação do CAU/BR e dos CAU/UF</w:t>
      </w:r>
      <w:r w:rsidR="00F75C5F" w:rsidRPr="00C1607D">
        <w:rPr>
          <w:rFonts w:eastAsia="Arial Unicode MS" w:cs="Calibri"/>
          <w:sz w:val="24"/>
          <w:szCs w:val="24"/>
        </w:rPr>
        <w:t xml:space="preserve"> e sujeito a </w:t>
      </w:r>
      <w:r w:rsidRPr="00C1607D">
        <w:rPr>
          <w:rFonts w:eastAsia="Arial Unicode MS" w:cs="Calibri"/>
          <w:sz w:val="24"/>
          <w:szCs w:val="24"/>
        </w:rPr>
        <w:t xml:space="preserve">limites para a aplicação dos recursos, que </w:t>
      </w:r>
      <w:r w:rsidR="00F75C5F" w:rsidRPr="00C1607D">
        <w:rPr>
          <w:rFonts w:eastAsia="Arial Unicode MS" w:cs="Calibri"/>
          <w:sz w:val="24"/>
          <w:szCs w:val="24"/>
        </w:rPr>
        <w:t xml:space="preserve">orientam a </w:t>
      </w:r>
      <w:r w:rsidRPr="00C1607D">
        <w:rPr>
          <w:rFonts w:eastAsia="Arial Unicode MS" w:cs="Calibri"/>
          <w:sz w:val="24"/>
          <w:szCs w:val="24"/>
        </w:rPr>
        <w:t>atuação nos níveis tático e operacional.</w:t>
      </w:r>
    </w:p>
    <w:p w14:paraId="7DC851D6" w14:textId="36BED99A" w:rsidR="003F0F56" w:rsidRPr="003F0F56" w:rsidRDefault="003F0F56" w:rsidP="003F0F56">
      <w:pPr>
        <w:spacing w:line="360" w:lineRule="auto"/>
        <w:ind w:firstLine="851"/>
        <w:jc w:val="both"/>
        <w:rPr>
          <w:rFonts w:eastAsia="Arial Unicode MS" w:cs="Calibri"/>
          <w:sz w:val="24"/>
          <w:szCs w:val="24"/>
        </w:rPr>
      </w:pPr>
      <w:r w:rsidRPr="00C1607D">
        <w:rPr>
          <w:rFonts w:eastAsia="Arial Unicode MS" w:cs="Calibri"/>
          <w:sz w:val="24"/>
          <w:szCs w:val="24"/>
        </w:rPr>
        <w:t>O Planejamento Estratégico do CAU</w:t>
      </w:r>
      <w:r w:rsidR="00D82247" w:rsidRPr="00C1607D">
        <w:rPr>
          <w:rFonts w:eastAsia="Arial Unicode MS" w:cs="Calibri"/>
          <w:sz w:val="24"/>
          <w:szCs w:val="24"/>
        </w:rPr>
        <w:t xml:space="preserve"> </w:t>
      </w:r>
      <w:r w:rsidRPr="00C1607D">
        <w:rPr>
          <w:rFonts w:eastAsia="Arial Unicode MS" w:cs="Calibri"/>
          <w:sz w:val="24"/>
          <w:szCs w:val="24"/>
        </w:rPr>
        <w:t xml:space="preserve">orienta a visão </w:t>
      </w:r>
      <w:r w:rsidR="00D26BFD" w:rsidRPr="00C1607D">
        <w:rPr>
          <w:rFonts w:eastAsia="Arial Unicode MS" w:cs="Calibri"/>
          <w:sz w:val="24"/>
          <w:szCs w:val="24"/>
        </w:rPr>
        <w:t xml:space="preserve">para um prazo </w:t>
      </w:r>
      <w:r w:rsidR="00A95261" w:rsidRPr="00C1607D">
        <w:rPr>
          <w:rFonts w:eastAsia="Arial Unicode MS" w:cs="Calibri"/>
          <w:sz w:val="24"/>
          <w:szCs w:val="24"/>
        </w:rPr>
        <w:t>mais longo</w:t>
      </w:r>
      <w:r w:rsidRPr="00C1607D">
        <w:rPr>
          <w:rFonts w:eastAsia="Arial Unicode MS" w:cs="Calibri"/>
          <w:sz w:val="24"/>
          <w:szCs w:val="24"/>
        </w:rPr>
        <w:t>, enquanto as Diretrizes para Elaboração d</w:t>
      </w:r>
      <w:r w:rsidR="000A4CFB" w:rsidRPr="00C1607D">
        <w:rPr>
          <w:rFonts w:eastAsia="Arial Unicode MS" w:cs="Calibri"/>
          <w:sz w:val="24"/>
          <w:szCs w:val="24"/>
        </w:rPr>
        <w:t>o Plano de Ação e Orçamento</w:t>
      </w:r>
      <w:r w:rsidRPr="00C1607D">
        <w:rPr>
          <w:rFonts w:eastAsia="Arial Unicode MS" w:cs="Calibri"/>
          <w:sz w:val="24"/>
          <w:szCs w:val="24"/>
        </w:rPr>
        <w:t xml:space="preserve"> </w:t>
      </w:r>
      <w:r w:rsidRPr="009B6546">
        <w:rPr>
          <w:rFonts w:eastAsia="Arial Unicode MS" w:cs="Calibri"/>
          <w:sz w:val="24"/>
          <w:szCs w:val="24"/>
        </w:rPr>
        <w:t>direcionam a atuação no período anual</w:t>
      </w:r>
      <w:r w:rsidR="00D26BFD" w:rsidRPr="009B6546">
        <w:rPr>
          <w:rFonts w:eastAsia="Arial Unicode MS" w:cs="Calibri"/>
          <w:sz w:val="24"/>
          <w:szCs w:val="24"/>
        </w:rPr>
        <w:t xml:space="preserve">. </w:t>
      </w:r>
      <w:r w:rsidR="00A172AC">
        <w:rPr>
          <w:rFonts w:eastAsia="Arial Unicode MS" w:cs="Calibri"/>
          <w:sz w:val="24"/>
          <w:szCs w:val="24"/>
        </w:rPr>
        <w:t>O CAU está em um momento de transição do planejamento estratégico 2013-2023 para o planejamento dos próximos anos.</w:t>
      </w:r>
    </w:p>
    <w:p w14:paraId="7DC851D8" w14:textId="77777777" w:rsidR="0064754B" w:rsidRDefault="0064754B" w:rsidP="00553098">
      <w:pPr>
        <w:spacing w:after="0" w:line="360" w:lineRule="auto"/>
        <w:ind w:firstLine="851"/>
        <w:jc w:val="both"/>
        <w:rPr>
          <w:rFonts w:eastAsia="Arial Unicode MS" w:cs="Calibri"/>
          <w:sz w:val="24"/>
          <w:szCs w:val="24"/>
        </w:rPr>
      </w:pPr>
    </w:p>
    <w:p w14:paraId="7DC851DA" w14:textId="6C5A2E0F" w:rsidR="0064754B" w:rsidRPr="00D26BFD" w:rsidRDefault="00397179" w:rsidP="00FF2610">
      <w:pPr>
        <w:pStyle w:val="Ttulo2"/>
        <w:ind w:firstLine="491"/>
        <w:rPr>
          <w:rFonts w:eastAsia="Arial Unicode MS"/>
          <w:color w:val="612141"/>
        </w:rPr>
      </w:pPr>
      <w:bookmarkStart w:id="14" w:name="_Toc487558903"/>
      <w:bookmarkStart w:id="15" w:name="_Toc487559004"/>
      <w:bookmarkStart w:id="16" w:name="_Toc147404329"/>
      <w:r w:rsidRPr="00D26BFD">
        <w:rPr>
          <w:rFonts w:eastAsia="Arial Unicode MS"/>
          <w:color w:val="612141"/>
        </w:rPr>
        <w:t>Mapa Estratégico</w:t>
      </w:r>
      <w:bookmarkEnd w:id="14"/>
      <w:bookmarkEnd w:id="15"/>
      <w:bookmarkEnd w:id="16"/>
    </w:p>
    <w:p w14:paraId="7DC851DD" w14:textId="0256753C" w:rsidR="003F0F56" w:rsidRDefault="00A172AC" w:rsidP="003F0F56">
      <w:pPr>
        <w:spacing w:line="360" w:lineRule="auto"/>
        <w:ind w:firstLine="851"/>
        <w:jc w:val="both"/>
        <w:rPr>
          <w:rFonts w:eastAsia="Arial Unicode MS" w:cs="Calibri"/>
          <w:sz w:val="24"/>
          <w:szCs w:val="24"/>
        </w:rPr>
      </w:pPr>
      <w:r>
        <w:rPr>
          <w:rFonts w:eastAsia="Arial Unicode MS" w:cs="Calibri"/>
          <w:sz w:val="24"/>
          <w:szCs w:val="24"/>
        </w:rPr>
        <w:t>Para 2024 será utilizado</w:t>
      </w:r>
      <w:r w:rsidR="00134B7E">
        <w:rPr>
          <w:rFonts w:eastAsia="Arial Unicode MS" w:cs="Calibri"/>
          <w:sz w:val="24"/>
          <w:szCs w:val="24"/>
        </w:rPr>
        <w:t xml:space="preserve"> Mapa Estratégico (f</w:t>
      </w:r>
      <w:r w:rsidR="003F0F56" w:rsidRPr="003F0F56">
        <w:rPr>
          <w:rFonts w:eastAsia="Arial Unicode MS" w:cs="Calibri"/>
          <w:sz w:val="24"/>
          <w:szCs w:val="24"/>
        </w:rPr>
        <w:t>igura</w:t>
      </w:r>
      <w:r w:rsidR="003F0F56">
        <w:rPr>
          <w:rFonts w:eastAsia="Arial Unicode MS" w:cs="Calibri"/>
          <w:sz w:val="24"/>
          <w:szCs w:val="24"/>
        </w:rPr>
        <w:t xml:space="preserve"> 1</w:t>
      </w:r>
      <w:r w:rsidR="00134B7E">
        <w:rPr>
          <w:rFonts w:eastAsia="Arial Unicode MS" w:cs="Calibri"/>
          <w:sz w:val="24"/>
          <w:szCs w:val="24"/>
        </w:rPr>
        <w:t>)</w:t>
      </w:r>
      <w:r>
        <w:rPr>
          <w:rFonts w:eastAsia="Arial Unicode MS" w:cs="Calibri"/>
          <w:sz w:val="24"/>
          <w:szCs w:val="24"/>
        </w:rPr>
        <w:t xml:space="preserve"> atual, o qual</w:t>
      </w:r>
      <w:r w:rsidR="00134B7E">
        <w:rPr>
          <w:rFonts w:eastAsia="Arial Unicode MS" w:cs="Calibri"/>
          <w:sz w:val="24"/>
          <w:szCs w:val="24"/>
        </w:rPr>
        <w:t xml:space="preserve"> apresenta</w:t>
      </w:r>
      <w:r w:rsidR="00813FF8">
        <w:rPr>
          <w:rFonts w:eastAsia="Arial Unicode MS" w:cs="Calibri"/>
          <w:sz w:val="24"/>
          <w:szCs w:val="24"/>
        </w:rPr>
        <w:t xml:space="preserve"> a</w:t>
      </w:r>
      <w:r w:rsidR="00134B7E">
        <w:rPr>
          <w:rFonts w:eastAsia="Arial Unicode MS" w:cs="Calibri"/>
          <w:sz w:val="24"/>
          <w:szCs w:val="24"/>
        </w:rPr>
        <w:t xml:space="preserve"> </w:t>
      </w:r>
      <w:r w:rsidR="003E3646">
        <w:rPr>
          <w:rFonts w:eastAsia="Arial Unicode MS" w:cs="Calibri"/>
          <w:sz w:val="24"/>
          <w:szCs w:val="24"/>
        </w:rPr>
        <w:t xml:space="preserve">Missão, Visão e </w:t>
      </w:r>
      <w:r w:rsidR="003F0F56" w:rsidRPr="003F0F56">
        <w:rPr>
          <w:rFonts w:eastAsia="Arial Unicode MS" w:cs="Calibri"/>
          <w:sz w:val="24"/>
          <w:szCs w:val="24"/>
        </w:rPr>
        <w:t xml:space="preserve">os </w:t>
      </w:r>
      <w:r w:rsidR="00CF7784">
        <w:rPr>
          <w:rFonts w:eastAsia="Arial Unicode MS" w:cs="Calibri"/>
          <w:sz w:val="24"/>
          <w:szCs w:val="24"/>
        </w:rPr>
        <w:t>O</w:t>
      </w:r>
      <w:r w:rsidR="003F0F56" w:rsidRPr="003F0F56">
        <w:rPr>
          <w:rFonts w:eastAsia="Arial Unicode MS" w:cs="Calibri"/>
          <w:sz w:val="24"/>
          <w:szCs w:val="24"/>
        </w:rPr>
        <w:t>bjeti</w:t>
      </w:r>
      <w:r w:rsidR="003E3646">
        <w:rPr>
          <w:rFonts w:eastAsia="Arial Unicode MS" w:cs="Calibri"/>
          <w:sz w:val="24"/>
          <w:szCs w:val="24"/>
        </w:rPr>
        <w:t xml:space="preserve">vos </w:t>
      </w:r>
      <w:r w:rsidR="00CF7784">
        <w:rPr>
          <w:rFonts w:eastAsia="Arial Unicode MS" w:cs="Calibri"/>
          <w:sz w:val="24"/>
          <w:szCs w:val="24"/>
        </w:rPr>
        <w:t>E</w:t>
      </w:r>
      <w:r w:rsidR="003E3646">
        <w:rPr>
          <w:rFonts w:eastAsia="Arial Unicode MS" w:cs="Calibri"/>
          <w:sz w:val="24"/>
          <w:szCs w:val="24"/>
        </w:rPr>
        <w:t>stratégicos</w:t>
      </w:r>
      <w:r w:rsidR="00134B7E">
        <w:rPr>
          <w:rFonts w:eastAsia="Arial Unicode MS" w:cs="Calibri"/>
          <w:sz w:val="24"/>
          <w:szCs w:val="24"/>
        </w:rPr>
        <w:t xml:space="preserve">, </w:t>
      </w:r>
      <w:r w:rsidR="003E3646">
        <w:rPr>
          <w:rFonts w:eastAsia="Arial Unicode MS" w:cs="Calibri"/>
          <w:sz w:val="24"/>
          <w:szCs w:val="24"/>
        </w:rPr>
        <w:t xml:space="preserve">agrupados pelas </w:t>
      </w:r>
      <w:r w:rsidR="003F0F56" w:rsidRPr="003F0F56">
        <w:rPr>
          <w:rFonts w:eastAsia="Arial Unicode MS" w:cs="Calibri"/>
          <w:sz w:val="24"/>
          <w:szCs w:val="24"/>
        </w:rPr>
        <w:t xml:space="preserve">perspectivas </w:t>
      </w:r>
      <w:r w:rsidR="00A47281" w:rsidRPr="003F0F56">
        <w:rPr>
          <w:rFonts w:eastAsia="Arial Unicode MS" w:cs="Calibri"/>
          <w:sz w:val="24"/>
          <w:szCs w:val="24"/>
        </w:rPr>
        <w:t>de Sociedade</w:t>
      </w:r>
      <w:r w:rsidR="003F0F56" w:rsidRPr="003F0F56">
        <w:rPr>
          <w:rFonts w:eastAsia="Arial Unicode MS" w:cs="Calibri"/>
          <w:sz w:val="24"/>
          <w:szCs w:val="24"/>
        </w:rPr>
        <w:t>, Processos Internos</w:t>
      </w:r>
      <w:r w:rsidR="00134B7E">
        <w:rPr>
          <w:rFonts w:eastAsia="Arial Unicode MS" w:cs="Calibri"/>
          <w:sz w:val="24"/>
          <w:szCs w:val="24"/>
        </w:rPr>
        <w:t xml:space="preserve">, </w:t>
      </w:r>
      <w:r w:rsidR="003F0F56" w:rsidRPr="003F0F56">
        <w:rPr>
          <w:rFonts w:eastAsia="Arial Unicode MS" w:cs="Calibri"/>
          <w:sz w:val="24"/>
          <w:szCs w:val="24"/>
        </w:rPr>
        <w:t>Pessoas e Infraestrutura.</w:t>
      </w:r>
      <w:r>
        <w:rPr>
          <w:rFonts w:eastAsia="Arial Unicode MS" w:cs="Calibri"/>
          <w:sz w:val="24"/>
          <w:szCs w:val="24"/>
        </w:rPr>
        <w:t xml:space="preserve"> No encontro de planejamento</w:t>
      </w:r>
      <w:r w:rsidR="00001C69">
        <w:rPr>
          <w:rFonts w:eastAsia="Arial Unicode MS" w:cs="Calibri"/>
          <w:sz w:val="24"/>
          <w:szCs w:val="24"/>
        </w:rPr>
        <w:t>, com a participação dos presidentes dos CAU/UF e suas equipes, estabeleceu-se três novos objetivos estratégicos nacionais.</w:t>
      </w:r>
    </w:p>
    <w:p w14:paraId="7C737A56" w14:textId="38DE7F88" w:rsidR="00176121" w:rsidRDefault="003F0F56" w:rsidP="00C44057">
      <w:pPr>
        <w:ind w:left="-426" w:hanging="284"/>
        <w:jc w:val="right"/>
        <w:rPr>
          <w:rStyle w:val="TtulodoLivro"/>
          <w:b w:val="0"/>
          <w:bCs w:val="0"/>
          <w:i w:val="0"/>
          <w:iCs w:val="0"/>
          <w:noProof/>
          <w:color w:val="002060"/>
          <w:spacing w:val="0"/>
          <w:lang w:eastAsia="pt-BR"/>
        </w:rPr>
      </w:pPr>
      <w:r w:rsidRPr="00814913">
        <w:rPr>
          <w:rFonts w:eastAsia="Arial Unicode MS"/>
          <w:b/>
          <w:lang w:eastAsia="pt-BR"/>
        </w:rPr>
        <w:t>Figura 1</w:t>
      </w:r>
      <w:r w:rsidRPr="00814913">
        <w:rPr>
          <w:rStyle w:val="TtulodoLivro"/>
          <w:bCs w:val="0"/>
          <w:i w:val="0"/>
          <w:iCs w:val="0"/>
          <w:spacing w:val="0"/>
        </w:rPr>
        <w:t xml:space="preserve"> </w:t>
      </w:r>
      <w:r w:rsidRPr="00814913">
        <w:rPr>
          <w:rFonts w:eastAsia="Arial Unicode MS"/>
          <w:lang w:eastAsia="pt-BR"/>
        </w:rPr>
        <w:t xml:space="preserve">– </w:t>
      </w:r>
      <w:r w:rsidRPr="009B6546">
        <w:rPr>
          <w:rFonts w:eastAsia="Arial Unicode MS"/>
          <w:color w:val="000000" w:themeColor="text1"/>
          <w:lang w:eastAsia="pt-BR"/>
        </w:rPr>
        <w:t>Mapa Estrat</w:t>
      </w:r>
      <w:r w:rsidR="00AD2EA6" w:rsidRPr="009B6546">
        <w:rPr>
          <w:rFonts w:eastAsia="Arial Unicode MS"/>
          <w:color w:val="000000" w:themeColor="text1"/>
          <w:lang w:eastAsia="pt-BR"/>
        </w:rPr>
        <w:t xml:space="preserve">égico do </w:t>
      </w:r>
      <w:r w:rsidR="00AD2EA6" w:rsidRPr="00BB2561">
        <w:rPr>
          <w:rFonts w:eastAsia="Arial Unicode MS"/>
          <w:lang w:eastAsia="pt-BR"/>
        </w:rPr>
        <w:t xml:space="preserve">CAU </w:t>
      </w:r>
      <w:r w:rsidR="00BE2F9F" w:rsidRPr="00BB2561">
        <w:rPr>
          <w:rFonts w:eastAsia="Arial Unicode MS"/>
          <w:lang w:eastAsia="pt-BR"/>
        </w:rPr>
        <w:t>20</w:t>
      </w:r>
      <w:r w:rsidR="00D26BFD" w:rsidRPr="00BB2561">
        <w:rPr>
          <w:rFonts w:eastAsia="Arial Unicode MS"/>
          <w:lang w:eastAsia="pt-BR"/>
        </w:rPr>
        <w:t>24</w:t>
      </w:r>
      <w:r w:rsidR="00284F49">
        <w:rPr>
          <w:rStyle w:val="TtulodoLivro"/>
          <w:b w:val="0"/>
          <w:bCs w:val="0"/>
          <w:i w:val="0"/>
          <w:iCs w:val="0"/>
          <w:noProof/>
          <w:color w:val="002060"/>
          <w:spacing w:val="0"/>
          <w:lang w:eastAsia="pt-BR"/>
        </w:rPr>
        <w:drawing>
          <wp:inline distT="0" distB="0" distL="0" distR="0" wp14:anchorId="60412C6A" wp14:editId="35F92960">
            <wp:extent cx="6051176" cy="3810000"/>
            <wp:effectExtent l="0" t="0" r="698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1359" cy="3816412"/>
                    </a:xfrm>
                    <a:prstGeom prst="rect">
                      <a:avLst/>
                    </a:prstGeom>
                    <a:noFill/>
                    <a:ln>
                      <a:noFill/>
                    </a:ln>
                  </pic:spPr>
                </pic:pic>
              </a:graphicData>
            </a:graphic>
          </wp:inline>
        </w:drawing>
      </w:r>
    </w:p>
    <w:p w14:paraId="7DC851E6" w14:textId="170DF266" w:rsidR="00813FF8" w:rsidRDefault="00813FF8">
      <w:pPr>
        <w:rPr>
          <w:rFonts w:eastAsia="Arial Unicode MS" w:cs="Calibri"/>
          <w:sz w:val="24"/>
          <w:szCs w:val="24"/>
        </w:rPr>
      </w:pPr>
    </w:p>
    <w:p w14:paraId="0D19021C" w14:textId="1372917D" w:rsidR="000062C3" w:rsidRDefault="000062C3">
      <w:pPr>
        <w:rPr>
          <w:rFonts w:eastAsia="Arial Unicode MS" w:cs="Calibri"/>
          <w:sz w:val="24"/>
          <w:szCs w:val="24"/>
        </w:rPr>
      </w:pPr>
    </w:p>
    <w:p w14:paraId="2D442D6C" w14:textId="12256E7C" w:rsidR="000062C3" w:rsidRDefault="000062C3">
      <w:pPr>
        <w:rPr>
          <w:rFonts w:eastAsia="Arial Unicode MS" w:cs="Calibri"/>
          <w:sz w:val="24"/>
          <w:szCs w:val="24"/>
        </w:rPr>
      </w:pPr>
    </w:p>
    <w:p w14:paraId="410C445E" w14:textId="7DF59408" w:rsidR="000062C3" w:rsidRDefault="000062C3">
      <w:pPr>
        <w:rPr>
          <w:rFonts w:eastAsia="Arial Unicode MS" w:cs="Calibri"/>
          <w:sz w:val="24"/>
          <w:szCs w:val="24"/>
        </w:rPr>
      </w:pPr>
    </w:p>
    <w:p w14:paraId="513CE2E1" w14:textId="7D49C24A" w:rsidR="000062C3" w:rsidRDefault="000062C3">
      <w:pPr>
        <w:rPr>
          <w:rFonts w:eastAsia="Arial Unicode MS" w:cs="Calibri"/>
          <w:sz w:val="24"/>
          <w:szCs w:val="24"/>
        </w:rPr>
      </w:pPr>
    </w:p>
    <w:p w14:paraId="11AF7B22" w14:textId="0B4B4967" w:rsidR="000062C3" w:rsidRDefault="000062C3">
      <w:pPr>
        <w:rPr>
          <w:rFonts w:eastAsia="Arial Unicode MS" w:cs="Calibri"/>
          <w:sz w:val="24"/>
          <w:szCs w:val="24"/>
        </w:rPr>
      </w:pPr>
    </w:p>
    <w:p w14:paraId="624BBCF2" w14:textId="1955740E" w:rsidR="000062C3" w:rsidRDefault="000062C3">
      <w:pPr>
        <w:rPr>
          <w:rFonts w:eastAsia="Arial Unicode MS" w:cs="Calibri"/>
          <w:sz w:val="24"/>
          <w:szCs w:val="24"/>
        </w:rPr>
      </w:pPr>
    </w:p>
    <w:p w14:paraId="7E51EA57" w14:textId="46AC4D74" w:rsidR="000062C3" w:rsidRDefault="000062C3">
      <w:pPr>
        <w:rPr>
          <w:rFonts w:eastAsia="Arial Unicode MS" w:cs="Calibri"/>
          <w:sz w:val="24"/>
          <w:szCs w:val="24"/>
        </w:rPr>
      </w:pPr>
    </w:p>
    <w:p w14:paraId="5B243A86" w14:textId="4A368B82" w:rsidR="000062C3" w:rsidRDefault="000062C3">
      <w:pPr>
        <w:rPr>
          <w:rFonts w:eastAsia="Arial Unicode MS" w:cs="Calibri"/>
          <w:sz w:val="24"/>
          <w:szCs w:val="24"/>
        </w:rPr>
      </w:pPr>
    </w:p>
    <w:p w14:paraId="2992CE13" w14:textId="69E297C9" w:rsidR="000062C3" w:rsidRDefault="000062C3">
      <w:pPr>
        <w:rPr>
          <w:rFonts w:eastAsia="Arial Unicode MS" w:cs="Calibri"/>
          <w:sz w:val="24"/>
          <w:szCs w:val="24"/>
        </w:rPr>
      </w:pPr>
    </w:p>
    <w:p w14:paraId="34E5DA01" w14:textId="68F3EF99" w:rsidR="000062C3" w:rsidRDefault="000062C3">
      <w:pPr>
        <w:rPr>
          <w:rFonts w:eastAsia="Arial Unicode MS" w:cs="Calibri"/>
          <w:sz w:val="24"/>
          <w:szCs w:val="24"/>
        </w:rPr>
      </w:pPr>
    </w:p>
    <w:p w14:paraId="713BA56F" w14:textId="58D48D63" w:rsidR="000062C3" w:rsidRDefault="000062C3">
      <w:pPr>
        <w:rPr>
          <w:rFonts w:eastAsia="Arial Unicode MS" w:cs="Calibri"/>
          <w:sz w:val="24"/>
          <w:szCs w:val="24"/>
        </w:rPr>
      </w:pPr>
    </w:p>
    <w:p w14:paraId="6D40EA00" w14:textId="46856A0A" w:rsidR="000062C3" w:rsidRDefault="000062C3">
      <w:pPr>
        <w:rPr>
          <w:rFonts w:eastAsia="Arial Unicode MS" w:cs="Calibri"/>
          <w:sz w:val="24"/>
          <w:szCs w:val="24"/>
        </w:rPr>
      </w:pPr>
    </w:p>
    <w:p w14:paraId="0741D8DA" w14:textId="0428E729" w:rsidR="00A172AC" w:rsidRDefault="00A172AC">
      <w:pPr>
        <w:rPr>
          <w:rFonts w:eastAsia="Arial Unicode MS" w:cs="Calibri"/>
          <w:sz w:val="24"/>
          <w:szCs w:val="24"/>
        </w:rPr>
      </w:pPr>
    </w:p>
    <w:p w14:paraId="3038B9B5" w14:textId="71C3DA4C" w:rsidR="00A172AC" w:rsidRDefault="00A172AC">
      <w:pPr>
        <w:rPr>
          <w:rFonts w:eastAsia="Arial Unicode MS" w:cs="Calibri"/>
          <w:sz w:val="24"/>
          <w:szCs w:val="24"/>
        </w:rPr>
      </w:pPr>
    </w:p>
    <w:p w14:paraId="019A81A9" w14:textId="43094167" w:rsidR="00A172AC" w:rsidRDefault="00A172AC">
      <w:pPr>
        <w:rPr>
          <w:rFonts w:eastAsia="Arial Unicode MS" w:cs="Calibri"/>
          <w:sz w:val="24"/>
          <w:szCs w:val="24"/>
        </w:rPr>
      </w:pPr>
    </w:p>
    <w:p w14:paraId="7DC851E8" w14:textId="29E3A36B" w:rsidR="00F765D2" w:rsidRPr="002F0A50" w:rsidRDefault="00F765D2" w:rsidP="00BF5C13">
      <w:pPr>
        <w:pStyle w:val="Ttulo1"/>
        <w:tabs>
          <w:tab w:val="left" w:pos="851"/>
        </w:tabs>
        <w:ind w:left="567" w:hanging="567"/>
        <w:rPr>
          <w:rFonts w:eastAsia="Arial Unicode MS"/>
          <w:color w:val="612141"/>
        </w:rPr>
      </w:pPr>
      <w:bookmarkStart w:id="17" w:name="_Toc487558905"/>
      <w:bookmarkStart w:id="18" w:name="_Toc487559006"/>
      <w:bookmarkStart w:id="19" w:name="_Toc147404330"/>
      <w:r w:rsidRPr="002F0A50">
        <w:rPr>
          <w:rFonts w:eastAsia="Arial Unicode MS"/>
          <w:color w:val="612141"/>
        </w:rPr>
        <w:t xml:space="preserve">METAS PARA O PLANO DE AÇÃO </w:t>
      </w:r>
      <w:bookmarkEnd w:id="17"/>
      <w:bookmarkEnd w:id="18"/>
      <w:r w:rsidR="008B29DD" w:rsidRPr="002F0A50">
        <w:rPr>
          <w:rFonts w:eastAsia="Arial Unicode MS"/>
          <w:color w:val="612141"/>
        </w:rPr>
        <w:t>20</w:t>
      </w:r>
      <w:r w:rsidR="00742347" w:rsidRPr="002F0A50">
        <w:rPr>
          <w:rFonts w:eastAsia="Arial Unicode MS"/>
          <w:color w:val="612141"/>
        </w:rPr>
        <w:t>2</w:t>
      </w:r>
      <w:r w:rsidR="0092756C">
        <w:rPr>
          <w:rFonts w:eastAsia="Arial Unicode MS"/>
          <w:color w:val="612141"/>
        </w:rPr>
        <w:t>4</w:t>
      </w:r>
      <w:bookmarkEnd w:id="19"/>
    </w:p>
    <w:p w14:paraId="7DC851EA" w14:textId="68324732" w:rsidR="00F765D2" w:rsidRPr="00C7143A" w:rsidRDefault="002B38CE" w:rsidP="00783EC1">
      <w:pPr>
        <w:spacing w:line="360" w:lineRule="auto"/>
        <w:ind w:firstLine="567"/>
        <w:jc w:val="both"/>
        <w:rPr>
          <w:rFonts w:eastAsia="Arial Unicode MS" w:cs="Calibri"/>
          <w:color w:val="000000" w:themeColor="text1"/>
          <w:sz w:val="24"/>
          <w:szCs w:val="24"/>
        </w:rPr>
      </w:pPr>
      <w:r w:rsidRPr="008712B5">
        <w:rPr>
          <w:rFonts w:eastAsia="Arial Unicode MS" w:cs="Calibri"/>
          <w:color w:val="000000" w:themeColor="text1"/>
          <w:sz w:val="24"/>
          <w:szCs w:val="24"/>
        </w:rPr>
        <w:t xml:space="preserve">Em </w:t>
      </w:r>
      <w:r w:rsidR="008B29DD" w:rsidRPr="00805662">
        <w:rPr>
          <w:rFonts w:eastAsia="Arial Unicode MS" w:cs="Calibri"/>
          <w:sz w:val="24"/>
          <w:szCs w:val="24"/>
        </w:rPr>
        <w:t>20</w:t>
      </w:r>
      <w:r w:rsidR="00742347" w:rsidRPr="00805662">
        <w:rPr>
          <w:rFonts w:eastAsia="Arial Unicode MS" w:cs="Calibri"/>
          <w:sz w:val="24"/>
          <w:szCs w:val="24"/>
        </w:rPr>
        <w:t>2</w:t>
      </w:r>
      <w:r w:rsidR="0092756C">
        <w:rPr>
          <w:rFonts w:eastAsia="Arial Unicode MS" w:cs="Calibri"/>
          <w:sz w:val="24"/>
          <w:szCs w:val="24"/>
        </w:rPr>
        <w:t>4</w:t>
      </w:r>
      <w:r w:rsidRPr="008712B5">
        <w:rPr>
          <w:rFonts w:eastAsia="Arial Unicode MS" w:cs="Calibri"/>
          <w:color w:val="000000" w:themeColor="text1"/>
          <w:sz w:val="24"/>
          <w:szCs w:val="24"/>
        </w:rPr>
        <w:t>,</w:t>
      </w:r>
      <w:r w:rsidR="003C3653" w:rsidRPr="008712B5">
        <w:rPr>
          <w:rFonts w:eastAsia="Arial Unicode MS" w:cs="Calibri"/>
          <w:color w:val="000000" w:themeColor="text1"/>
          <w:sz w:val="24"/>
          <w:szCs w:val="24"/>
        </w:rPr>
        <w:t xml:space="preserve"> </w:t>
      </w:r>
      <w:r w:rsidR="00F765D2" w:rsidRPr="008712B5">
        <w:rPr>
          <w:rFonts w:eastAsia="Arial Unicode MS" w:cs="Calibri"/>
          <w:color w:val="000000" w:themeColor="text1"/>
          <w:sz w:val="24"/>
          <w:szCs w:val="24"/>
        </w:rPr>
        <w:t xml:space="preserve">o CAU/BR e os CAU/UF deverão propor </w:t>
      </w:r>
      <w:r w:rsidR="00ED6E76">
        <w:rPr>
          <w:rFonts w:eastAsia="Arial Unicode MS" w:cs="Calibri"/>
          <w:color w:val="000000" w:themeColor="text1"/>
          <w:sz w:val="24"/>
          <w:szCs w:val="24"/>
        </w:rPr>
        <w:t>suas metas para seus indicadores</w:t>
      </w:r>
      <w:r w:rsidR="00001C69">
        <w:rPr>
          <w:rFonts w:eastAsia="Arial Unicode MS" w:cs="Calibri"/>
          <w:color w:val="000000" w:themeColor="text1"/>
          <w:sz w:val="24"/>
          <w:szCs w:val="24"/>
        </w:rPr>
        <w:t xml:space="preserve"> considerando os </w:t>
      </w:r>
      <w:r w:rsidR="002054DA">
        <w:rPr>
          <w:rFonts w:eastAsia="Arial Unicode MS" w:cs="Calibri"/>
          <w:color w:val="000000" w:themeColor="text1"/>
          <w:sz w:val="24"/>
          <w:szCs w:val="24"/>
        </w:rPr>
        <w:t>novos</w:t>
      </w:r>
      <w:r w:rsidR="00001C69">
        <w:rPr>
          <w:rFonts w:eastAsia="Arial Unicode MS" w:cs="Calibri"/>
          <w:color w:val="000000" w:themeColor="text1"/>
          <w:sz w:val="24"/>
          <w:szCs w:val="24"/>
        </w:rPr>
        <w:t xml:space="preserve"> objetivos estratégicos nacionais: </w:t>
      </w:r>
      <w:r w:rsidR="00F765D2" w:rsidRPr="008712B5">
        <w:rPr>
          <w:rFonts w:eastAsia="Arial Unicode MS" w:cs="Calibri"/>
          <w:color w:val="000000" w:themeColor="text1"/>
          <w:sz w:val="24"/>
          <w:szCs w:val="24"/>
        </w:rPr>
        <w:t xml:space="preserve"> </w:t>
      </w:r>
    </w:p>
    <w:p w14:paraId="4DF27BFC" w14:textId="7D3295B8" w:rsidR="00B071D8" w:rsidRPr="00B071D8" w:rsidRDefault="00243A80" w:rsidP="00E94498">
      <w:pPr>
        <w:pStyle w:val="PargrafodaLista"/>
        <w:numPr>
          <w:ilvl w:val="0"/>
          <w:numId w:val="18"/>
        </w:numPr>
        <w:spacing w:line="360" w:lineRule="auto"/>
        <w:jc w:val="both"/>
        <w:rPr>
          <w:rFonts w:eastAsia="Arial Unicode MS" w:cs="Calibri"/>
          <w:b/>
          <w:sz w:val="24"/>
          <w:szCs w:val="24"/>
        </w:rPr>
      </w:pPr>
      <w:r w:rsidRPr="00B071D8">
        <w:rPr>
          <w:rFonts w:eastAsia="Arial Unicode MS" w:cs="Calibri"/>
          <w:b/>
          <w:sz w:val="24"/>
          <w:szCs w:val="24"/>
        </w:rPr>
        <w:t>Tornar</w:t>
      </w:r>
      <w:r w:rsidR="00F765D2" w:rsidRPr="00B071D8">
        <w:rPr>
          <w:rFonts w:eastAsia="Arial Unicode MS" w:cs="Calibri"/>
          <w:b/>
          <w:sz w:val="24"/>
          <w:szCs w:val="24"/>
        </w:rPr>
        <w:t xml:space="preserve"> a fiscalização um vetor de melhoria do exercício da Arquitetura e Urbanismo</w:t>
      </w:r>
      <w:r w:rsidR="00286652" w:rsidRPr="00B071D8">
        <w:rPr>
          <w:rFonts w:eastAsia="Arial Unicode MS" w:cs="Calibri"/>
          <w:sz w:val="24"/>
          <w:szCs w:val="24"/>
        </w:rPr>
        <w:t>.</w:t>
      </w:r>
    </w:p>
    <w:p w14:paraId="693A708E" w14:textId="42D5B712" w:rsidR="00B071D8" w:rsidRPr="00C1607D" w:rsidRDefault="004C1E15" w:rsidP="00E94498">
      <w:pPr>
        <w:pStyle w:val="PargrafodaLista"/>
        <w:numPr>
          <w:ilvl w:val="0"/>
          <w:numId w:val="18"/>
        </w:numPr>
        <w:spacing w:line="360" w:lineRule="auto"/>
        <w:jc w:val="both"/>
        <w:rPr>
          <w:rFonts w:eastAsia="Arial Unicode MS" w:cs="Calibri"/>
          <w:b/>
          <w:sz w:val="24"/>
          <w:szCs w:val="24"/>
        </w:rPr>
      </w:pPr>
      <w:r w:rsidRPr="00C1607D">
        <w:rPr>
          <w:rFonts w:eastAsia="Arial Unicode MS" w:cs="Calibri"/>
          <w:b/>
          <w:sz w:val="24"/>
          <w:szCs w:val="24"/>
        </w:rPr>
        <w:t>Assegurar a eficácia no relacionamento e comunicação com a sociedade</w:t>
      </w:r>
      <w:bookmarkStart w:id="20" w:name="_Hlk50998992"/>
      <w:r w:rsidR="00001C69" w:rsidRPr="00C1607D">
        <w:rPr>
          <w:rFonts w:eastAsia="Arial Unicode MS" w:cs="Calibri"/>
          <w:b/>
          <w:sz w:val="24"/>
          <w:szCs w:val="24"/>
        </w:rPr>
        <w:t>.</w:t>
      </w:r>
    </w:p>
    <w:p w14:paraId="2D28DB8E" w14:textId="449F419F" w:rsidR="004C1E15" w:rsidRPr="00C1607D" w:rsidRDefault="004C1E15" w:rsidP="00E94498">
      <w:pPr>
        <w:pStyle w:val="PargrafodaLista"/>
        <w:numPr>
          <w:ilvl w:val="0"/>
          <w:numId w:val="18"/>
        </w:numPr>
        <w:spacing w:line="360" w:lineRule="auto"/>
        <w:jc w:val="both"/>
        <w:rPr>
          <w:rFonts w:eastAsia="Arial Unicode MS" w:cs="Calibri"/>
          <w:b/>
          <w:sz w:val="24"/>
          <w:szCs w:val="24"/>
        </w:rPr>
      </w:pPr>
      <w:r w:rsidRPr="00C1607D">
        <w:rPr>
          <w:rFonts w:eastAsia="Arial Unicode MS" w:cs="Calibri"/>
          <w:b/>
          <w:sz w:val="24"/>
          <w:szCs w:val="24"/>
        </w:rPr>
        <w:t>Ter sistemas de informação e infraestrutura que viabilizem a gestão e o atendimento dos arquitetos e urbanistas e a sociedade</w:t>
      </w:r>
      <w:r w:rsidR="00001C69" w:rsidRPr="00C1607D">
        <w:rPr>
          <w:rFonts w:eastAsia="Arial Unicode MS" w:cs="Calibri"/>
          <w:b/>
          <w:sz w:val="24"/>
          <w:szCs w:val="24"/>
        </w:rPr>
        <w:t>.</w:t>
      </w:r>
    </w:p>
    <w:bookmarkEnd w:id="20"/>
    <w:p w14:paraId="1CA956FB" w14:textId="3CBC3743" w:rsidR="006951EB" w:rsidRPr="00C1607D" w:rsidRDefault="00ED7CA4" w:rsidP="00001C69">
      <w:pPr>
        <w:spacing w:line="360" w:lineRule="auto"/>
        <w:ind w:firstLine="851"/>
        <w:jc w:val="both"/>
        <w:rPr>
          <w:rFonts w:eastAsia="Arial Unicode MS" w:cs="Calibri"/>
          <w:sz w:val="24"/>
          <w:szCs w:val="24"/>
        </w:rPr>
      </w:pPr>
      <w:r w:rsidRPr="00C1607D">
        <w:rPr>
          <w:rFonts w:eastAsia="Arial Unicode MS" w:cs="Calibri"/>
          <w:sz w:val="24"/>
          <w:szCs w:val="24"/>
        </w:rPr>
        <w:t>OS</w:t>
      </w:r>
      <w:r w:rsidR="00E21343" w:rsidRPr="00C1607D">
        <w:rPr>
          <w:rFonts w:eastAsia="Arial Unicode MS" w:cs="Calibri"/>
          <w:sz w:val="24"/>
          <w:szCs w:val="24"/>
        </w:rPr>
        <w:t xml:space="preserve"> CAU/UF e CAU/BR</w:t>
      </w:r>
      <w:r w:rsidR="009B6546" w:rsidRPr="00C1607D">
        <w:rPr>
          <w:rFonts w:eastAsia="Arial Unicode MS" w:cs="Calibri"/>
          <w:sz w:val="24"/>
          <w:szCs w:val="24"/>
        </w:rPr>
        <w:t>,</w:t>
      </w:r>
      <w:r w:rsidR="00E21343" w:rsidRPr="00C1607D">
        <w:rPr>
          <w:rFonts w:eastAsia="Arial Unicode MS" w:cs="Calibri"/>
          <w:sz w:val="24"/>
          <w:szCs w:val="24"/>
        </w:rPr>
        <w:t xml:space="preserve"> </w:t>
      </w:r>
      <w:r w:rsidR="009B6546" w:rsidRPr="00C1607D">
        <w:rPr>
          <w:rFonts w:eastAsia="Arial Unicode MS" w:cs="Calibri"/>
          <w:sz w:val="24"/>
          <w:szCs w:val="24"/>
        </w:rPr>
        <w:t xml:space="preserve">obrigatoriamente, </w:t>
      </w:r>
      <w:r w:rsidRPr="00C1607D">
        <w:rPr>
          <w:rFonts w:eastAsia="Arial Unicode MS" w:cs="Calibri"/>
          <w:sz w:val="24"/>
          <w:szCs w:val="24"/>
        </w:rPr>
        <w:t xml:space="preserve">necessitam </w:t>
      </w:r>
      <w:r w:rsidR="00E21343" w:rsidRPr="00C1607D">
        <w:rPr>
          <w:rFonts w:eastAsia="Arial Unicode MS" w:cs="Calibri"/>
          <w:sz w:val="24"/>
          <w:szCs w:val="24"/>
        </w:rPr>
        <w:t>incluir em seu Plano de Ação</w:t>
      </w:r>
      <w:r w:rsidR="00B34F78" w:rsidRPr="00C1607D">
        <w:rPr>
          <w:rFonts w:eastAsia="Arial Unicode MS" w:cs="Calibri"/>
          <w:sz w:val="24"/>
          <w:szCs w:val="24"/>
        </w:rPr>
        <w:t xml:space="preserve"> i</w:t>
      </w:r>
      <w:r w:rsidR="00590727" w:rsidRPr="00C1607D">
        <w:rPr>
          <w:rFonts w:eastAsia="Arial Unicode MS" w:cs="Calibri"/>
          <w:sz w:val="24"/>
          <w:szCs w:val="24"/>
        </w:rPr>
        <w:t>niciativas vinculadas aos o</w:t>
      </w:r>
      <w:r w:rsidR="00E21343" w:rsidRPr="00C1607D">
        <w:rPr>
          <w:rFonts w:eastAsia="Arial Unicode MS" w:cs="Calibri"/>
          <w:sz w:val="24"/>
          <w:szCs w:val="24"/>
        </w:rPr>
        <w:t xml:space="preserve">bjetivos </w:t>
      </w:r>
      <w:r w:rsidR="00235D39" w:rsidRPr="00C1607D">
        <w:rPr>
          <w:rFonts w:eastAsia="Arial Unicode MS" w:cs="Calibri"/>
          <w:sz w:val="24"/>
          <w:szCs w:val="24"/>
        </w:rPr>
        <w:t>p</w:t>
      </w:r>
      <w:r w:rsidR="00E21343" w:rsidRPr="00C1607D">
        <w:rPr>
          <w:rFonts w:eastAsia="Arial Unicode MS" w:cs="Calibri"/>
          <w:sz w:val="24"/>
          <w:szCs w:val="24"/>
        </w:rPr>
        <w:t xml:space="preserve">rioritários </w:t>
      </w:r>
      <w:r w:rsidR="00235D39" w:rsidRPr="00C1607D">
        <w:rPr>
          <w:rFonts w:eastAsia="Arial Unicode MS" w:cs="Calibri"/>
          <w:sz w:val="24"/>
          <w:szCs w:val="24"/>
        </w:rPr>
        <w:t>l</w:t>
      </w:r>
      <w:r w:rsidR="00867C92" w:rsidRPr="00C1607D">
        <w:rPr>
          <w:rFonts w:eastAsia="Arial Unicode MS" w:cs="Calibri"/>
          <w:sz w:val="24"/>
          <w:szCs w:val="24"/>
        </w:rPr>
        <w:t>ocais</w:t>
      </w:r>
      <w:r w:rsidR="00B34F78" w:rsidRPr="00C1607D">
        <w:rPr>
          <w:rFonts w:eastAsia="Arial Unicode MS" w:cs="Calibri"/>
          <w:sz w:val="24"/>
          <w:szCs w:val="24"/>
        </w:rPr>
        <w:t xml:space="preserve"> e i</w:t>
      </w:r>
      <w:r w:rsidR="00590727" w:rsidRPr="00C1607D">
        <w:rPr>
          <w:rFonts w:eastAsia="Arial Unicode MS" w:cs="Calibri"/>
          <w:sz w:val="24"/>
          <w:szCs w:val="24"/>
        </w:rPr>
        <w:t>niciativas vinculadas aos objetivos prioritários nacionais</w:t>
      </w:r>
      <w:r w:rsidR="00583F0E" w:rsidRPr="00C1607D">
        <w:rPr>
          <w:rFonts w:eastAsia="Arial Unicode MS" w:cs="Calibri"/>
          <w:sz w:val="24"/>
          <w:szCs w:val="24"/>
        </w:rPr>
        <w:t>,</w:t>
      </w:r>
      <w:r w:rsidR="00001C69" w:rsidRPr="00C1607D">
        <w:rPr>
          <w:rFonts w:eastAsia="Arial Unicode MS" w:cs="Calibri"/>
          <w:sz w:val="24"/>
          <w:szCs w:val="24"/>
        </w:rPr>
        <w:t xml:space="preserve"> prioritariamente a efetivação do plano estatual de fiscalização 2024/2026.</w:t>
      </w:r>
    </w:p>
    <w:p w14:paraId="7DC851F2" w14:textId="467698AF" w:rsidR="00AF77DB" w:rsidRDefault="00754393" w:rsidP="00EA6D11">
      <w:pPr>
        <w:spacing w:line="360" w:lineRule="auto"/>
        <w:ind w:firstLine="851"/>
        <w:jc w:val="both"/>
        <w:rPr>
          <w:rFonts w:eastAsia="Arial Unicode MS" w:cs="Calibri"/>
          <w:sz w:val="24"/>
          <w:szCs w:val="24"/>
        </w:rPr>
      </w:pPr>
      <w:r w:rsidRPr="00867C92">
        <w:rPr>
          <w:rFonts w:eastAsia="Arial Unicode MS" w:cs="Calibri"/>
          <w:sz w:val="24"/>
          <w:szCs w:val="24"/>
        </w:rPr>
        <w:t xml:space="preserve">No caso das </w:t>
      </w:r>
      <w:r w:rsidR="003C3653" w:rsidRPr="00867C92">
        <w:rPr>
          <w:rFonts w:eastAsia="Arial Unicode MS" w:cs="Calibri"/>
          <w:sz w:val="24"/>
          <w:szCs w:val="24"/>
        </w:rPr>
        <w:t>ações</w:t>
      </w:r>
      <w:r w:rsidRPr="00867C92">
        <w:rPr>
          <w:rFonts w:eastAsia="Arial Unicode MS" w:cs="Calibri"/>
          <w:sz w:val="24"/>
          <w:szCs w:val="24"/>
        </w:rPr>
        <w:t xml:space="preserve"> </w:t>
      </w:r>
      <w:r w:rsidR="003C3653" w:rsidRPr="00867C92">
        <w:rPr>
          <w:rFonts w:eastAsia="Arial Unicode MS" w:cs="Calibri"/>
          <w:sz w:val="24"/>
          <w:szCs w:val="24"/>
        </w:rPr>
        <w:t xml:space="preserve">visando ao alcance da Missão do </w:t>
      </w:r>
      <w:r w:rsidRPr="00867C92">
        <w:rPr>
          <w:rFonts w:eastAsia="Arial Unicode MS" w:cs="Calibri"/>
          <w:sz w:val="24"/>
          <w:szCs w:val="24"/>
        </w:rPr>
        <w:t xml:space="preserve">CAU - </w:t>
      </w:r>
      <w:r w:rsidR="003C3653" w:rsidRPr="00867C92">
        <w:rPr>
          <w:rFonts w:eastAsia="Arial Unicode MS" w:cs="Calibri"/>
          <w:sz w:val="24"/>
          <w:szCs w:val="24"/>
        </w:rPr>
        <w:t xml:space="preserve">Arquitetura e Urbanismo para Todos, </w:t>
      </w:r>
      <w:r w:rsidRPr="00867C92">
        <w:rPr>
          <w:rFonts w:eastAsia="Arial Unicode MS" w:cs="Calibri"/>
          <w:sz w:val="24"/>
          <w:szCs w:val="24"/>
        </w:rPr>
        <w:t xml:space="preserve">inseridas no </w:t>
      </w:r>
      <w:r w:rsidR="003C3653" w:rsidRPr="00867C92">
        <w:rPr>
          <w:rFonts w:eastAsia="Arial Unicode MS" w:cs="Calibri"/>
          <w:sz w:val="24"/>
          <w:szCs w:val="24"/>
        </w:rPr>
        <w:t>âmbito do Objetivo Estratégico “</w:t>
      </w:r>
      <w:r w:rsidR="003C3653" w:rsidRPr="00867C92">
        <w:rPr>
          <w:rFonts w:eastAsia="Arial Unicode MS" w:cs="Calibri"/>
          <w:i/>
          <w:iCs/>
          <w:sz w:val="24"/>
          <w:szCs w:val="24"/>
        </w:rPr>
        <w:t>Fomentar o acesso da sociedade à Arquitetura e Urbanismo</w:t>
      </w:r>
      <w:r w:rsidR="003C3653" w:rsidRPr="00867C92">
        <w:rPr>
          <w:rFonts w:eastAsia="Arial Unicode MS" w:cs="Calibri"/>
          <w:sz w:val="24"/>
          <w:szCs w:val="24"/>
        </w:rPr>
        <w:t xml:space="preserve">” </w:t>
      </w:r>
      <w:r w:rsidRPr="00867C92">
        <w:rPr>
          <w:rFonts w:eastAsia="Arial Unicode MS" w:cs="Calibri"/>
          <w:sz w:val="24"/>
          <w:szCs w:val="24"/>
        </w:rPr>
        <w:t xml:space="preserve">devem ser implementadas por meio de projetos na área de </w:t>
      </w:r>
      <w:r w:rsidR="003C3653" w:rsidRPr="00867C92">
        <w:rPr>
          <w:rFonts w:eastAsia="Arial Unicode MS" w:cs="Calibri"/>
          <w:b/>
          <w:bCs/>
          <w:sz w:val="24"/>
          <w:szCs w:val="24"/>
        </w:rPr>
        <w:t>Assistência Técnica em Habitações de Interesse Social – ATHIS</w:t>
      </w:r>
      <w:r w:rsidR="003C3653" w:rsidRPr="00867C92">
        <w:rPr>
          <w:rFonts w:eastAsia="Arial Unicode MS" w:cs="Calibri"/>
          <w:sz w:val="24"/>
          <w:szCs w:val="24"/>
        </w:rPr>
        <w:t xml:space="preserve">, que </w:t>
      </w:r>
      <w:r w:rsidRPr="00867C92">
        <w:rPr>
          <w:rFonts w:eastAsia="Arial Unicode MS" w:cs="Calibri"/>
          <w:sz w:val="24"/>
          <w:szCs w:val="24"/>
        </w:rPr>
        <w:t xml:space="preserve">valorizam </w:t>
      </w:r>
      <w:r w:rsidR="003C3653" w:rsidRPr="00867C92">
        <w:rPr>
          <w:rFonts w:eastAsia="Arial Unicode MS" w:cs="Calibri"/>
          <w:sz w:val="24"/>
          <w:szCs w:val="24"/>
        </w:rPr>
        <w:t xml:space="preserve">aspectos relevantes para a melhoria da qualidade de vida da população brasileira, </w:t>
      </w:r>
      <w:r w:rsidRPr="00867C92">
        <w:rPr>
          <w:rFonts w:eastAsia="Arial Unicode MS" w:cs="Calibri"/>
          <w:sz w:val="24"/>
          <w:szCs w:val="24"/>
        </w:rPr>
        <w:t xml:space="preserve">de </w:t>
      </w:r>
      <w:r w:rsidR="003C3653" w:rsidRPr="00867C92">
        <w:rPr>
          <w:rFonts w:eastAsia="Arial Unicode MS" w:cs="Calibri"/>
          <w:sz w:val="24"/>
          <w:szCs w:val="24"/>
        </w:rPr>
        <w:t>acordo com a</w:t>
      </w:r>
      <w:r w:rsidR="00BC2F02" w:rsidRPr="00867C92">
        <w:rPr>
          <w:rFonts w:eastAsia="Arial Unicode MS" w:cs="Calibri"/>
          <w:sz w:val="24"/>
          <w:szCs w:val="24"/>
        </w:rPr>
        <w:t>s</w:t>
      </w:r>
      <w:r w:rsidR="003C3653" w:rsidRPr="00867C92">
        <w:rPr>
          <w:rFonts w:eastAsia="Arial Unicode MS" w:cs="Calibri"/>
          <w:sz w:val="24"/>
          <w:szCs w:val="24"/>
        </w:rPr>
        <w:t xml:space="preserve"> Resoluç</w:t>
      </w:r>
      <w:r w:rsidR="00BC2F02" w:rsidRPr="00867C92">
        <w:rPr>
          <w:rFonts w:eastAsia="Arial Unicode MS" w:cs="Calibri"/>
          <w:sz w:val="24"/>
          <w:szCs w:val="24"/>
        </w:rPr>
        <w:t>ões do</w:t>
      </w:r>
      <w:r w:rsidR="003C3653" w:rsidRPr="00867C92">
        <w:rPr>
          <w:rFonts w:eastAsia="Arial Unicode MS" w:cs="Calibri"/>
          <w:sz w:val="24"/>
          <w:szCs w:val="24"/>
        </w:rPr>
        <w:t xml:space="preserve"> CAU/BR e </w:t>
      </w:r>
      <w:r w:rsidR="00BC2F02" w:rsidRPr="00867C92">
        <w:rPr>
          <w:rFonts w:eastAsia="Arial Unicode MS" w:cs="Calibri"/>
          <w:sz w:val="24"/>
          <w:szCs w:val="24"/>
        </w:rPr>
        <w:t>a</w:t>
      </w:r>
      <w:r w:rsidR="003C3653" w:rsidRPr="00867C92">
        <w:rPr>
          <w:rFonts w:eastAsia="Arial Unicode MS" w:cs="Calibri"/>
          <w:sz w:val="24"/>
          <w:szCs w:val="24"/>
        </w:rPr>
        <w:t>os princípios da Lei n° 11.888/2008</w:t>
      </w:r>
      <w:r w:rsidRPr="00867C92">
        <w:rPr>
          <w:rFonts w:eastAsia="Arial Unicode MS" w:cs="Calibri"/>
          <w:sz w:val="24"/>
          <w:szCs w:val="24"/>
        </w:rPr>
        <w:t xml:space="preserve"> que</w:t>
      </w:r>
      <w:r w:rsidR="003C3653" w:rsidRPr="00867C92">
        <w:rPr>
          <w:rFonts w:eastAsia="Arial Unicode MS" w:cs="Calibri"/>
          <w:sz w:val="24"/>
          <w:szCs w:val="24"/>
        </w:rPr>
        <w:t xml:space="preserve"> “...</w:t>
      </w:r>
      <w:r w:rsidR="003C3653" w:rsidRPr="00867C92">
        <w:rPr>
          <w:rFonts w:eastAsia="Arial Unicode MS" w:cs="Calibri"/>
          <w:i/>
          <w:iCs/>
          <w:sz w:val="24"/>
          <w:szCs w:val="24"/>
        </w:rPr>
        <w:t>assegura às famílias de baixa renda assistência técnica pública e gratuita para o projeto e a construção de habitação de interesse social</w:t>
      </w:r>
      <w:r w:rsidR="003C3653" w:rsidRPr="00867C92">
        <w:rPr>
          <w:rFonts w:eastAsia="Arial Unicode MS" w:cs="Calibri"/>
          <w:sz w:val="24"/>
          <w:szCs w:val="24"/>
        </w:rPr>
        <w:t>”.</w:t>
      </w:r>
    </w:p>
    <w:p w14:paraId="463B0975" w14:textId="1BA0D1D8" w:rsidR="004E1713" w:rsidRDefault="004E1713" w:rsidP="00EA6D11">
      <w:pPr>
        <w:spacing w:line="360" w:lineRule="auto"/>
        <w:ind w:firstLine="851"/>
        <w:jc w:val="both"/>
        <w:rPr>
          <w:rFonts w:eastAsia="Arial Unicode MS" w:cs="Calibri"/>
          <w:sz w:val="24"/>
          <w:szCs w:val="24"/>
        </w:rPr>
      </w:pPr>
    </w:p>
    <w:p w14:paraId="039F1068" w14:textId="08451D75" w:rsidR="00ED7CA4" w:rsidRDefault="00ED7CA4" w:rsidP="00EA6D11">
      <w:pPr>
        <w:spacing w:line="360" w:lineRule="auto"/>
        <w:ind w:firstLine="851"/>
        <w:jc w:val="both"/>
        <w:rPr>
          <w:rFonts w:eastAsia="Arial Unicode MS" w:cs="Calibri"/>
          <w:sz w:val="24"/>
          <w:szCs w:val="24"/>
        </w:rPr>
      </w:pPr>
    </w:p>
    <w:p w14:paraId="5E87C368" w14:textId="1A56983F" w:rsidR="00ED7CA4" w:rsidRDefault="00ED7CA4" w:rsidP="00EA6D11">
      <w:pPr>
        <w:spacing w:line="360" w:lineRule="auto"/>
        <w:ind w:firstLine="851"/>
        <w:jc w:val="both"/>
        <w:rPr>
          <w:rFonts w:eastAsia="Arial Unicode MS" w:cs="Calibri"/>
          <w:sz w:val="24"/>
          <w:szCs w:val="24"/>
        </w:rPr>
      </w:pPr>
    </w:p>
    <w:p w14:paraId="071B71DF" w14:textId="09139B9D" w:rsidR="00ED7CA4" w:rsidRDefault="00ED7CA4" w:rsidP="00EA6D11">
      <w:pPr>
        <w:spacing w:line="360" w:lineRule="auto"/>
        <w:ind w:firstLine="851"/>
        <w:jc w:val="both"/>
        <w:rPr>
          <w:rFonts w:eastAsia="Arial Unicode MS" w:cs="Calibri"/>
          <w:sz w:val="24"/>
          <w:szCs w:val="24"/>
        </w:rPr>
      </w:pPr>
    </w:p>
    <w:p w14:paraId="5045949A" w14:textId="1E0EA12C" w:rsidR="00ED7CA4" w:rsidRDefault="00ED7CA4" w:rsidP="00EA6D11">
      <w:pPr>
        <w:spacing w:line="360" w:lineRule="auto"/>
        <w:ind w:firstLine="851"/>
        <w:jc w:val="both"/>
        <w:rPr>
          <w:rFonts w:eastAsia="Arial Unicode MS" w:cs="Calibri"/>
          <w:sz w:val="24"/>
          <w:szCs w:val="24"/>
        </w:rPr>
      </w:pPr>
    </w:p>
    <w:p w14:paraId="3249CA42" w14:textId="77777777" w:rsidR="00ED7CA4" w:rsidRDefault="00ED7CA4" w:rsidP="00EA6D11">
      <w:pPr>
        <w:spacing w:line="360" w:lineRule="auto"/>
        <w:ind w:firstLine="851"/>
        <w:jc w:val="both"/>
        <w:rPr>
          <w:rFonts w:eastAsia="Arial Unicode MS" w:cs="Calibri"/>
          <w:sz w:val="24"/>
          <w:szCs w:val="24"/>
        </w:rPr>
      </w:pPr>
    </w:p>
    <w:p w14:paraId="7DC851FA" w14:textId="6890BABE" w:rsidR="008738D3" w:rsidRPr="00855F9D" w:rsidRDefault="00651829">
      <w:pPr>
        <w:pStyle w:val="Ttulo1"/>
        <w:numPr>
          <w:ilvl w:val="0"/>
          <w:numId w:val="10"/>
        </w:numPr>
        <w:ind w:left="284" w:hanging="284"/>
        <w:jc w:val="both"/>
        <w:rPr>
          <w:rFonts w:eastAsia="Arial Unicode MS"/>
          <w:color w:val="612141"/>
        </w:rPr>
      </w:pPr>
      <w:bookmarkStart w:id="21" w:name="_Toc487558906"/>
      <w:bookmarkStart w:id="22" w:name="_Toc487559007"/>
      <w:bookmarkStart w:id="23" w:name="_Toc147404331"/>
      <w:r w:rsidRPr="00855F9D">
        <w:rPr>
          <w:rFonts w:eastAsia="Arial Unicode MS"/>
          <w:color w:val="612141"/>
        </w:rPr>
        <w:t>APLICAÇÃO DE RECURSOS</w:t>
      </w:r>
      <w:bookmarkEnd w:id="21"/>
      <w:bookmarkEnd w:id="22"/>
      <w:bookmarkEnd w:id="23"/>
    </w:p>
    <w:p w14:paraId="7DC851FB" w14:textId="7D31EC85" w:rsidR="00AD2EA6" w:rsidRPr="00AD2EA6" w:rsidRDefault="00AD2EA6" w:rsidP="00AD2EA6">
      <w:pPr>
        <w:spacing w:line="360" w:lineRule="auto"/>
        <w:ind w:firstLine="851"/>
        <w:jc w:val="both"/>
        <w:rPr>
          <w:rFonts w:eastAsia="Arial Unicode MS" w:cs="Calibri"/>
          <w:sz w:val="24"/>
          <w:szCs w:val="24"/>
        </w:rPr>
      </w:pPr>
      <w:r w:rsidRPr="00AD2EA6">
        <w:rPr>
          <w:rFonts w:eastAsia="Arial Unicode MS" w:cs="Calibri"/>
          <w:sz w:val="24"/>
          <w:szCs w:val="24"/>
        </w:rPr>
        <w:t>Os limites e condições de alocação dos recursos orçamentários são estabelecidos</w:t>
      </w:r>
      <w:r w:rsidR="00BC3BA8">
        <w:rPr>
          <w:rFonts w:eastAsia="Arial Unicode MS" w:cs="Calibri"/>
          <w:sz w:val="24"/>
          <w:szCs w:val="24"/>
        </w:rPr>
        <w:t xml:space="preserve"> para</w:t>
      </w:r>
      <w:r w:rsidRPr="00AD2EA6">
        <w:rPr>
          <w:rFonts w:eastAsia="Arial Unicode MS" w:cs="Calibri"/>
          <w:sz w:val="24"/>
          <w:szCs w:val="24"/>
        </w:rPr>
        <w:t>:</w:t>
      </w:r>
    </w:p>
    <w:p w14:paraId="7DC85202" w14:textId="77777777" w:rsidR="00651829" w:rsidRPr="002F0A50" w:rsidRDefault="00F95068" w:rsidP="006E1494">
      <w:pPr>
        <w:pStyle w:val="Ttulo2"/>
        <w:ind w:left="851" w:firstLine="0"/>
        <w:rPr>
          <w:rFonts w:eastAsia="Arial Unicode MS"/>
          <w:color w:val="612141"/>
        </w:rPr>
      </w:pPr>
      <w:bookmarkStart w:id="24" w:name="_Toc147404332"/>
      <w:r w:rsidRPr="002F0A50">
        <w:rPr>
          <w:rFonts w:eastAsia="Arial Unicode MS"/>
          <w:color w:val="612141"/>
        </w:rPr>
        <w:t xml:space="preserve">Alocação de Recursos nos </w:t>
      </w:r>
      <w:r w:rsidR="00651829" w:rsidRPr="002F0A50">
        <w:rPr>
          <w:rFonts w:eastAsia="Arial Unicode MS"/>
          <w:color w:val="612141"/>
        </w:rPr>
        <w:t>Objetivos Estratégicos</w:t>
      </w:r>
      <w:bookmarkEnd w:id="24"/>
    </w:p>
    <w:p w14:paraId="4EAEF0DE" w14:textId="66E8FBB7" w:rsidR="006B7E5C" w:rsidRDefault="00BC3BA8" w:rsidP="006B7E5C">
      <w:pPr>
        <w:spacing w:line="360" w:lineRule="auto"/>
        <w:ind w:firstLine="851"/>
        <w:jc w:val="both"/>
        <w:rPr>
          <w:rFonts w:eastAsia="Arial Unicode MS" w:cs="Calibri"/>
          <w:b/>
          <w:bCs/>
          <w:sz w:val="24"/>
          <w:szCs w:val="24"/>
          <w:shd w:val="clear" w:color="auto" w:fill="FFFFFF" w:themeFill="background1"/>
        </w:rPr>
      </w:pPr>
      <w:r>
        <w:rPr>
          <w:rFonts w:eastAsia="Arial Unicode MS" w:cs="Calibri"/>
          <w:sz w:val="24"/>
          <w:szCs w:val="24"/>
        </w:rPr>
        <w:t xml:space="preserve">Os valores de alocação de recursos na </w:t>
      </w:r>
      <w:r w:rsidR="005F4B6C">
        <w:rPr>
          <w:rFonts w:eastAsia="Arial Unicode MS" w:cs="Calibri"/>
          <w:sz w:val="24"/>
          <w:szCs w:val="24"/>
        </w:rPr>
        <w:t xml:space="preserve">programação do Plano de Ação </w:t>
      </w:r>
      <w:r w:rsidR="00C4693E">
        <w:rPr>
          <w:rFonts w:eastAsia="Arial Unicode MS" w:cs="Calibri"/>
          <w:sz w:val="24"/>
          <w:szCs w:val="24"/>
        </w:rPr>
        <w:t>20</w:t>
      </w:r>
      <w:r w:rsidR="000C6093">
        <w:rPr>
          <w:rFonts w:eastAsia="Arial Unicode MS" w:cs="Calibri"/>
          <w:sz w:val="24"/>
          <w:szCs w:val="24"/>
        </w:rPr>
        <w:t>2</w:t>
      </w:r>
      <w:r w:rsidR="0092756C">
        <w:rPr>
          <w:rFonts w:eastAsia="Arial Unicode MS" w:cs="Calibri"/>
          <w:sz w:val="24"/>
          <w:szCs w:val="24"/>
        </w:rPr>
        <w:t>4</w:t>
      </w:r>
      <w:r w:rsidR="00953D9D">
        <w:rPr>
          <w:rFonts w:eastAsia="Arial Unicode MS" w:cs="Calibri"/>
          <w:sz w:val="24"/>
          <w:szCs w:val="24"/>
        </w:rPr>
        <w:t xml:space="preserve">, </w:t>
      </w:r>
      <w:r w:rsidR="002C2E47">
        <w:rPr>
          <w:rFonts w:eastAsia="Arial Unicode MS" w:cs="Calibri"/>
          <w:sz w:val="24"/>
          <w:szCs w:val="24"/>
        </w:rPr>
        <w:t xml:space="preserve">calculados com </w:t>
      </w:r>
      <w:r w:rsidR="00706E38">
        <w:rPr>
          <w:rFonts w:eastAsia="Arial Unicode MS" w:cs="Calibri"/>
          <w:sz w:val="24"/>
          <w:szCs w:val="24"/>
        </w:rPr>
        <w:t xml:space="preserve">base na </w:t>
      </w:r>
      <w:r w:rsidR="002C2E47">
        <w:rPr>
          <w:rFonts w:eastAsia="Arial Unicode MS" w:cs="Calibri"/>
          <w:sz w:val="24"/>
          <w:szCs w:val="24"/>
        </w:rPr>
        <w:t>R</w:t>
      </w:r>
      <w:r w:rsidR="00706E38">
        <w:rPr>
          <w:rFonts w:eastAsia="Arial Unicode MS" w:cs="Calibri"/>
          <w:sz w:val="24"/>
          <w:szCs w:val="24"/>
        </w:rPr>
        <w:t xml:space="preserve">eceita de </w:t>
      </w:r>
      <w:r w:rsidR="002C2E47">
        <w:rPr>
          <w:rFonts w:eastAsia="Arial Unicode MS" w:cs="Calibri"/>
          <w:sz w:val="24"/>
          <w:szCs w:val="24"/>
        </w:rPr>
        <w:t>A</w:t>
      </w:r>
      <w:r w:rsidR="00706E38">
        <w:rPr>
          <w:rFonts w:eastAsia="Arial Unicode MS" w:cs="Calibri"/>
          <w:sz w:val="24"/>
          <w:szCs w:val="24"/>
        </w:rPr>
        <w:t xml:space="preserve">rrecadação </w:t>
      </w:r>
      <w:r w:rsidR="002C2E47">
        <w:rPr>
          <w:rFonts w:eastAsia="Arial Unicode MS" w:cs="Calibri"/>
          <w:sz w:val="24"/>
          <w:szCs w:val="24"/>
        </w:rPr>
        <w:t>L</w:t>
      </w:r>
      <w:r w:rsidR="00706E38">
        <w:rPr>
          <w:rFonts w:eastAsia="Arial Unicode MS" w:cs="Calibri"/>
          <w:sz w:val="24"/>
          <w:szCs w:val="24"/>
        </w:rPr>
        <w:t>íquida (RAL)</w:t>
      </w:r>
      <w:r w:rsidR="002C2E47">
        <w:rPr>
          <w:rFonts w:eastAsia="Arial Unicode MS" w:cs="Calibri"/>
          <w:sz w:val="24"/>
          <w:szCs w:val="24"/>
        </w:rPr>
        <w:t xml:space="preserve">, que consiste no </w:t>
      </w:r>
      <w:r w:rsidR="006B7E5C">
        <w:rPr>
          <w:rFonts w:eastAsia="Arial Unicode MS" w:cs="Calibri"/>
          <w:b/>
          <w:bCs/>
          <w:sz w:val="24"/>
          <w:szCs w:val="24"/>
          <w:shd w:val="clear" w:color="auto" w:fill="FFFFFF" w:themeFill="background1"/>
        </w:rPr>
        <w:t>total das receitas de arrecadação (anuidades do exercício e exercícios anteriores, RRT e taxas e multas)</w:t>
      </w:r>
      <w:r w:rsidR="002C2E47">
        <w:rPr>
          <w:rFonts w:eastAsia="Arial Unicode MS" w:cs="Calibri"/>
          <w:b/>
          <w:bCs/>
          <w:sz w:val="24"/>
          <w:szCs w:val="24"/>
          <w:shd w:val="clear" w:color="auto" w:fill="FFFFFF" w:themeFill="background1"/>
        </w:rPr>
        <w:t>, somados, no caso dos CAU Básicos, a</w:t>
      </w:r>
      <w:r w:rsidR="006B7E5C">
        <w:rPr>
          <w:rFonts w:eastAsia="Arial Unicode MS" w:cs="Calibri"/>
          <w:b/>
          <w:bCs/>
          <w:sz w:val="24"/>
          <w:szCs w:val="24"/>
          <w:shd w:val="clear" w:color="auto" w:fill="FFFFFF" w:themeFill="background1"/>
        </w:rPr>
        <w:t>os recursos oriundos do Fundo de Apoio,</w:t>
      </w:r>
      <w:r w:rsidR="002C2E47">
        <w:rPr>
          <w:rFonts w:eastAsia="Arial Unicode MS" w:cs="Calibri"/>
          <w:b/>
          <w:bCs/>
          <w:sz w:val="24"/>
          <w:szCs w:val="24"/>
          <w:shd w:val="clear" w:color="auto" w:fill="FFFFFF" w:themeFill="background1"/>
        </w:rPr>
        <w:t xml:space="preserve"> e </w:t>
      </w:r>
      <w:r w:rsidR="006B7E5C">
        <w:rPr>
          <w:rFonts w:eastAsia="Arial Unicode MS" w:cs="Calibri"/>
          <w:b/>
          <w:bCs/>
          <w:sz w:val="24"/>
          <w:szCs w:val="24"/>
          <w:shd w:val="clear" w:color="auto" w:fill="FFFFFF" w:themeFill="background1"/>
        </w:rPr>
        <w:t>deduzido</w:t>
      </w:r>
      <w:r w:rsidR="002C2E47">
        <w:rPr>
          <w:rFonts w:eastAsia="Arial Unicode MS" w:cs="Calibri"/>
          <w:b/>
          <w:bCs/>
          <w:sz w:val="24"/>
          <w:szCs w:val="24"/>
          <w:shd w:val="clear" w:color="auto" w:fill="FFFFFF" w:themeFill="background1"/>
        </w:rPr>
        <w:t xml:space="preserve">s </w:t>
      </w:r>
      <w:r w:rsidR="006B7E5C">
        <w:rPr>
          <w:rFonts w:eastAsia="Arial Unicode MS" w:cs="Calibri"/>
          <w:b/>
          <w:bCs/>
          <w:sz w:val="24"/>
          <w:szCs w:val="24"/>
          <w:shd w:val="clear" w:color="auto" w:fill="FFFFFF" w:themeFill="background1"/>
        </w:rPr>
        <w:t>o</w:t>
      </w:r>
      <w:r w:rsidR="002C2E47">
        <w:rPr>
          <w:rFonts w:eastAsia="Arial Unicode MS" w:cs="Calibri"/>
          <w:b/>
          <w:bCs/>
          <w:sz w:val="24"/>
          <w:szCs w:val="24"/>
          <w:shd w:val="clear" w:color="auto" w:fill="FFFFFF" w:themeFill="background1"/>
        </w:rPr>
        <w:t>s</w:t>
      </w:r>
      <w:r w:rsidR="006B7E5C">
        <w:rPr>
          <w:rFonts w:eastAsia="Arial Unicode MS" w:cs="Calibri"/>
          <w:b/>
          <w:bCs/>
          <w:sz w:val="24"/>
          <w:szCs w:val="24"/>
          <w:shd w:val="clear" w:color="auto" w:fill="FFFFFF" w:themeFill="background1"/>
        </w:rPr>
        <w:t xml:space="preserve"> valor</w:t>
      </w:r>
      <w:r w:rsidR="002C2E47">
        <w:rPr>
          <w:rFonts w:eastAsia="Arial Unicode MS" w:cs="Calibri"/>
          <w:b/>
          <w:bCs/>
          <w:sz w:val="24"/>
          <w:szCs w:val="24"/>
          <w:shd w:val="clear" w:color="auto" w:fill="FFFFFF" w:themeFill="background1"/>
        </w:rPr>
        <w:t>es</w:t>
      </w:r>
      <w:r w:rsidR="006B7E5C">
        <w:rPr>
          <w:rFonts w:eastAsia="Arial Unicode MS" w:cs="Calibri"/>
          <w:b/>
          <w:bCs/>
          <w:sz w:val="24"/>
          <w:szCs w:val="24"/>
          <w:shd w:val="clear" w:color="auto" w:fill="FFFFFF" w:themeFill="background1"/>
        </w:rPr>
        <w:t xml:space="preserve"> do aporte destinado ao Fundo de Apoio,</w:t>
      </w:r>
      <w:r w:rsidR="00427A68">
        <w:rPr>
          <w:rFonts w:eastAsia="Arial Unicode MS" w:cs="Calibri"/>
          <w:b/>
          <w:bCs/>
          <w:sz w:val="24"/>
          <w:szCs w:val="24"/>
          <w:shd w:val="clear" w:color="auto" w:fill="FFFFFF" w:themeFill="background1"/>
        </w:rPr>
        <w:t xml:space="preserve"> deverão</w:t>
      </w:r>
      <w:r w:rsidR="002C2E47">
        <w:rPr>
          <w:rFonts w:eastAsia="Arial Unicode MS" w:cs="Calibri"/>
          <w:b/>
          <w:bCs/>
          <w:sz w:val="24"/>
          <w:szCs w:val="24"/>
          <w:shd w:val="clear" w:color="auto" w:fill="FFFFFF" w:themeFill="background1"/>
        </w:rPr>
        <w:t xml:space="preserve"> obedecer aos seguintes limites: </w:t>
      </w:r>
    </w:p>
    <w:p w14:paraId="130D8834" w14:textId="6805AE57" w:rsidR="00384574" w:rsidRDefault="00384574" w:rsidP="00384574">
      <w:pPr>
        <w:spacing w:line="360" w:lineRule="auto"/>
        <w:ind w:left="850" w:firstLine="1"/>
        <w:jc w:val="both"/>
        <w:rPr>
          <w:rFonts w:eastAsia="Arial Unicode MS" w:cs="Calibri"/>
          <w:b/>
          <w:bCs/>
          <w:sz w:val="24"/>
          <w:szCs w:val="24"/>
          <w:shd w:val="clear" w:color="auto" w:fill="FFFFFF" w:themeFill="background1"/>
        </w:rPr>
      </w:pPr>
      <w:r>
        <w:rPr>
          <w:rFonts w:eastAsia="Arial Unicode MS" w:cs="Calibri"/>
          <w:b/>
          <w:bCs/>
          <w:sz w:val="24"/>
          <w:szCs w:val="24"/>
          <w:shd w:val="clear" w:color="auto" w:fill="FFFFFF" w:themeFill="background1"/>
        </w:rPr>
        <w:t>3.1.1 Limites obrigatórios:</w:t>
      </w:r>
    </w:p>
    <w:p w14:paraId="285B5D7A" w14:textId="72ADD671" w:rsidR="006B7E5C" w:rsidRPr="00855F9D" w:rsidRDefault="00347D65" w:rsidP="00E94498">
      <w:pPr>
        <w:pStyle w:val="PargrafodaLista"/>
        <w:numPr>
          <w:ilvl w:val="0"/>
          <w:numId w:val="24"/>
        </w:numPr>
        <w:spacing w:line="360" w:lineRule="auto"/>
        <w:ind w:left="1134" w:hanging="283"/>
        <w:jc w:val="both"/>
        <w:rPr>
          <w:rFonts w:eastAsia="Arial Unicode MS" w:cs="Calibri"/>
          <w:sz w:val="24"/>
          <w:szCs w:val="24"/>
        </w:rPr>
      </w:pPr>
      <w:r>
        <w:rPr>
          <w:rFonts w:eastAsia="Arial Unicode MS" w:cs="Calibri"/>
          <w:b/>
          <w:sz w:val="24"/>
          <w:szCs w:val="24"/>
          <w:shd w:val="clear" w:color="auto" w:fill="FFFFFF" w:themeFill="background1"/>
        </w:rPr>
        <w:t xml:space="preserve">o </w:t>
      </w:r>
      <w:r w:rsidR="006B7E5C">
        <w:rPr>
          <w:rFonts w:eastAsia="Arial Unicode MS" w:cs="Calibri"/>
          <w:b/>
          <w:sz w:val="24"/>
          <w:szCs w:val="24"/>
          <w:shd w:val="clear" w:color="auto" w:fill="FFFFFF" w:themeFill="background1"/>
        </w:rPr>
        <w:t>mínimo</w:t>
      </w:r>
      <w:r w:rsidR="001F2848">
        <w:rPr>
          <w:rFonts w:eastAsia="Arial Unicode MS" w:cs="Calibri"/>
          <w:b/>
          <w:sz w:val="24"/>
          <w:szCs w:val="24"/>
          <w:shd w:val="clear" w:color="auto" w:fill="FFFFFF" w:themeFill="background1"/>
        </w:rPr>
        <w:t xml:space="preserve"> </w:t>
      </w:r>
      <w:r w:rsidR="006B7E5C" w:rsidRPr="00855F9D">
        <w:rPr>
          <w:rFonts w:eastAsia="Arial Unicode MS" w:cs="Calibri"/>
          <w:b/>
          <w:sz w:val="24"/>
          <w:szCs w:val="24"/>
          <w:shd w:val="clear" w:color="auto" w:fill="FFFFFF" w:themeFill="background1"/>
        </w:rPr>
        <w:t xml:space="preserve">de </w:t>
      </w:r>
      <w:r w:rsidR="0035425A" w:rsidRPr="00855F9D">
        <w:rPr>
          <w:rFonts w:eastAsia="Arial Unicode MS" w:cs="Calibri"/>
          <w:b/>
          <w:sz w:val="24"/>
          <w:szCs w:val="24"/>
          <w:shd w:val="clear" w:color="auto" w:fill="FFFFFF" w:themeFill="background1"/>
        </w:rPr>
        <w:t>2</w:t>
      </w:r>
      <w:r w:rsidR="006B7E5C" w:rsidRPr="00855F9D">
        <w:rPr>
          <w:rFonts w:eastAsia="Arial Unicode MS" w:cs="Calibri"/>
          <w:b/>
          <w:sz w:val="24"/>
          <w:szCs w:val="24"/>
          <w:shd w:val="clear" w:color="auto" w:fill="FFFFFF" w:themeFill="background1"/>
        </w:rPr>
        <w:t xml:space="preserve">5% </w:t>
      </w:r>
      <w:r w:rsidR="006B7E5C" w:rsidRPr="00855F9D">
        <w:rPr>
          <w:rFonts w:eastAsia="Arial Unicode MS" w:cs="Calibri"/>
          <w:bCs/>
          <w:sz w:val="24"/>
          <w:szCs w:val="24"/>
          <w:shd w:val="clear" w:color="auto" w:fill="FFFFFF" w:themeFill="background1"/>
        </w:rPr>
        <w:t>(</w:t>
      </w:r>
      <w:r w:rsidR="00605530" w:rsidRPr="00855F9D">
        <w:rPr>
          <w:rFonts w:eastAsia="Arial Unicode MS" w:cs="Calibri"/>
          <w:bCs/>
          <w:sz w:val="24"/>
          <w:szCs w:val="24"/>
          <w:shd w:val="clear" w:color="auto" w:fill="FFFFFF" w:themeFill="background1"/>
        </w:rPr>
        <w:t>vinte e cinco</w:t>
      </w:r>
      <w:r w:rsidR="006B7E5C" w:rsidRPr="00855F9D">
        <w:rPr>
          <w:rFonts w:eastAsia="Arial Unicode MS" w:cs="Calibri"/>
          <w:bCs/>
          <w:sz w:val="24"/>
          <w:szCs w:val="24"/>
          <w:shd w:val="clear" w:color="auto" w:fill="FFFFFF" w:themeFill="background1"/>
        </w:rPr>
        <w:t xml:space="preserve"> por cento)</w:t>
      </w:r>
      <w:r w:rsidR="00706E38" w:rsidRPr="00855F9D">
        <w:rPr>
          <w:rFonts w:eastAsia="Arial Unicode MS" w:cs="Calibri"/>
          <w:bCs/>
          <w:sz w:val="24"/>
          <w:szCs w:val="24"/>
          <w:shd w:val="clear" w:color="auto" w:fill="FFFFFF" w:themeFill="background1"/>
        </w:rPr>
        <w:t xml:space="preserve"> da RAL</w:t>
      </w:r>
      <w:r w:rsidR="00427A68" w:rsidRPr="00855F9D">
        <w:rPr>
          <w:rFonts w:eastAsia="Arial Unicode MS" w:cs="Calibri"/>
          <w:bCs/>
          <w:sz w:val="24"/>
          <w:szCs w:val="24"/>
          <w:shd w:val="clear" w:color="auto" w:fill="FFFFFF" w:themeFill="background1"/>
        </w:rPr>
        <w:t xml:space="preserve"> para </w:t>
      </w:r>
      <w:r w:rsidR="006B7E5C" w:rsidRPr="00855F9D">
        <w:rPr>
          <w:rFonts w:eastAsia="Arial Unicode MS" w:cs="Calibri"/>
          <w:sz w:val="24"/>
          <w:szCs w:val="24"/>
        </w:rPr>
        <w:t>iniciativas</w:t>
      </w:r>
      <w:r w:rsidR="00427A68" w:rsidRPr="00855F9D">
        <w:rPr>
          <w:rFonts w:eastAsia="Arial Unicode MS" w:cs="Calibri"/>
          <w:sz w:val="24"/>
          <w:szCs w:val="24"/>
        </w:rPr>
        <w:t xml:space="preserve"> vinculadas </w:t>
      </w:r>
      <w:r w:rsidR="006B7E5C" w:rsidRPr="00855F9D">
        <w:rPr>
          <w:rFonts w:eastAsia="Arial Unicode MS" w:cs="Calibri"/>
          <w:sz w:val="24"/>
          <w:szCs w:val="24"/>
        </w:rPr>
        <w:t>ao objetivo</w:t>
      </w:r>
      <w:r w:rsidR="00427A68" w:rsidRPr="00855F9D">
        <w:rPr>
          <w:rFonts w:eastAsia="Arial Unicode MS" w:cs="Calibri"/>
          <w:sz w:val="24"/>
          <w:szCs w:val="24"/>
        </w:rPr>
        <w:t xml:space="preserve"> estratégico de </w:t>
      </w:r>
      <w:r w:rsidR="006B7E5C" w:rsidRPr="00855F9D">
        <w:rPr>
          <w:rFonts w:eastAsia="Arial Unicode MS" w:cs="Calibri"/>
          <w:bCs/>
          <w:i/>
          <w:iCs/>
          <w:sz w:val="24"/>
          <w:szCs w:val="24"/>
        </w:rPr>
        <w:t xml:space="preserve">"Tornar a </w:t>
      </w:r>
      <w:r w:rsidR="00953D9D" w:rsidRPr="00855F9D">
        <w:rPr>
          <w:rFonts w:eastAsia="Arial Unicode MS" w:cs="Calibri"/>
          <w:b/>
          <w:i/>
          <w:iCs/>
          <w:sz w:val="24"/>
          <w:szCs w:val="24"/>
        </w:rPr>
        <w:t>FISCALIZAÇÃO</w:t>
      </w:r>
      <w:r w:rsidR="006B7E5C" w:rsidRPr="00855F9D">
        <w:rPr>
          <w:rFonts w:eastAsia="Arial Unicode MS" w:cs="Calibri"/>
          <w:bCs/>
          <w:i/>
          <w:iCs/>
          <w:sz w:val="24"/>
          <w:szCs w:val="24"/>
        </w:rPr>
        <w:t xml:space="preserve"> um vetor de melhoria do exercício da Arquitetura e Urbanismo"</w:t>
      </w:r>
      <w:r w:rsidR="006B7E5C" w:rsidRPr="00855F9D">
        <w:rPr>
          <w:rFonts w:eastAsia="Arial Unicode MS" w:cs="Calibri"/>
          <w:sz w:val="24"/>
          <w:szCs w:val="24"/>
        </w:rPr>
        <w:t>;</w:t>
      </w:r>
    </w:p>
    <w:p w14:paraId="6D292186" w14:textId="51C43671" w:rsidR="00384574" w:rsidRPr="00953D9D" w:rsidRDefault="00384574" w:rsidP="00E94498">
      <w:pPr>
        <w:pStyle w:val="PargrafodaLista"/>
        <w:numPr>
          <w:ilvl w:val="0"/>
          <w:numId w:val="24"/>
        </w:numPr>
        <w:spacing w:line="360" w:lineRule="auto"/>
        <w:ind w:left="1134" w:hanging="283"/>
        <w:jc w:val="both"/>
        <w:rPr>
          <w:rFonts w:eastAsia="Arial Unicode MS" w:cs="Calibri"/>
          <w:bCs/>
          <w:i/>
          <w:iCs/>
          <w:sz w:val="24"/>
          <w:szCs w:val="24"/>
        </w:rPr>
      </w:pPr>
      <w:r w:rsidRPr="00855F9D">
        <w:rPr>
          <w:rFonts w:eastAsia="Arial Unicode MS" w:cs="Calibri"/>
          <w:b/>
          <w:bCs/>
          <w:sz w:val="24"/>
          <w:szCs w:val="24"/>
        </w:rPr>
        <w:t>o</w:t>
      </w:r>
      <w:r w:rsidRPr="00855F9D">
        <w:rPr>
          <w:rFonts w:eastAsia="Arial Unicode MS" w:cs="Calibri"/>
          <w:sz w:val="24"/>
          <w:szCs w:val="24"/>
        </w:rPr>
        <w:t xml:space="preserve"> </w:t>
      </w:r>
      <w:r w:rsidRPr="00855F9D">
        <w:rPr>
          <w:rFonts w:eastAsia="Arial Unicode MS" w:cs="Calibri"/>
          <w:b/>
          <w:sz w:val="24"/>
          <w:szCs w:val="24"/>
        </w:rPr>
        <w:t>mínimo de 3%</w:t>
      </w:r>
      <w:r w:rsidRPr="00855F9D">
        <w:rPr>
          <w:rFonts w:eastAsia="Arial Unicode MS" w:cs="Calibri"/>
          <w:sz w:val="24"/>
          <w:szCs w:val="24"/>
        </w:rPr>
        <w:t xml:space="preserve"> (</w:t>
      </w:r>
      <w:r w:rsidR="00605530" w:rsidRPr="00855F9D">
        <w:rPr>
          <w:rFonts w:eastAsia="Arial Unicode MS" w:cs="Calibri"/>
          <w:sz w:val="24"/>
          <w:szCs w:val="24"/>
        </w:rPr>
        <w:t>três</w:t>
      </w:r>
      <w:r w:rsidRPr="00855F9D">
        <w:rPr>
          <w:rFonts w:eastAsia="Arial Unicode MS" w:cs="Calibri"/>
          <w:sz w:val="24"/>
          <w:szCs w:val="24"/>
        </w:rPr>
        <w:t xml:space="preserve"> </w:t>
      </w:r>
      <w:r>
        <w:rPr>
          <w:rFonts w:eastAsia="Arial Unicode MS" w:cs="Calibri"/>
          <w:sz w:val="24"/>
          <w:szCs w:val="24"/>
        </w:rPr>
        <w:t xml:space="preserve">por cento) </w:t>
      </w:r>
      <w:r>
        <w:rPr>
          <w:rFonts w:eastAsia="Arial Unicode MS" w:cs="Calibri"/>
          <w:bCs/>
          <w:sz w:val="24"/>
          <w:szCs w:val="24"/>
          <w:shd w:val="clear" w:color="auto" w:fill="FFFFFF" w:themeFill="background1"/>
        </w:rPr>
        <w:t xml:space="preserve">da RAL para </w:t>
      </w:r>
      <w:r w:rsidRPr="00953D9D">
        <w:rPr>
          <w:rFonts w:eastAsia="Arial Unicode MS" w:cs="Calibri"/>
          <w:bCs/>
          <w:sz w:val="24"/>
          <w:szCs w:val="24"/>
        </w:rPr>
        <w:t>projeto(s) estratégico(s)</w:t>
      </w:r>
      <w:r>
        <w:rPr>
          <w:rFonts w:eastAsia="Arial Unicode MS" w:cs="Calibri"/>
          <w:sz w:val="24"/>
          <w:szCs w:val="24"/>
        </w:rPr>
        <w:t xml:space="preserve"> de </w:t>
      </w:r>
      <w:r>
        <w:rPr>
          <w:rFonts w:eastAsia="Arial Unicode MS" w:cs="Calibri"/>
          <w:b/>
          <w:sz w:val="24"/>
          <w:szCs w:val="24"/>
        </w:rPr>
        <w:t>ASSISTÊNCIA TÉCNICA EM HABITAÇÕES DE INTERESSE SOCIAL – ATHIS</w:t>
      </w:r>
      <w:r>
        <w:rPr>
          <w:rFonts w:eastAsia="Arial Unicode MS" w:cs="Calibri"/>
          <w:sz w:val="24"/>
          <w:szCs w:val="24"/>
        </w:rPr>
        <w:t xml:space="preserve">, vinculadas ao objetivo estratégico de </w:t>
      </w:r>
      <w:r w:rsidRPr="00953D9D">
        <w:rPr>
          <w:rFonts w:eastAsia="Arial Unicode MS" w:cs="Calibri"/>
          <w:bCs/>
          <w:i/>
          <w:iCs/>
          <w:sz w:val="24"/>
          <w:szCs w:val="24"/>
        </w:rPr>
        <w:t xml:space="preserve">“Fomentar o acesso da sociedade à arquitetura e urbanismo”. </w:t>
      </w:r>
    </w:p>
    <w:p w14:paraId="5DF7F362" w14:textId="77777777" w:rsidR="00384574" w:rsidRDefault="00384574" w:rsidP="002054DA">
      <w:pPr>
        <w:spacing w:line="360" w:lineRule="auto"/>
        <w:ind w:left="1134"/>
        <w:jc w:val="both"/>
        <w:rPr>
          <w:rFonts w:eastAsia="Arial Unicode MS" w:cs="Calibri"/>
          <w:sz w:val="24"/>
          <w:szCs w:val="24"/>
        </w:rPr>
      </w:pPr>
      <w:r w:rsidRPr="00347D65">
        <w:rPr>
          <w:rFonts w:eastAsia="Arial Unicode MS" w:cs="Calibri"/>
          <w:sz w:val="24"/>
          <w:szCs w:val="24"/>
        </w:rPr>
        <w:t>Os projetos</w:t>
      </w:r>
      <w:r>
        <w:rPr>
          <w:rFonts w:eastAsia="Arial Unicode MS" w:cs="Calibri"/>
          <w:sz w:val="24"/>
          <w:szCs w:val="24"/>
        </w:rPr>
        <w:t xml:space="preserve"> estratégicos de ATHIS</w:t>
      </w:r>
      <w:r w:rsidRPr="00347D65">
        <w:rPr>
          <w:rFonts w:eastAsia="Arial Unicode MS" w:cs="Calibri"/>
          <w:sz w:val="24"/>
          <w:szCs w:val="24"/>
        </w:rPr>
        <w:t xml:space="preserve"> devem observar os seguintes parâmetros e objetivos</w:t>
      </w:r>
      <w:r>
        <w:rPr>
          <w:rFonts w:eastAsia="Arial Unicode MS" w:cs="Calibri"/>
          <w:sz w:val="24"/>
          <w:szCs w:val="24"/>
        </w:rPr>
        <w:t>:</w:t>
      </w:r>
    </w:p>
    <w:p w14:paraId="0C40F16A" w14:textId="77777777" w:rsidR="00384574" w:rsidRDefault="00384574" w:rsidP="00E94498">
      <w:pPr>
        <w:pStyle w:val="PargrafodaLista"/>
        <w:numPr>
          <w:ilvl w:val="0"/>
          <w:numId w:val="32"/>
        </w:numPr>
        <w:spacing w:line="360" w:lineRule="auto"/>
        <w:jc w:val="both"/>
        <w:rPr>
          <w:rFonts w:eastAsia="Arial Unicode MS" w:cs="Calibri"/>
          <w:sz w:val="24"/>
          <w:szCs w:val="24"/>
        </w:rPr>
      </w:pPr>
      <w:r w:rsidRPr="00347D65">
        <w:rPr>
          <w:rFonts w:eastAsia="Arial Unicode MS" w:cs="Calibri"/>
          <w:sz w:val="24"/>
          <w:szCs w:val="24"/>
        </w:rPr>
        <w:t>promover a</w:t>
      </w:r>
      <w:r w:rsidRPr="0076112A">
        <w:rPr>
          <w:rFonts w:eastAsia="Arial Unicode MS" w:cs="Calibri"/>
          <w:b/>
          <w:bCs/>
          <w:sz w:val="24"/>
          <w:szCs w:val="24"/>
        </w:rPr>
        <w:t xml:space="preserve"> produção de conhec</w:t>
      </w:r>
      <w:r w:rsidRPr="000A768F">
        <w:rPr>
          <w:rFonts w:eastAsia="Arial Unicode MS" w:cs="Calibri"/>
          <w:b/>
          <w:bCs/>
          <w:sz w:val="24"/>
          <w:szCs w:val="24"/>
        </w:rPr>
        <w:t xml:space="preserve">imento </w:t>
      </w:r>
      <w:r w:rsidRPr="00347D65">
        <w:rPr>
          <w:rFonts w:eastAsia="Arial Unicode MS" w:cs="Calibri"/>
          <w:sz w:val="24"/>
          <w:szCs w:val="24"/>
        </w:rPr>
        <w:t>que oriente o exercício profissional e o seu aperfeiçoamento;</w:t>
      </w:r>
    </w:p>
    <w:p w14:paraId="327A17D2" w14:textId="77777777" w:rsidR="00384574" w:rsidRDefault="00384574" w:rsidP="00E94498">
      <w:pPr>
        <w:pStyle w:val="PargrafodaLista"/>
        <w:numPr>
          <w:ilvl w:val="0"/>
          <w:numId w:val="32"/>
        </w:numPr>
        <w:spacing w:line="360" w:lineRule="auto"/>
        <w:jc w:val="both"/>
        <w:rPr>
          <w:rFonts w:eastAsia="Arial Unicode MS" w:cs="Calibri"/>
          <w:sz w:val="24"/>
          <w:szCs w:val="24"/>
        </w:rPr>
      </w:pPr>
      <w:r w:rsidRPr="00347D65">
        <w:rPr>
          <w:rFonts w:eastAsia="Arial Unicode MS" w:cs="Calibri"/>
          <w:sz w:val="24"/>
          <w:szCs w:val="24"/>
        </w:rPr>
        <w:t xml:space="preserve">promover o </w:t>
      </w:r>
      <w:r w:rsidRPr="0076112A">
        <w:rPr>
          <w:rFonts w:eastAsia="Arial Unicode MS" w:cs="Calibri"/>
          <w:b/>
          <w:bCs/>
          <w:sz w:val="24"/>
          <w:szCs w:val="24"/>
        </w:rPr>
        <w:t>desenvolvimento e o fortalecimento do ensino e do exercício profissional</w:t>
      </w:r>
      <w:r w:rsidRPr="00347D65">
        <w:rPr>
          <w:rFonts w:eastAsia="Arial Unicode MS" w:cs="Calibri"/>
          <w:sz w:val="24"/>
          <w:szCs w:val="24"/>
        </w:rPr>
        <w:t xml:space="preserve"> da Arquitetura e Urbanismo;</w:t>
      </w:r>
    </w:p>
    <w:p w14:paraId="10F0A27E" w14:textId="77777777" w:rsidR="00384574" w:rsidRDefault="00384574" w:rsidP="00E94498">
      <w:pPr>
        <w:pStyle w:val="PargrafodaLista"/>
        <w:numPr>
          <w:ilvl w:val="0"/>
          <w:numId w:val="32"/>
        </w:numPr>
        <w:spacing w:line="360" w:lineRule="auto"/>
        <w:jc w:val="both"/>
        <w:rPr>
          <w:rFonts w:eastAsia="Arial Unicode MS" w:cs="Calibri"/>
          <w:sz w:val="24"/>
          <w:szCs w:val="24"/>
        </w:rPr>
      </w:pPr>
      <w:r w:rsidRPr="00347D65">
        <w:rPr>
          <w:rFonts w:eastAsia="Arial Unicode MS" w:cs="Calibri"/>
          <w:sz w:val="24"/>
          <w:szCs w:val="24"/>
        </w:rPr>
        <w:t xml:space="preserve">promover a </w:t>
      </w:r>
      <w:r w:rsidRPr="0076112A">
        <w:rPr>
          <w:rFonts w:eastAsia="Arial Unicode MS" w:cs="Calibri"/>
          <w:b/>
          <w:bCs/>
          <w:sz w:val="24"/>
          <w:szCs w:val="24"/>
        </w:rPr>
        <w:t>produção e disseminação de material técnico-profissional</w:t>
      </w:r>
      <w:r w:rsidRPr="00347D65">
        <w:rPr>
          <w:rFonts w:eastAsia="Arial Unicode MS" w:cs="Calibri"/>
          <w:sz w:val="24"/>
          <w:szCs w:val="24"/>
        </w:rPr>
        <w:t xml:space="preserve"> de interesse da Arquitetura e Urbanismo;</w:t>
      </w:r>
    </w:p>
    <w:p w14:paraId="7A966F05" w14:textId="77777777" w:rsidR="00384574" w:rsidRDefault="00384574" w:rsidP="00E94498">
      <w:pPr>
        <w:pStyle w:val="PargrafodaLista"/>
        <w:numPr>
          <w:ilvl w:val="0"/>
          <w:numId w:val="32"/>
        </w:numPr>
        <w:spacing w:line="360" w:lineRule="auto"/>
        <w:jc w:val="both"/>
        <w:rPr>
          <w:rFonts w:eastAsia="Arial Unicode MS" w:cs="Calibri"/>
          <w:sz w:val="24"/>
          <w:szCs w:val="24"/>
        </w:rPr>
      </w:pPr>
      <w:r>
        <w:rPr>
          <w:rFonts w:eastAsia="Arial Unicode MS" w:cs="Calibri"/>
          <w:sz w:val="24"/>
          <w:szCs w:val="24"/>
        </w:rPr>
        <w:t>s</w:t>
      </w:r>
      <w:r w:rsidRPr="00347D65">
        <w:rPr>
          <w:rFonts w:eastAsia="Arial Unicode MS" w:cs="Calibri"/>
          <w:sz w:val="24"/>
          <w:szCs w:val="24"/>
        </w:rPr>
        <w:t xml:space="preserve">ensibilizar, informar, educar e </w:t>
      </w:r>
      <w:r w:rsidRPr="0076112A">
        <w:rPr>
          <w:rFonts w:eastAsia="Arial Unicode MS" w:cs="Calibri"/>
          <w:b/>
          <w:bCs/>
          <w:sz w:val="24"/>
          <w:szCs w:val="24"/>
        </w:rPr>
        <w:t>difundir conhecimentos e/ou troca de experiências</w:t>
      </w:r>
      <w:r w:rsidRPr="00347D65">
        <w:rPr>
          <w:rFonts w:eastAsia="Arial Unicode MS" w:cs="Calibri"/>
          <w:sz w:val="24"/>
          <w:szCs w:val="24"/>
        </w:rPr>
        <w:t xml:space="preserve"> com vista ao desenvolvimento, modernização e fortalecimento da Arquitetura e Urbanismo;</w:t>
      </w:r>
    </w:p>
    <w:p w14:paraId="782E1C4F" w14:textId="77777777" w:rsidR="00384574" w:rsidRDefault="00384574" w:rsidP="00E94498">
      <w:pPr>
        <w:pStyle w:val="PargrafodaLista"/>
        <w:numPr>
          <w:ilvl w:val="0"/>
          <w:numId w:val="32"/>
        </w:numPr>
        <w:spacing w:line="360" w:lineRule="auto"/>
        <w:jc w:val="both"/>
        <w:rPr>
          <w:rFonts w:eastAsia="Arial Unicode MS" w:cs="Calibri"/>
          <w:sz w:val="24"/>
          <w:szCs w:val="24"/>
        </w:rPr>
      </w:pPr>
      <w:r w:rsidRPr="00347D65">
        <w:rPr>
          <w:rFonts w:eastAsia="Arial Unicode MS" w:cs="Calibri"/>
          <w:sz w:val="24"/>
          <w:szCs w:val="24"/>
        </w:rPr>
        <w:t xml:space="preserve">promover a </w:t>
      </w:r>
      <w:r w:rsidRPr="0076112A">
        <w:rPr>
          <w:rFonts w:eastAsia="Arial Unicode MS" w:cs="Calibri"/>
          <w:b/>
          <w:bCs/>
          <w:sz w:val="24"/>
          <w:szCs w:val="24"/>
        </w:rPr>
        <w:t>produção de conhecimento na área</w:t>
      </w:r>
      <w:r w:rsidRPr="00347D65">
        <w:rPr>
          <w:rFonts w:eastAsia="Arial Unicode MS" w:cs="Calibri"/>
          <w:sz w:val="24"/>
          <w:szCs w:val="24"/>
        </w:rPr>
        <w:t xml:space="preserve"> de Assistência Técnica para Habitação de Interesse Social (ATHIS), que oriente o exercício profissional e o seu aperfeiçoamento, dentre outros. </w:t>
      </w:r>
    </w:p>
    <w:p w14:paraId="2570FCF5" w14:textId="77777777" w:rsidR="00605530" w:rsidRPr="00605530" w:rsidRDefault="00605530" w:rsidP="00605530">
      <w:pPr>
        <w:spacing w:line="360" w:lineRule="auto"/>
        <w:ind w:firstLine="567"/>
        <w:jc w:val="both"/>
        <w:rPr>
          <w:rFonts w:eastAsia="Arial Unicode MS" w:cs="Calibri"/>
          <w:sz w:val="24"/>
          <w:szCs w:val="24"/>
        </w:rPr>
      </w:pPr>
      <w:r w:rsidRPr="00605530">
        <w:rPr>
          <w:rFonts w:eastAsia="Arial Unicode MS" w:cs="Calibri"/>
          <w:sz w:val="24"/>
          <w:szCs w:val="24"/>
        </w:rPr>
        <w:t>Para atender ao objetivo estratégico “</w:t>
      </w:r>
      <w:r w:rsidRPr="00605530">
        <w:rPr>
          <w:rFonts w:eastAsia="Arial Unicode MS" w:cs="Calibri"/>
          <w:b/>
          <w:bCs/>
          <w:sz w:val="24"/>
          <w:szCs w:val="24"/>
        </w:rPr>
        <w:t>DESENVOLVER COMPETÊNCIAS</w:t>
      </w:r>
      <w:r w:rsidRPr="00605530">
        <w:rPr>
          <w:rFonts w:eastAsia="Arial Unicode MS" w:cs="Calibri"/>
          <w:sz w:val="24"/>
          <w:szCs w:val="24"/>
        </w:rPr>
        <w:t xml:space="preserve"> </w:t>
      </w:r>
      <w:r w:rsidRPr="00605530">
        <w:rPr>
          <w:rFonts w:eastAsia="Arial Unicode MS" w:cs="Calibri"/>
          <w:i/>
          <w:iCs/>
          <w:sz w:val="24"/>
          <w:szCs w:val="24"/>
        </w:rPr>
        <w:t>de dirigentes e colaboradores</w:t>
      </w:r>
      <w:r w:rsidRPr="00605530">
        <w:rPr>
          <w:rFonts w:eastAsia="Arial Unicode MS" w:cs="Calibri"/>
          <w:sz w:val="24"/>
          <w:szCs w:val="24"/>
        </w:rPr>
        <w:t xml:space="preserve">” deverá ser </w:t>
      </w:r>
      <w:r w:rsidRPr="00855F9D">
        <w:rPr>
          <w:rFonts w:eastAsia="Arial Unicode MS" w:cs="Calibri"/>
          <w:sz w:val="24"/>
          <w:szCs w:val="24"/>
        </w:rPr>
        <w:t xml:space="preserve">destinado </w:t>
      </w:r>
      <w:r w:rsidRPr="00855F9D">
        <w:rPr>
          <w:rFonts w:eastAsia="Arial Unicode MS" w:cs="Calibri"/>
          <w:b/>
          <w:sz w:val="24"/>
          <w:szCs w:val="24"/>
        </w:rPr>
        <w:t>obrigatoriamente o</w:t>
      </w:r>
      <w:r w:rsidRPr="00855F9D">
        <w:rPr>
          <w:rFonts w:eastAsia="Arial Unicode MS" w:cs="Calibri"/>
          <w:sz w:val="24"/>
          <w:szCs w:val="24"/>
        </w:rPr>
        <w:t xml:space="preserve"> </w:t>
      </w:r>
      <w:r w:rsidRPr="00855F9D">
        <w:rPr>
          <w:rFonts w:eastAsia="Arial Unicode MS" w:cs="Calibri"/>
          <w:b/>
          <w:sz w:val="24"/>
          <w:szCs w:val="24"/>
        </w:rPr>
        <w:t>mínimo de 2%</w:t>
      </w:r>
      <w:r w:rsidRPr="00855F9D">
        <w:rPr>
          <w:rFonts w:eastAsia="Arial Unicode MS" w:cs="Calibri"/>
          <w:sz w:val="24"/>
          <w:szCs w:val="24"/>
        </w:rPr>
        <w:t xml:space="preserve"> (dois por cento) do </w:t>
      </w:r>
      <w:r w:rsidRPr="00605530">
        <w:rPr>
          <w:rFonts w:eastAsia="Arial Unicode MS" w:cs="Calibri"/>
          <w:sz w:val="24"/>
          <w:szCs w:val="24"/>
        </w:rPr>
        <w:t xml:space="preserve">valor total das respectivas folhas de pagamento (salários + encargos + benefícios + rescisões), obrigatoriamente </w:t>
      </w:r>
      <w:r w:rsidRPr="00605530">
        <w:rPr>
          <w:rFonts w:eastAsia="Arial Unicode MS" w:cs="Calibri"/>
          <w:b/>
          <w:sz w:val="24"/>
          <w:szCs w:val="24"/>
        </w:rPr>
        <w:t>alocado em ações de CAPACITAÇÃO de conselheiros e colaboradores</w:t>
      </w:r>
      <w:r w:rsidRPr="00605530">
        <w:rPr>
          <w:rFonts w:eastAsia="Arial Unicode MS" w:cs="Calibri"/>
          <w:sz w:val="24"/>
          <w:szCs w:val="24"/>
        </w:rPr>
        <w:t>.</w:t>
      </w:r>
    </w:p>
    <w:p w14:paraId="21D11541" w14:textId="2359BD13" w:rsidR="00384574" w:rsidRDefault="00384574" w:rsidP="00D125D7">
      <w:pPr>
        <w:pStyle w:val="PargrafodaLista"/>
        <w:spacing w:line="360" w:lineRule="auto"/>
        <w:ind w:left="1134"/>
        <w:jc w:val="both"/>
        <w:rPr>
          <w:rFonts w:eastAsia="Arial Unicode MS" w:cs="Calibri"/>
          <w:sz w:val="24"/>
          <w:szCs w:val="24"/>
        </w:rPr>
      </w:pPr>
    </w:p>
    <w:p w14:paraId="7CF1C743" w14:textId="2FE8D42F" w:rsidR="00384574" w:rsidRPr="00384574" w:rsidRDefault="00384574" w:rsidP="00384574">
      <w:pPr>
        <w:spacing w:line="360" w:lineRule="auto"/>
        <w:ind w:left="851"/>
        <w:jc w:val="both"/>
        <w:rPr>
          <w:rFonts w:eastAsia="Arial Unicode MS" w:cs="Calibri"/>
          <w:b/>
          <w:sz w:val="24"/>
          <w:szCs w:val="24"/>
        </w:rPr>
      </w:pPr>
      <w:r w:rsidRPr="00384574">
        <w:rPr>
          <w:rFonts w:eastAsia="Arial Unicode MS" w:cs="Calibri"/>
          <w:b/>
          <w:sz w:val="24"/>
          <w:szCs w:val="24"/>
        </w:rPr>
        <w:t>3.1.2 Limites recomendados:</w:t>
      </w:r>
    </w:p>
    <w:p w14:paraId="541DC937" w14:textId="3B197E3E" w:rsidR="006B7E5C" w:rsidRPr="00953D9D" w:rsidRDefault="00347D65" w:rsidP="00E94498">
      <w:pPr>
        <w:pStyle w:val="PargrafodaLista"/>
        <w:numPr>
          <w:ilvl w:val="0"/>
          <w:numId w:val="24"/>
        </w:numPr>
        <w:spacing w:line="360" w:lineRule="auto"/>
        <w:ind w:left="1134" w:hanging="283"/>
        <w:jc w:val="both"/>
        <w:rPr>
          <w:rFonts w:eastAsia="Arial Unicode MS" w:cs="Calibri"/>
          <w:bCs/>
          <w:sz w:val="24"/>
          <w:szCs w:val="24"/>
        </w:rPr>
      </w:pPr>
      <w:r>
        <w:rPr>
          <w:rFonts w:eastAsia="Arial Unicode MS" w:cs="Calibri"/>
          <w:b/>
          <w:sz w:val="24"/>
          <w:szCs w:val="24"/>
        </w:rPr>
        <w:t xml:space="preserve">o </w:t>
      </w:r>
      <w:r w:rsidR="006B7E5C">
        <w:rPr>
          <w:rFonts w:eastAsia="Arial Unicode MS" w:cs="Calibri"/>
          <w:b/>
          <w:sz w:val="24"/>
          <w:szCs w:val="24"/>
        </w:rPr>
        <w:t>mínimo de 10</w:t>
      </w:r>
      <w:r w:rsidR="00855F9D">
        <w:rPr>
          <w:rFonts w:eastAsia="Arial Unicode MS" w:cs="Calibri"/>
          <w:b/>
          <w:sz w:val="24"/>
          <w:szCs w:val="24"/>
        </w:rPr>
        <w:t>,0</w:t>
      </w:r>
      <w:r w:rsidR="006B7E5C">
        <w:rPr>
          <w:rFonts w:eastAsia="Arial Unicode MS" w:cs="Calibri"/>
          <w:b/>
          <w:sz w:val="24"/>
          <w:szCs w:val="24"/>
        </w:rPr>
        <w:t>%</w:t>
      </w:r>
      <w:r w:rsidR="006B7E5C">
        <w:rPr>
          <w:rFonts w:eastAsia="Arial Unicode MS" w:cs="Calibri"/>
          <w:sz w:val="24"/>
          <w:szCs w:val="24"/>
        </w:rPr>
        <w:t xml:space="preserve"> (dez por cento)</w:t>
      </w:r>
      <w:r w:rsidR="00706E38">
        <w:rPr>
          <w:rFonts w:eastAsia="Arial Unicode MS" w:cs="Calibri"/>
          <w:sz w:val="24"/>
          <w:szCs w:val="24"/>
        </w:rPr>
        <w:t xml:space="preserve"> </w:t>
      </w:r>
      <w:r w:rsidR="00706E38">
        <w:rPr>
          <w:rFonts w:eastAsia="Arial Unicode MS" w:cs="Calibri"/>
          <w:bCs/>
          <w:sz w:val="24"/>
          <w:szCs w:val="24"/>
          <w:shd w:val="clear" w:color="auto" w:fill="FFFFFF" w:themeFill="background1"/>
        </w:rPr>
        <w:t>da RAL</w:t>
      </w:r>
      <w:r w:rsidR="00427A68">
        <w:rPr>
          <w:rFonts w:eastAsia="Arial Unicode MS" w:cs="Calibri"/>
          <w:bCs/>
          <w:sz w:val="24"/>
          <w:szCs w:val="24"/>
          <w:shd w:val="clear" w:color="auto" w:fill="FFFFFF" w:themeFill="background1"/>
        </w:rPr>
        <w:t xml:space="preserve"> para </w:t>
      </w:r>
      <w:r w:rsidR="006B7E5C">
        <w:rPr>
          <w:rFonts w:eastAsia="Arial Unicode MS" w:cs="Calibri"/>
          <w:sz w:val="24"/>
          <w:szCs w:val="24"/>
        </w:rPr>
        <w:t>iniciativas</w:t>
      </w:r>
      <w:r w:rsidR="00427A68">
        <w:rPr>
          <w:rFonts w:eastAsia="Arial Unicode MS" w:cs="Calibri"/>
          <w:sz w:val="24"/>
          <w:szCs w:val="24"/>
        </w:rPr>
        <w:t xml:space="preserve"> vinculadas </w:t>
      </w:r>
      <w:r w:rsidR="006B7E5C">
        <w:rPr>
          <w:rFonts w:eastAsia="Arial Unicode MS" w:cs="Calibri"/>
          <w:sz w:val="24"/>
          <w:szCs w:val="24"/>
        </w:rPr>
        <w:t>ao objetivo estratégico</w:t>
      </w:r>
      <w:r w:rsidR="00427A68">
        <w:rPr>
          <w:rFonts w:eastAsia="Arial Unicode MS" w:cs="Calibri"/>
          <w:sz w:val="24"/>
          <w:szCs w:val="24"/>
        </w:rPr>
        <w:t xml:space="preserve"> de</w:t>
      </w:r>
      <w:r w:rsidR="006B7E5C">
        <w:rPr>
          <w:rFonts w:eastAsia="Arial Unicode MS" w:cs="Calibri"/>
          <w:sz w:val="24"/>
          <w:szCs w:val="24"/>
        </w:rPr>
        <w:t xml:space="preserve"> </w:t>
      </w:r>
      <w:r w:rsidR="006B7E5C" w:rsidRPr="00953D9D">
        <w:rPr>
          <w:rFonts w:eastAsia="Arial Unicode MS" w:cs="Calibri"/>
          <w:bCs/>
          <w:i/>
          <w:iCs/>
          <w:sz w:val="24"/>
          <w:szCs w:val="24"/>
        </w:rPr>
        <w:t xml:space="preserve">"Assegurar a eficácia no </w:t>
      </w:r>
      <w:r w:rsidR="00953D9D" w:rsidRPr="00953D9D">
        <w:rPr>
          <w:rFonts w:eastAsia="Arial Unicode MS" w:cs="Calibri"/>
          <w:b/>
          <w:i/>
          <w:iCs/>
          <w:sz w:val="24"/>
          <w:szCs w:val="24"/>
        </w:rPr>
        <w:t>ATENDIMENTO</w:t>
      </w:r>
      <w:r w:rsidR="006B7E5C" w:rsidRPr="00953D9D">
        <w:rPr>
          <w:rFonts w:eastAsia="Arial Unicode MS" w:cs="Calibri"/>
          <w:bCs/>
          <w:i/>
          <w:iCs/>
          <w:sz w:val="24"/>
          <w:szCs w:val="24"/>
        </w:rPr>
        <w:t xml:space="preserve"> e no </w:t>
      </w:r>
      <w:r w:rsidR="00953D9D" w:rsidRPr="00953D9D">
        <w:rPr>
          <w:rFonts w:eastAsia="Arial Unicode MS" w:cs="Calibri"/>
          <w:b/>
          <w:i/>
          <w:iCs/>
          <w:sz w:val="24"/>
          <w:szCs w:val="24"/>
        </w:rPr>
        <w:t>RELACIONAMENTO</w:t>
      </w:r>
      <w:r w:rsidR="006B7E5C" w:rsidRPr="00953D9D">
        <w:rPr>
          <w:rFonts w:eastAsia="Arial Unicode MS" w:cs="Calibri"/>
          <w:bCs/>
          <w:i/>
          <w:iCs/>
          <w:sz w:val="24"/>
          <w:szCs w:val="24"/>
        </w:rPr>
        <w:t xml:space="preserve"> com os arquitetos e urbanistas e a sociedade"</w:t>
      </w:r>
      <w:r w:rsidR="00953D9D">
        <w:rPr>
          <w:rFonts w:eastAsia="Arial Unicode MS" w:cs="Calibri"/>
          <w:bCs/>
          <w:i/>
          <w:iCs/>
          <w:sz w:val="24"/>
          <w:szCs w:val="24"/>
        </w:rPr>
        <w:t>;</w:t>
      </w:r>
    </w:p>
    <w:p w14:paraId="1BED9C6E" w14:textId="76EF3ECC" w:rsidR="00351E1B" w:rsidRDefault="00347D65" w:rsidP="00E94498">
      <w:pPr>
        <w:pStyle w:val="PargrafodaLista"/>
        <w:numPr>
          <w:ilvl w:val="0"/>
          <w:numId w:val="24"/>
        </w:numPr>
        <w:spacing w:line="360" w:lineRule="auto"/>
        <w:ind w:left="1134" w:hanging="283"/>
        <w:jc w:val="both"/>
        <w:rPr>
          <w:rFonts w:eastAsia="Arial Unicode MS" w:cs="Calibri"/>
          <w:bCs/>
          <w:i/>
          <w:iCs/>
          <w:sz w:val="24"/>
          <w:szCs w:val="24"/>
        </w:rPr>
      </w:pPr>
      <w:r>
        <w:rPr>
          <w:rFonts w:eastAsia="Arial Unicode MS" w:cs="Calibri"/>
          <w:b/>
          <w:sz w:val="24"/>
          <w:szCs w:val="24"/>
        </w:rPr>
        <w:t>o m</w:t>
      </w:r>
      <w:r w:rsidR="006B7E5C">
        <w:rPr>
          <w:rFonts w:eastAsia="Arial Unicode MS" w:cs="Calibri"/>
          <w:b/>
          <w:sz w:val="24"/>
          <w:szCs w:val="24"/>
        </w:rPr>
        <w:t>ínimo de 3</w:t>
      </w:r>
      <w:r w:rsidR="00855F9D">
        <w:rPr>
          <w:rFonts w:eastAsia="Arial Unicode MS" w:cs="Calibri"/>
          <w:b/>
          <w:sz w:val="24"/>
          <w:szCs w:val="24"/>
        </w:rPr>
        <w:t>,0</w:t>
      </w:r>
      <w:r w:rsidR="006B7E5C">
        <w:rPr>
          <w:rFonts w:eastAsia="Arial Unicode MS" w:cs="Calibri"/>
          <w:b/>
          <w:sz w:val="24"/>
          <w:szCs w:val="24"/>
        </w:rPr>
        <w:t>%</w:t>
      </w:r>
      <w:r w:rsidR="006B7E5C">
        <w:rPr>
          <w:rFonts w:eastAsia="Arial Unicode MS" w:cs="Calibri"/>
          <w:sz w:val="24"/>
          <w:szCs w:val="24"/>
        </w:rPr>
        <w:t xml:space="preserve"> (três por cento) </w:t>
      </w:r>
      <w:r w:rsidR="0076077D">
        <w:rPr>
          <w:rFonts w:eastAsia="Arial Unicode MS" w:cs="Calibri"/>
          <w:bCs/>
          <w:sz w:val="24"/>
          <w:szCs w:val="24"/>
          <w:shd w:val="clear" w:color="auto" w:fill="FFFFFF" w:themeFill="background1"/>
        </w:rPr>
        <w:t>da RAL</w:t>
      </w:r>
      <w:r w:rsidR="00427A68">
        <w:rPr>
          <w:rFonts w:eastAsia="Arial Unicode MS" w:cs="Calibri"/>
          <w:bCs/>
          <w:sz w:val="24"/>
          <w:szCs w:val="24"/>
          <w:shd w:val="clear" w:color="auto" w:fill="FFFFFF" w:themeFill="background1"/>
        </w:rPr>
        <w:t xml:space="preserve"> para </w:t>
      </w:r>
      <w:r w:rsidR="006B7E5C">
        <w:rPr>
          <w:rFonts w:eastAsia="Arial Unicode MS" w:cs="Calibri"/>
          <w:sz w:val="24"/>
          <w:szCs w:val="24"/>
        </w:rPr>
        <w:t>iniciativas</w:t>
      </w:r>
      <w:r w:rsidR="00427A68">
        <w:rPr>
          <w:rFonts w:eastAsia="Arial Unicode MS" w:cs="Calibri"/>
          <w:sz w:val="24"/>
          <w:szCs w:val="24"/>
        </w:rPr>
        <w:t xml:space="preserve"> vinculadas ao </w:t>
      </w:r>
      <w:r w:rsidR="006B7E5C">
        <w:rPr>
          <w:rFonts w:eastAsia="Arial Unicode MS" w:cs="Calibri"/>
          <w:sz w:val="24"/>
          <w:szCs w:val="24"/>
        </w:rPr>
        <w:t xml:space="preserve">objetivo estratégico </w:t>
      </w:r>
      <w:r w:rsidR="006B7E5C" w:rsidRPr="00953D9D">
        <w:rPr>
          <w:rFonts w:eastAsia="Arial Unicode MS" w:cs="Calibri"/>
          <w:bCs/>
          <w:i/>
          <w:iCs/>
          <w:sz w:val="24"/>
          <w:szCs w:val="24"/>
        </w:rPr>
        <w:t xml:space="preserve">"Assegurar a eficácia no </w:t>
      </w:r>
      <w:r w:rsidR="00953D9D" w:rsidRPr="00953D9D">
        <w:rPr>
          <w:rFonts w:eastAsia="Arial Unicode MS" w:cs="Calibri"/>
          <w:b/>
          <w:i/>
          <w:iCs/>
          <w:sz w:val="24"/>
          <w:szCs w:val="24"/>
        </w:rPr>
        <w:t>RELACIONAMENTO</w:t>
      </w:r>
      <w:r w:rsidR="00953D9D">
        <w:rPr>
          <w:rFonts w:eastAsia="Arial Unicode MS" w:cs="Calibri"/>
          <w:bCs/>
          <w:i/>
          <w:iCs/>
          <w:sz w:val="24"/>
          <w:szCs w:val="24"/>
        </w:rPr>
        <w:t xml:space="preserve"> </w:t>
      </w:r>
      <w:r w:rsidR="006B7E5C" w:rsidRPr="00953D9D">
        <w:rPr>
          <w:rFonts w:eastAsia="Arial Unicode MS" w:cs="Calibri"/>
          <w:bCs/>
          <w:i/>
          <w:iCs/>
          <w:sz w:val="24"/>
          <w:szCs w:val="24"/>
        </w:rPr>
        <w:t xml:space="preserve">e </w:t>
      </w:r>
      <w:r w:rsidR="00953D9D" w:rsidRPr="00953D9D">
        <w:rPr>
          <w:rFonts w:eastAsia="Arial Unicode MS" w:cs="Calibri"/>
          <w:b/>
          <w:i/>
          <w:iCs/>
          <w:sz w:val="24"/>
          <w:szCs w:val="24"/>
        </w:rPr>
        <w:t>COMUNICAÇÃO</w:t>
      </w:r>
      <w:r w:rsidR="006B7E5C" w:rsidRPr="00953D9D">
        <w:rPr>
          <w:rFonts w:eastAsia="Arial Unicode MS" w:cs="Calibri"/>
          <w:bCs/>
          <w:i/>
          <w:iCs/>
          <w:sz w:val="24"/>
          <w:szCs w:val="24"/>
        </w:rPr>
        <w:t xml:space="preserve"> com a sociedade";</w:t>
      </w:r>
    </w:p>
    <w:p w14:paraId="70EDD8AE" w14:textId="36E8BECB" w:rsidR="00B278F4" w:rsidRPr="00855F9D" w:rsidRDefault="00347D65" w:rsidP="00E94498">
      <w:pPr>
        <w:pStyle w:val="PargrafodaLista"/>
        <w:numPr>
          <w:ilvl w:val="0"/>
          <w:numId w:val="24"/>
        </w:numPr>
        <w:spacing w:line="360" w:lineRule="auto"/>
        <w:ind w:left="1134" w:hanging="283"/>
        <w:jc w:val="both"/>
        <w:rPr>
          <w:rFonts w:eastAsia="Arial Unicode MS" w:cs="Calibri"/>
          <w:bCs/>
          <w:i/>
          <w:iCs/>
          <w:sz w:val="24"/>
          <w:szCs w:val="24"/>
        </w:rPr>
      </w:pPr>
      <w:r w:rsidRPr="00351E1B">
        <w:rPr>
          <w:rFonts w:eastAsia="Arial Unicode MS" w:cs="Calibri"/>
          <w:b/>
          <w:bCs/>
          <w:sz w:val="24"/>
          <w:szCs w:val="24"/>
        </w:rPr>
        <w:t xml:space="preserve">o </w:t>
      </w:r>
      <w:r w:rsidR="006B7E5C" w:rsidRPr="00351E1B">
        <w:rPr>
          <w:rFonts w:eastAsia="Arial Unicode MS" w:cs="Calibri"/>
          <w:b/>
          <w:sz w:val="24"/>
          <w:szCs w:val="24"/>
        </w:rPr>
        <w:t>máximo de 5</w:t>
      </w:r>
      <w:r w:rsidR="00855F9D">
        <w:rPr>
          <w:rFonts w:eastAsia="Arial Unicode MS" w:cs="Calibri"/>
          <w:b/>
          <w:sz w:val="24"/>
          <w:szCs w:val="24"/>
        </w:rPr>
        <w:t>,0</w:t>
      </w:r>
      <w:r w:rsidR="006B7E5C" w:rsidRPr="00351E1B">
        <w:rPr>
          <w:rFonts w:eastAsia="Arial Unicode MS" w:cs="Calibri"/>
          <w:b/>
          <w:sz w:val="24"/>
          <w:szCs w:val="24"/>
        </w:rPr>
        <w:t>%</w:t>
      </w:r>
      <w:r w:rsidR="006B7E5C" w:rsidRPr="00351E1B">
        <w:rPr>
          <w:rFonts w:eastAsia="Arial Unicode MS" w:cs="Calibri"/>
          <w:sz w:val="24"/>
          <w:szCs w:val="24"/>
        </w:rPr>
        <w:t xml:space="preserve"> (cinco por cento) </w:t>
      </w:r>
      <w:r w:rsidR="0076077D" w:rsidRPr="00351E1B">
        <w:rPr>
          <w:rFonts w:eastAsia="Arial Unicode MS" w:cs="Calibri"/>
          <w:bCs/>
          <w:sz w:val="24"/>
          <w:szCs w:val="24"/>
          <w:shd w:val="clear" w:color="auto" w:fill="FFFFFF" w:themeFill="background1"/>
        </w:rPr>
        <w:t>da RAL</w:t>
      </w:r>
      <w:r w:rsidR="00427A68" w:rsidRPr="00351E1B">
        <w:rPr>
          <w:rFonts w:eastAsia="Arial Unicode MS" w:cs="Calibri"/>
          <w:bCs/>
          <w:sz w:val="24"/>
          <w:szCs w:val="24"/>
          <w:shd w:val="clear" w:color="auto" w:fill="FFFFFF" w:themeFill="background1"/>
        </w:rPr>
        <w:t xml:space="preserve"> </w:t>
      </w:r>
      <w:r w:rsidR="00427A68" w:rsidRPr="00351E1B">
        <w:rPr>
          <w:rFonts w:eastAsia="Arial Unicode MS" w:cs="Calibri"/>
          <w:sz w:val="24"/>
          <w:szCs w:val="24"/>
          <w:shd w:val="clear" w:color="auto" w:fill="FFFFFF" w:themeFill="background1"/>
        </w:rPr>
        <w:t xml:space="preserve">para </w:t>
      </w:r>
      <w:r w:rsidR="00953D9D" w:rsidRPr="00351E1B">
        <w:rPr>
          <w:rFonts w:eastAsia="Arial Unicode MS" w:cs="Calibri"/>
          <w:b/>
          <w:bCs/>
          <w:sz w:val="24"/>
          <w:szCs w:val="24"/>
          <w:shd w:val="clear" w:color="auto" w:fill="FFFFFF" w:themeFill="background1"/>
        </w:rPr>
        <w:t>PATROCÍNIOS</w:t>
      </w:r>
      <w:r w:rsidR="006B7E5C" w:rsidRPr="00351E1B">
        <w:rPr>
          <w:rFonts w:eastAsia="Arial Unicode MS" w:cs="Calibri"/>
          <w:sz w:val="24"/>
          <w:szCs w:val="24"/>
        </w:rPr>
        <w:t xml:space="preserve"> </w:t>
      </w:r>
      <w:r w:rsidR="00427A68" w:rsidRPr="00351E1B">
        <w:rPr>
          <w:rFonts w:eastAsia="Arial Unicode MS" w:cs="Calibri"/>
          <w:sz w:val="24"/>
          <w:szCs w:val="24"/>
        </w:rPr>
        <w:t xml:space="preserve">vinculados ao </w:t>
      </w:r>
      <w:r w:rsidR="006B7E5C" w:rsidRPr="00351E1B">
        <w:rPr>
          <w:rFonts w:eastAsia="Arial Unicode MS" w:cs="Calibri"/>
          <w:sz w:val="24"/>
          <w:szCs w:val="24"/>
        </w:rPr>
        <w:t>objetivo estratégico</w:t>
      </w:r>
      <w:r w:rsidR="00427A68" w:rsidRPr="00351E1B">
        <w:rPr>
          <w:rFonts w:eastAsia="Arial Unicode MS" w:cs="Calibri"/>
          <w:sz w:val="24"/>
          <w:szCs w:val="24"/>
        </w:rPr>
        <w:t xml:space="preserve"> de</w:t>
      </w:r>
      <w:r w:rsidR="006B7E5C" w:rsidRPr="00351E1B">
        <w:rPr>
          <w:rFonts w:eastAsia="Arial Unicode MS" w:cs="Calibri"/>
          <w:sz w:val="24"/>
          <w:szCs w:val="24"/>
        </w:rPr>
        <w:t xml:space="preserve"> </w:t>
      </w:r>
      <w:r w:rsidR="006B7E5C" w:rsidRPr="00351E1B">
        <w:rPr>
          <w:rFonts w:eastAsia="Arial Unicode MS" w:cs="Calibri"/>
          <w:bCs/>
          <w:i/>
          <w:iCs/>
          <w:sz w:val="24"/>
          <w:szCs w:val="24"/>
        </w:rPr>
        <w:t xml:space="preserve">"Estimular o conhecimento, o uso de processos criativos e a </w:t>
      </w:r>
      <w:r w:rsidR="006B7E5C" w:rsidRPr="00855F9D">
        <w:rPr>
          <w:rFonts w:eastAsia="Arial Unicode MS" w:cs="Calibri"/>
          <w:bCs/>
          <w:i/>
          <w:iCs/>
          <w:sz w:val="24"/>
          <w:szCs w:val="24"/>
        </w:rPr>
        <w:t>difusão das melhores práticas em Arquitetura e Urbanismo";</w:t>
      </w:r>
      <w:r w:rsidR="00B278F4" w:rsidRPr="00855F9D">
        <w:rPr>
          <w:rFonts w:eastAsia="Arial Unicode MS" w:cs="Calibri"/>
          <w:b/>
          <w:bCs/>
          <w:sz w:val="24"/>
          <w:szCs w:val="24"/>
        </w:rPr>
        <w:t xml:space="preserve"> </w:t>
      </w:r>
    </w:p>
    <w:p w14:paraId="7290E2EB" w14:textId="164B0BA1" w:rsidR="00B278F4" w:rsidRPr="00855F9D" w:rsidRDefault="00B278F4" w:rsidP="00E94498">
      <w:pPr>
        <w:pStyle w:val="PargrafodaLista"/>
        <w:numPr>
          <w:ilvl w:val="0"/>
          <w:numId w:val="34"/>
        </w:numPr>
        <w:spacing w:line="360" w:lineRule="auto"/>
        <w:jc w:val="both"/>
        <w:rPr>
          <w:rStyle w:val="ui-provider"/>
          <w:rFonts w:eastAsia="Arial Unicode MS" w:cs="Calibri"/>
          <w:bCs/>
          <w:i/>
          <w:iCs/>
          <w:sz w:val="24"/>
          <w:szCs w:val="24"/>
        </w:rPr>
      </w:pPr>
      <w:r w:rsidRPr="00855F9D">
        <w:rPr>
          <w:rFonts w:eastAsia="Arial Unicode MS" w:cs="Calibri"/>
          <w:b/>
          <w:bCs/>
          <w:sz w:val="24"/>
          <w:szCs w:val="24"/>
        </w:rPr>
        <w:t>o</w:t>
      </w:r>
      <w:r w:rsidRPr="00855F9D">
        <w:rPr>
          <w:rFonts w:eastAsia="Arial Unicode MS" w:cs="Calibri"/>
          <w:sz w:val="24"/>
          <w:szCs w:val="24"/>
        </w:rPr>
        <w:t xml:space="preserve"> </w:t>
      </w:r>
      <w:r w:rsidRPr="00855F9D">
        <w:rPr>
          <w:rFonts w:eastAsia="Arial Unicode MS" w:cs="Calibri"/>
          <w:b/>
          <w:sz w:val="24"/>
          <w:szCs w:val="24"/>
        </w:rPr>
        <w:t>mínimo de 2</w:t>
      </w:r>
      <w:r w:rsidR="00855F9D">
        <w:rPr>
          <w:rFonts w:eastAsia="Arial Unicode MS" w:cs="Calibri"/>
          <w:b/>
          <w:sz w:val="24"/>
          <w:szCs w:val="24"/>
        </w:rPr>
        <w:t>,0</w:t>
      </w:r>
      <w:r w:rsidRPr="00855F9D">
        <w:rPr>
          <w:rFonts w:eastAsia="Arial Unicode MS" w:cs="Calibri"/>
          <w:b/>
          <w:sz w:val="24"/>
          <w:szCs w:val="24"/>
        </w:rPr>
        <w:t>%</w:t>
      </w:r>
      <w:r w:rsidRPr="00855F9D">
        <w:rPr>
          <w:rFonts w:eastAsia="Arial Unicode MS" w:cs="Calibri"/>
          <w:sz w:val="24"/>
          <w:szCs w:val="24"/>
        </w:rPr>
        <w:t xml:space="preserve"> (dois por cento) </w:t>
      </w:r>
      <w:r w:rsidRPr="00855F9D">
        <w:rPr>
          <w:rFonts w:eastAsia="Arial Unicode MS" w:cs="Calibri"/>
          <w:bCs/>
          <w:sz w:val="24"/>
          <w:szCs w:val="24"/>
          <w:shd w:val="clear" w:color="auto" w:fill="FFFFFF" w:themeFill="background1"/>
        </w:rPr>
        <w:t xml:space="preserve">da RAL para </w:t>
      </w:r>
      <w:r w:rsidRPr="00855F9D">
        <w:rPr>
          <w:rFonts w:eastAsia="Arial Unicode MS" w:cs="Calibri"/>
          <w:b/>
          <w:sz w:val="24"/>
          <w:szCs w:val="24"/>
        </w:rPr>
        <w:t xml:space="preserve">PATRIMÔNIO </w:t>
      </w:r>
      <w:r w:rsidRPr="00855F9D">
        <w:rPr>
          <w:rFonts w:eastAsia="Arial Unicode MS" w:cs="Calibri"/>
          <w:sz w:val="24"/>
          <w:szCs w:val="24"/>
        </w:rPr>
        <w:t xml:space="preserve">vinculado ao objetivo estratégico de </w:t>
      </w:r>
      <w:r w:rsidRPr="00855F9D">
        <w:rPr>
          <w:rFonts w:eastAsia="Arial Unicode MS" w:cs="Calibri"/>
          <w:i/>
          <w:sz w:val="24"/>
          <w:szCs w:val="24"/>
        </w:rPr>
        <w:t>“</w:t>
      </w:r>
      <w:r w:rsidRPr="00855F9D">
        <w:rPr>
          <w:rStyle w:val="ui-provider"/>
          <w:i/>
        </w:rPr>
        <w:t>Estimular a produção da arquitetura e urbanismo como política de Estado”.</w:t>
      </w:r>
    </w:p>
    <w:p w14:paraId="433BEF8C" w14:textId="0BA742A4" w:rsidR="006B7E5C" w:rsidRPr="00953D9D" w:rsidRDefault="00347D65" w:rsidP="00E94498">
      <w:pPr>
        <w:pStyle w:val="PargrafodaLista"/>
        <w:numPr>
          <w:ilvl w:val="0"/>
          <w:numId w:val="24"/>
        </w:numPr>
        <w:spacing w:line="360" w:lineRule="auto"/>
        <w:ind w:left="1134" w:hanging="283"/>
        <w:jc w:val="both"/>
        <w:rPr>
          <w:rFonts w:eastAsia="Arial Unicode MS" w:cs="Calibri"/>
          <w:bCs/>
          <w:i/>
          <w:iCs/>
          <w:sz w:val="24"/>
          <w:szCs w:val="24"/>
        </w:rPr>
      </w:pPr>
      <w:r w:rsidRPr="00347D65">
        <w:rPr>
          <w:rFonts w:eastAsia="Arial Unicode MS" w:cs="Calibri"/>
          <w:b/>
          <w:bCs/>
          <w:sz w:val="24"/>
          <w:szCs w:val="24"/>
        </w:rPr>
        <w:t>o</w:t>
      </w:r>
      <w:r>
        <w:rPr>
          <w:rFonts w:eastAsia="Arial Unicode MS" w:cs="Calibri"/>
          <w:sz w:val="24"/>
          <w:szCs w:val="24"/>
        </w:rPr>
        <w:t xml:space="preserve"> </w:t>
      </w:r>
      <w:r w:rsidR="006B7E5C">
        <w:rPr>
          <w:rFonts w:eastAsia="Arial Unicode MS" w:cs="Calibri"/>
          <w:b/>
          <w:sz w:val="24"/>
          <w:szCs w:val="24"/>
        </w:rPr>
        <w:t>mínimo</w:t>
      </w:r>
      <w:r w:rsidR="001F2848">
        <w:rPr>
          <w:rFonts w:eastAsia="Arial Unicode MS" w:cs="Calibri"/>
          <w:b/>
          <w:sz w:val="24"/>
          <w:szCs w:val="24"/>
        </w:rPr>
        <w:t xml:space="preserve"> </w:t>
      </w:r>
      <w:r w:rsidR="006B7E5C">
        <w:rPr>
          <w:rFonts w:eastAsia="Arial Unicode MS" w:cs="Calibri"/>
          <w:b/>
          <w:sz w:val="24"/>
          <w:szCs w:val="24"/>
        </w:rPr>
        <w:t>de 6</w:t>
      </w:r>
      <w:r w:rsidR="00855F9D">
        <w:rPr>
          <w:rFonts w:eastAsia="Arial Unicode MS" w:cs="Calibri"/>
          <w:b/>
          <w:sz w:val="24"/>
          <w:szCs w:val="24"/>
        </w:rPr>
        <w:t>,0</w:t>
      </w:r>
      <w:r w:rsidR="006B7E5C">
        <w:rPr>
          <w:rFonts w:eastAsia="Arial Unicode MS" w:cs="Calibri"/>
          <w:b/>
          <w:sz w:val="24"/>
          <w:szCs w:val="24"/>
        </w:rPr>
        <w:t>%</w:t>
      </w:r>
      <w:r w:rsidR="006B7E5C">
        <w:rPr>
          <w:rFonts w:eastAsia="Arial Unicode MS" w:cs="Calibri"/>
          <w:sz w:val="24"/>
          <w:szCs w:val="24"/>
        </w:rPr>
        <w:t xml:space="preserve"> (seis por cento) </w:t>
      </w:r>
      <w:r w:rsidR="0076077D">
        <w:rPr>
          <w:rFonts w:eastAsia="Arial Unicode MS" w:cs="Calibri"/>
          <w:bCs/>
          <w:sz w:val="24"/>
          <w:szCs w:val="24"/>
          <w:shd w:val="clear" w:color="auto" w:fill="FFFFFF" w:themeFill="background1"/>
        </w:rPr>
        <w:t>da RAL</w:t>
      </w:r>
      <w:r w:rsidR="00427A68">
        <w:rPr>
          <w:rFonts w:eastAsia="Arial Unicode MS" w:cs="Calibri"/>
          <w:bCs/>
          <w:sz w:val="24"/>
          <w:szCs w:val="24"/>
          <w:shd w:val="clear" w:color="auto" w:fill="FFFFFF" w:themeFill="background1"/>
        </w:rPr>
        <w:t xml:space="preserve"> para i</w:t>
      </w:r>
      <w:r w:rsidR="006B7E5C">
        <w:rPr>
          <w:rFonts w:eastAsia="Arial Unicode MS" w:cs="Calibri"/>
          <w:sz w:val="24"/>
          <w:szCs w:val="24"/>
        </w:rPr>
        <w:t>niciativas</w:t>
      </w:r>
      <w:r w:rsidR="00427A68">
        <w:rPr>
          <w:rFonts w:eastAsia="Arial Unicode MS" w:cs="Calibri"/>
          <w:sz w:val="24"/>
          <w:szCs w:val="24"/>
        </w:rPr>
        <w:t xml:space="preserve"> vinculadas a </w:t>
      </w:r>
      <w:r w:rsidR="00953D9D" w:rsidRPr="00953D9D">
        <w:rPr>
          <w:rFonts w:eastAsia="Arial Unicode MS" w:cs="Calibri"/>
          <w:b/>
          <w:bCs/>
          <w:sz w:val="24"/>
          <w:szCs w:val="24"/>
        </w:rPr>
        <w:t>DOIS OU TRÊS OBJETIVOS ESTRATÉGICOS LOCAIS</w:t>
      </w:r>
      <w:r w:rsidR="00605530">
        <w:rPr>
          <w:rFonts w:eastAsia="Arial Unicode MS" w:cs="Calibri"/>
          <w:b/>
          <w:bCs/>
          <w:sz w:val="24"/>
          <w:szCs w:val="24"/>
        </w:rPr>
        <w:t xml:space="preserve">, </w:t>
      </w:r>
      <w:r w:rsidR="00605530" w:rsidRPr="00605530">
        <w:rPr>
          <w:rFonts w:eastAsia="Arial Unicode MS" w:cs="Calibri"/>
          <w:bCs/>
          <w:sz w:val="24"/>
          <w:szCs w:val="24"/>
        </w:rPr>
        <w:t>excetuando os objetivos nacionais,</w:t>
      </w:r>
      <w:r w:rsidR="006B7E5C" w:rsidRPr="00953D9D">
        <w:rPr>
          <w:rFonts w:eastAsia="Arial Unicode MS" w:cs="Calibri"/>
          <w:bCs/>
          <w:i/>
          <w:iCs/>
          <w:sz w:val="24"/>
          <w:szCs w:val="24"/>
        </w:rPr>
        <w:t xml:space="preserve"> </w:t>
      </w:r>
      <w:r w:rsidR="006B7E5C" w:rsidRPr="00953D9D">
        <w:rPr>
          <w:rFonts w:eastAsia="Arial Unicode MS" w:cs="Calibri"/>
          <w:bCs/>
          <w:sz w:val="24"/>
          <w:szCs w:val="24"/>
        </w:rPr>
        <w:t xml:space="preserve">selecionados pelo CAU/BR e </w:t>
      </w:r>
      <w:r w:rsidR="00953D9D" w:rsidRPr="00953D9D">
        <w:rPr>
          <w:rFonts w:eastAsia="Arial Unicode MS" w:cs="Calibri"/>
          <w:bCs/>
          <w:sz w:val="24"/>
          <w:szCs w:val="24"/>
        </w:rPr>
        <w:t xml:space="preserve">por cada </w:t>
      </w:r>
      <w:r w:rsidR="006B7E5C" w:rsidRPr="00953D9D">
        <w:rPr>
          <w:rFonts w:eastAsia="Arial Unicode MS" w:cs="Calibri"/>
          <w:bCs/>
          <w:sz w:val="24"/>
          <w:szCs w:val="24"/>
        </w:rPr>
        <w:t>CAU/UF;</w:t>
      </w:r>
    </w:p>
    <w:p w14:paraId="7ED268DB" w14:textId="3F8C6F87" w:rsidR="00BB7F58" w:rsidRDefault="00D90FFE" w:rsidP="006B7E5C">
      <w:pPr>
        <w:spacing w:line="360" w:lineRule="auto"/>
        <w:ind w:firstLine="851"/>
        <w:jc w:val="both"/>
        <w:rPr>
          <w:rFonts w:eastAsia="Arial Unicode MS" w:cs="Calibri"/>
          <w:sz w:val="24"/>
          <w:szCs w:val="24"/>
        </w:rPr>
      </w:pPr>
      <w:r w:rsidRPr="00D90FFE">
        <w:rPr>
          <w:rFonts w:eastAsia="Arial Unicode MS" w:cs="Calibri"/>
          <w:sz w:val="24"/>
          <w:szCs w:val="24"/>
        </w:rPr>
        <w:t xml:space="preserve">Cabe ressalvar que, na composição das metas financeiras dos projetos e atividades, devem ser considerados todos os custos destinados a suportar as ações priorizadas, </w:t>
      </w:r>
      <w:r w:rsidR="008B559C">
        <w:rPr>
          <w:rFonts w:eastAsia="Arial Unicode MS" w:cs="Calibri"/>
          <w:sz w:val="24"/>
          <w:szCs w:val="24"/>
        </w:rPr>
        <w:t>tais como p</w:t>
      </w:r>
      <w:r w:rsidRPr="00D90FFE">
        <w:rPr>
          <w:rFonts w:eastAsia="Arial Unicode MS" w:cs="Calibri"/>
          <w:sz w:val="24"/>
          <w:szCs w:val="24"/>
        </w:rPr>
        <w:t xml:space="preserve">essoal </w:t>
      </w:r>
      <w:r w:rsidR="008B559C">
        <w:rPr>
          <w:rFonts w:eastAsia="Arial Unicode MS" w:cs="Calibri"/>
          <w:sz w:val="24"/>
          <w:szCs w:val="24"/>
        </w:rPr>
        <w:t xml:space="preserve">direto </w:t>
      </w:r>
      <w:r w:rsidRPr="00D90FFE">
        <w:rPr>
          <w:rFonts w:eastAsia="Arial Unicode MS" w:cs="Calibri"/>
          <w:sz w:val="24"/>
          <w:szCs w:val="24"/>
        </w:rPr>
        <w:t xml:space="preserve">envolvido (salários, encargos e benefícios), serviços de terceiros e demais </w:t>
      </w:r>
      <w:r w:rsidR="008B559C">
        <w:rPr>
          <w:rFonts w:eastAsia="Arial Unicode MS" w:cs="Calibri"/>
          <w:sz w:val="24"/>
          <w:szCs w:val="24"/>
        </w:rPr>
        <w:t>elementos</w:t>
      </w:r>
      <w:r w:rsidRPr="00D90FFE">
        <w:rPr>
          <w:rFonts w:eastAsia="Arial Unicode MS" w:cs="Calibri"/>
          <w:sz w:val="24"/>
          <w:szCs w:val="24"/>
        </w:rPr>
        <w:t xml:space="preserve">. Exemplo: </w:t>
      </w:r>
      <w:r w:rsidR="00347D65">
        <w:rPr>
          <w:rFonts w:eastAsia="Arial Unicode MS" w:cs="Calibri"/>
          <w:sz w:val="24"/>
          <w:szCs w:val="24"/>
        </w:rPr>
        <w:t xml:space="preserve">no caso de </w:t>
      </w:r>
      <w:r w:rsidRPr="00D90FFE">
        <w:rPr>
          <w:rFonts w:eastAsia="Arial Unicode MS" w:cs="Calibri"/>
          <w:sz w:val="24"/>
          <w:szCs w:val="24"/>
        </w:rPr>
        <w:t>projeto</w:t>
      </w:r>
      <w:r w:rsidR="00347D65">
        <w:rPr>
          <w:rFonts w:eastAsia="Arial Unicode MS" w:cs="Calibri"/>
          <w:sz w:val="24"/>
          <w:szCs w:val="24"/>
        </w:rPr>
        <w:t xml:space="preserve"> relacionado com a atividade de </w:t>
      </w:r>
      <w:r w:rsidRPr="00D90FFE">
        <w:rPr>
          <w:rFonts w:eastAsia="Arial Unicode MS" w:cs="Calibri"/>
          <w:sz w:val="24"/>
          <w:szCs w:val="24"/>
        </w:rPr>
        <w:t>Fiscalização, cujos fiscais</w:t>
      </w:r>
      <w:r w:rsidR="008B559C">
        <w:rPr>
          <w:rFonts w:eastAsia="Arial Unicode MS" w:cs="Calibri"/>
          <w:sz w:val="24"/>
          <w:szCs w:val="24"/>
        </w:rPr>
        <w:t xml:space="preserve"> </w:t>
      </w:r>
      <w:r w:rsidRPr="00D90FFE">
        <w:rPr>
          <w:rFonts w:eastAsia="Arial Unicode MS" w:cs="Calibri"/>
          <w:sz w:val="24"/>
          <w:szCs w:val="24"/>
        </w:rPr>
        <w:t>são parte integrante do pessoal envolvido na realização das ações, os custos decorrentes devem estar inseridos</w:t>
      </w:r>
      <w:r w:rsidR="00347D65">
        <w:rPr>
          <w:rFonts w:eastAsia="Arial Unicode MS" w:cs="Calibri"/>
          <w:sz w:val="24"/>
          <w:szCs w:val="24"/>
        </w:rPr>
        <w:t xml:space="preserve"> no projeto</w:t>
      </w:r>
      <w:r w:rsidRPr="00D90FFE">
        <w:rPr>
          <w:rFonts w:eastAsia="Arial Unicode MS" w:cs="Calibri"/>
          <w:sz w:val="24"/>
          <w:szCs w:val="24"/>
        </w:rPr>
        <w:t xml:space="preserve">, </w:t>
      </w:r>
      <w:r w:rsidR="00347D65">
        <w:rPr>
          <w:rFonts w:eastAsia="Arial Unicode MS" w:cs="Calibri"/>
          <w:sz w:val="24"/>
          <w:szCs w:val="24"/>
        </w:rPr>
        <w:t xml:space="preserve">juntamente com os </w:t>
      </w:r>
      <w:r w:rsidRPr="00D90FFE">
        <w:rPr>
          <w:rFonts w:eastAsia="Arial Unicode MS" w:cs="Calibri"/>
          <w:sz w:val="24"/>
          <w:szCs w:val="24"/>
        </w:rPr>
        <w:t>demais custos necessários à plena execução e atingimento dos resultados estabelecidos.</w:t>
      </w:r>
    </w:p>
    <w:p w14:paraId="219F19F6" w14:textId="05895F2E" w:rsidR="00475120" w:rsidRDefault="00347D65" w:rsidP="00200E02">
      <w:pPr>
        <w:spacing w:line="360" w:lineRule="auto"/>
        <w:ind w:firstLine="709"/>
        <w:jc w:val="both"/>
        <w:rPr>
          <w:rFonts w:eastAsia="Arial Unicode MS" w:cs="Calibri"/>
          <w:bCs/>
          <w:color w:val="000000" w:themeColor="text1"/>
          <w:sz w:val="24"/>
          <w:szCs w:val="24"/>
        </w:rPr>
      </w:pPr>
      <w:r>
        <w:rPr>
          <w:rFonts w:eastAsia="Arial Unicode MS" w:cs="Calibri"/>
          <w:bCs/>
          <w:color w:val="000000" w:themeColor="text1"/>
          <w:sz w:val="24"/>
          <w:szCs w:val="24"/>
        </w:rPr>
        <w:t xml:space="preserve">No caso das </w:t>
      </w:r>
      <w:r w:rsidR="00BB7F58" w:rsidRPr="00EB76E2">
        <w:rPr>
          <w:rFonts w:eastAsia="Arial Unicode MS" w:cs="Calibri"/>
          <w:bCs/>
          <w:color w:val="000000" w:themeColor="text1"/>
          <w:sz w:val="24"/>
          <w:szCs w:val="24"/>
        </w:rPr>
        <w:t>despesas com fiscalização</w:t>
      </w:r>
      <w:r>
        <w:rPr>
          <w:rFonts w:eastAsia="Arial Unicode MS" w:cs="Calibri"/>
          <w:bCs/>
          <w:color w:val="000000" w:themeColor="text1"/>
          <w:sz w:val="24"/>
          <w:szCs w:val="24"/>
        </w:rPr>
        <w:t xml:space="preserve">, deve ser observado que devem </w:t>
      </w:r>
      <w:r w:rsidR="008B559C">
        <w:rPr>
          <w:rFonts w:eastAsia="Arial Unicode MS" w:cs="Calibri"/>
          <w:bCs/>
          <w:color w:val="000000" w:themeColor="text1"/>
          <w:sz w:val="24"/>
          <w:szCs w:val="24"/>
        </w:rPr>
        <w:t xml:space="preserve">contemplar, </w:t>
      </w:r>
      <w:r w:rsidR="008B559C" w:rsidRPr="008B559C">
        <w:rPr>
          <w:rFonts w:eastAsia="Arial Unicode MS" w:cs="Calibri"/>
          <w:b/>
          <w:color w:val="000000" w:themeColor="text1"/>
          <w:sz w:val="24"/>
          <w:szCs w:val="24"/>
        </w:rPr>
        <w:t>exclusivamente</w:t>
      </w:r>
      <w:r>
        <w:rPr>
          <w:rFonts w:eastAsia="Arial Unicode MS" w:cs="Calibri"/>
          <w:bCs/>
          <w:color w:val="000000" w:themeColor="text1"/>
          <w:sz w:val="24"/>
          <w:szCs w:val="24"/>
        </w:rPr>
        <w:t>:</w:t>
      </w:r>
      <w:r w:rsidR="00BB7F58" w:rsidRPr="00EB76E2">
        <w:rPr>
          <w:rFonts w:eastAsia="Arial Unicode MS" w:cs="Calibri"/>
          <w:bCs/>
          <w:color w:val="000000" w:themeColor="text1"/>
          <w:sz w:val="24"/>
          <w:szCs w:val="24"/>
        </w:rPr>
        <w:t xml:space="preserve"> despesas com salários, encargos e benefícios dos fiscais no exercício da atividade; despesas com transporte</w:t>
      </w:r>
      <w:r w:rsidR="008B559C">
        <w:rPr>
          <w:rFonts w:eastAsia="Arial Unicode MS" w:cs="Calibri"/>
          <w:bCs/>
          <w:color w:val="000000" w:themeColor="text1"/>
          <w:sz w:val="24"/>
          <w:szCs w:val="24"/>
        </w:rPr>
        <w:t xml:space="preserve">, </w:t>
      </w:r>
      <w:r w:rsidR="00BB7F58" w:rsidRPr="00EB76E2">
        <w:rPr>
          <w:rFonts w:eastAsia="Arial Unicode MS" w:cs="Calibri"/>
          <w:bCs/>
          <w:color w:val="000000" w:themeColor="text1"/>
          <w:sz w:val="24"/>
          <w:szCs w:val="24"/>
        </w:rPr>
        <w:t>veículos e equipamentos utilizados na fiscalização, incluindo custos de manutenção e combustíveis; diárias para</w:t>
      </w:r>
      <w:r w:rsidR="008B559C">
        <w:rPr>
          <w:rFonts w:eastAsia="Arial Unicode MS" w:cs="Calibri"/>
          <w:bCs/>
          <w:color w:val="000000" w:themeColor="text1"/>
          <w:sz w:val="24"/>
          <w:szCs w:val="24"/>
        </w:rPr>
        <w:t xml:space="preserve"> </w:t>
      </w:r>
      <w:r w:rsidR="00BB7F58" w:rsidRPr="00EB76E2">
        <w:rPr>
          <w:rFonts w:eastAsia="Arial Unicode MS" w:cs="Calibri"/>
          <w:bCs/>
          <w:color w:val="000000" w:themeColor="text1"/>
          <w:sz w:val="24"/>
          <w:szCs w:val="24"/>
        </w:rPr>
        <w:t>estadia e alimentação dos fiscais</w:t>
      </w:r>
      <w:r>
        <w:rPr>
          <w:rFonts w:eastAsia="Arial Unicode MS" w:cs="Calibri"/>
          <w:bCs/>
          <w:color w:val="000000" w:themeColor="text1"/>
          <w:sz w:val="24"/>
          <w:szCs w:val="24"/>
        </w:rPr>
        <w:t>;</w:t>
      </w:r>
      <w:r w:rsidR="00BB7F58" w:rsidRPr="00EB76E2">
        <w:rPr>
          <w:rFonts w:eastAsia="Arial Unicode MS" w:cs="Calibri"/>
          <w:bCs/>
          <w:color w:val="000000" w:themeColor="text1"/>
          <w:sz w:val="24"/>
          <w:szCs w:val="24"/>
        </w:rPr>
        <w:t xml:space="preserve"> despesas com capacitação dos fiscais e custos com telefonia móvel institucional utilizada pelos fiscais. </w:t>
      </w:r>
      <w:bookmarkStart w:id="25" w:name="_Hlk52205428"/>
      <w:r w:rsidR="008B559C" w:rsidRPr="008B559C">
        <w:rPr>
          <w:rFonts w:eastAsia="Arial Unicode MS" w:cs="Calibri"/>
          <w:b/>
          <w:color w:val="000000" w:themeColor="text1"/>
          <w:sz w:val="24"/>
          <w:szCs w:val="24"/>
          <w:u w:val="single"/>
        </w:rPr>
        <w:t>N</w:t>
      </w:r>
      <w:r w:rsidR="00BB7F58" w:rsidRPr="008B559C">
        <w:rPr>
          <w:rFonts w:eastAsia="Arial Unicode MS" w:cs="Calibri"/>
          <w:b/>
          <w:color w:val="000000" w:themeColor="text1"/>
          <w:sz w:val="24"/>
          <w:szCs w:val="24"/>
          <w:u w:val="single"/>
        </w:rPr>
        <w:t>ão devem</w:t>
      </w:r>
      <w:r w:rsidR="00BB7F58" w:rsidRPr="00EB76E2">
        <w:rPr>
          <w:rFonts w:eastAsia="Arial Unicode MS" w:cs="Calibri"/>
          <w:bCs/>
          <w:color w:val="000000" w:themeColor="text1"/>
          <w:sz w:val="24"/>
          <w:szCs w:val="24"/>
        </w:rPr>
        <w:t xml:space="preserve"> ser incluídos o</w:t>
      </w:r>
      <w:r w:rsidR="008B559C">
        <w:rPr>
          <w:rFonts w:eastAsia="Arial Unicode MS" w:cs="Calibri"/>
          <w:bCs/>
          <w:color w:val="000000" w:themeColor="text1"/>
          <w:sz w:val="24"/>
          <w:szCs w:val="24"/>
        </w:rPr>
        <w:t>s</w:t>
      </w:r>
      <w:r w:rsidR="00BB7F58" w:rsidRPr="00EB76E2">
        <w:rPr>
          <w:rFonts w:eastAsia="Arial Unicode MS" w:cs="Calibri"/>
          <w:bCs/>
          <w:color w:val="000000" w:themeColor="text1"/>
          <w:sz w:val="24"/>
          <w:szCs w:val="24"/>
        </w:rPr>
        <w:t xml:space="preserve"> valor</w:t>
      </w:r>
      <w:r w:rsidR="008B559C">
        <w:rPr>
          <w:rFonts w:eastAsia="Arial Unicode MS" w:cs="Calibri"/>
          <w:bCs/>
          <w:color w:val="000000" w:themeColor="text1"/>
          <w:sz w:val="24"/>
          <w:szCs w:val="24"/>
        </w:rPr>
        <w:t>es</w:t>
      </w:r>
      <w:r w:rsidR="00BB7F58" w:rsidRPr="00EB76E2">
        <w:rPr>
          <w:rFonts w:eastAsia="Arial Unicode MS" w:cs="Calibri"/>
          <w:bCs/>
          <w:color w:val="000000" w:themeColor="text1"/>
          <w:sz w:val="24"/>
          <w:szCs w:val="24"/>
        </w:rPr>
        <w:t xml:space="preserve"> de aquisição e aluguel de imóveis</w:t>
      </w:r>
      <w:r w:rsidR="008B559C">
        <w:rPr>
          <w:rFonts w:eastAsia="Arial Unicode MS" w:cs="Calibri"/>
          <w:bCs/>
          <w:color w:val="000000" w:themeColor="text1"/>
          <w:sz w:val="24"/>
          <w:szCs w:val="24"/>
        </w:rPr>
        <w:t xml:space="preserve"> e de </w:t>
      </w:r>
      <w:r w:rsidR="00BB7F58" w:rsidRPr="00EB76E2">
        <w:rPr>
          <w:rFonts w:eastAsia="Arial Unicode MS" w:cs="Calibri"/>
          <w:bCs/>
          <w:color w:val="000000" w:themeColor="text1"/>
          <w:sz w:val="24"/>
          <w:szCs w:val="24"/>
        </w:rPr>
        <w:t>aquisição de automóveis</w:t>
      </w:r>
      <w:r w:rsidR="00DC59B5" w:rsidRPr="00EB76E2">
        <w:rPr>
          <w:rFonts w:eastAsia="Arial Unicode MS" w:cs="Calibri"/>
          <w:bCs/>
          <w:color w:val="000000" w:themeColor="text1"/>
          <w:sz w:val="24"/>
          <w:szCs w:val="24"/>
        </w:rPr>
        <w:t xml:space="preserve"> (</w:t>
      </w:r>
      <w:r>
        <w:rPr>
          <w:rFonts w:eastAsia="Arial Unicode MS" w:cs="Calibri"/>
          <w:bCs/>
          <w:color w:val="000000" w:themeColor="text1"/>
          <w:sz w:val="24"/>
          <w:szCs w:val="24"/>
        </w:rPr>
        <w:t xml:space="preserve">para informações adicionais, consultar as </w:t>
      </w:r>
      <w:hyperlink r:id="rId13" w:history="1">
        <w:r w:rsidR="00EB76E2" w:rsidRPr="00200E02">
          <w:rPr>
            <w:rStyle w:val="Hyperlink"/>
            <w:rFonts w:eastAsia="Arial Unicode MS" w:cs="Calibri"/>
            <w:bCs/>
            <w:sz w:val="24"/>
            <w:szCs w:val="24"/>
          </w:rPr>
          <w:t xml:space="preserve">Orientações para Elaboração do Relatório de Gestão </w:t>
        </w:r>
        <w:r w:rsidR="00200E02" w:rsidRPr="00200E02">
          <w:rPr>
            <w:rStyle w:val="Hyperlink"/>
            <w:rFonts w:eastAsia="Arial Unicode MS" w:cs="Calibri"/>
            <w:bCs/>
            <w:sz w:val="24"/>
            <w:szCs w:val="24"/>
          </w:rPr>
          <w:t>TCU – 2020</w:t>
        </w:r>
      </w:hyperlink>
      <w:r w:rsidR="00200E02">
        <w:rPr>
          <w:rFonts w:eastAsia="Arial Unicode MS" w:cs="Calibri"/>
          <w:bCs/>
          <w:color w:val="000000" w:themeColor="text1"/>
          <w:sz w:val="24"/>
          <w:szCs w:val="24"/>
        </w:rPr>
        <w:t>).</w:t>
      </w:r>
    </w:p>
    <w:p w14:paraId="09AAE661" w14:textId="72FCDE5A" w:rsidR="001F2848" w:rsidRDefault="001F2848" w:rsidP="00200E02">
      <w:pPr>
        <w:spacing w:line="360" w:lineRule="auto"/>
        <w:ind w:firstLine="709"/>
        <w:jc w:val="both"/>
        <w:rPr>
          <w:rFonts w:eastAsia="Arial Unicode MS" w:cs="Calibri"/>
          <w:bCs/>
          <w:color w:val="000000" w:themeColor="text1"/>
          <w:sz w:val="24"/>
          <w:szCs w:val="24"/>
        </w:rPr>
      </w:pPr>
      <w:r>
        <w:rPr>
          <w:rFonts w:eastAsia="Arial Unicode MS" w:cs="Calibri"/>
          <w:bCs/>
          <w:color w:val="000000" w:themeColor="text1"/>
          <w:sz w:val="24"/>
          <w:szCs w:val="24"/>
        </w:rPr>
        <w:t>No caso de não atingimento dos limites</w:t>
      </w:r>
      <w:r w:rsidR="00017341">
        <w:rPr>
          <w:rFonts w:eastAsia="Arial Unicode MS" w:cs="Calibri"/>
          <w:bCs/>
          <w:color w:val="000000" w:themeColor="text1"/>
          <w:sz w:val="24"/>
          <w:szCs w:val="24"/>
        </w:rPr>
        <w:t xml:space="preserve"> considerados obrigatórios</w:t>
      </w:r>
      <w:r>
        <w:rPr>
          <w:rFonts w:eastAsia="Arial Unicode MS" w:cs="Calibri"/>
          <w:bCs/>
          <w:color w:val="000000" w:themeColor="text1"/>
          <w:sz w:val="24"/>
          <w:szCs w:val="24"/>
        </w:rPr>
        <w:t>, o CAU (BR e UF) deverá apresentar justificativa</w:t>
      </w:r>
      <w:r w:rsidR="00017341">
        <w:rPr>
          <w:rFonts w:eastAsia="Arial Unicode MS" w:cs="Calibri"/>
          <w:bCs/>
          <w:color w:val="000000" w:themeColor="text1"/>
          <w:sz w:val="24"/>
          <w:szCs w:val="24"/>
        </w:rPr>
        <w:t xml:space="preserve"> fundamentada</w:t>
      </w:r>
      <w:r>
        <w:rPr>
          <w:rFonts w:eastAsia="Arial Unicode MS" w:cs="Calibri"/>
          <w:bCs/>
          <w:color w:val="000000" w:themeColor="text1"/>
          <w:sz w:val="24"/>
          <w:szCs w:val="24"/>
        </w:rPr>
        <w:t xml:space="preserve"> em seu Relatório de Gestão (conforme art. 8°, § 3° da   </w:t>
      </w:r>
      <w:r w:rsidRPr="001F2848">
        <w:rPr>
          <w:rFonts w:eastAsia="Arial Unicode MS" w:cs="Calibri"/>
          <w:bCs/>
          <w:color w:val="000000" w:themeColor="text1"/>
          <w:sz w:val="24"/>
          <w:szCs w:val="24"/>
        </w:rPr>
        <w:t>INSTRUÇÃO NORMATIVA Nº 84, DE 22 DE ABRIL DE 2020</w:t>
      </w:r>
      <w:r w:rsidR="006947D2">
        <w:rPr>
          <w:rFonts w:eastAsia="Arial Unicode MS" w:cs="Calibri"/>
          <w:bCs/>
          <w:color w:val="000000" w:themeColor="text1"/>
          <w:sz w:val="24"/>
          <w:szCs w:val="24"/>
        </w:rPr>
        <w:t xml:space="preserve">, do Tribunal de Contas de União, disponível neste link: </w:t>
      </w:r>
      <w:hyperlink r:id="rId14" w:history="1">
        <w:r w:rsidR="006947D2" w:rsidRPr="006947D2">
          <w:rPr>
            <w:rStyle w:val="Hyperlink"/>
            <w:rFonts w:eastAsia="Arial Unicode MS" w:cs="Calibri"/>
            <w:bCs/>
            <w:sz w:val="24"/>
            <w:szCs w:val="24"/>
          </w:rPr>
          <w:t>IN 84</w:t>
        </w:r>
      </w:hyperlink>
      <w:r w:rsidR="006947D2">
        <w:rPr>
          <w:rFonts w:eastAsia="Arial Unicode MS" w:cs="Calibri"/>
          <w:bCs/>
          <w:color w:val="000000" w:themeColor="text1"/>
          <w:sz w:val="24"/>
          <w:szCs w:val="24"/>
        </w:rPr>
        <w:t xml:space="preserve">). </w:t>
      </w:r>
    </w:p>
    <w:p w14:paraId="69EB0C6B" w14:textId="77777777" w:rsidR="00017341" w:rsidRDefault="00017341" w:rsidP="00200E02">
      <w:pPr>
        <w:spacing w:line="360" w:lineRule="auto"/>
        <w:ind w:firstLine="709"/>
        <w:jc w:val="both"/>
        <w:rPr>
          <w:rFonts w:eastAsia="Arial Unicode MS" w:cs="Calibri"/>
          <w:bCs/>
          <w:color w:val="000000" w:themeColor="text1"/>
          <w:sz w:val="24"/>
          <w:szCs w:val="24"/>
        </w:rPr>
      </w:pPr>
    </w:p>
    <w:p w14:paraId="7DC85217" w14:textId="73C663DC" w:rsidR="00E64855" w:rsidRPr="000C3D8E" w:rsidRDefault="00F02DBF" w:rsidP="00547CE4">
      <w:pPr>
        <w:pStyle w:val="Ttulo2"/>
        <w:rPr>
          <w:rFonts w:eastAsia="Arial Unicode MS"/>
          <w:color w:val="612141"/>
        </w:rPr>
      </w:pPr>
      <w:bookmarkStart w:id="26" w:name="_Toc487558908"/>
      <w:bookmarkStart w:id="27" w:name="_Toc487559009"/>
      <w:bookmarkEnd w:id="25"/>
      <w:r w:rsidRPr="002F0A50">
        <w:rPr>
          <w:rFonts w:eastAsia="Arial Unicode MS"/>
          <w:color w:val="612141"/>
        </w:rPr>
        <w:t xml:space="preserve"> </w:t>
      </w:r>
      <w:bookmarkStart w:id="28" w:name="_Toc147404333"/>
      <w:r w:rsidR="00E64855" w:rsidRPr="000C3D8E">
        <w:rPr>
          <w:rFonts w:eastAsia="Arial Unicode MS"/>
          <w:color w:val="612141"/>
        </w:rPr>
        <w:t>Fundo de Apoio Financeiro aos CAU/UF</w:t>
      </w:r>
      <w:bookmarkEnd w:id="26"/>
      <w:bookmarkEnd w:id="27"/>
      <w:r w:rsidR="00017341" w:rsidRPr="000C3D8E">
        <w:rPr>
          <w:rFonts w:eastAsia="Arial Unicode MS"/>
          <w:color w:val="612141"/>
        </w:rPr>
        <w:t xml:space="preserve"> Básicos</w:t>
      </w:r>
      <w:bookmarkEnd w:id="28"/>
      <w:r w:rsidR="00D90FFE" w:rsidRPr="000C3D8E">
        <w:rPr>
          <w:rFonts w:eastAsia="Arial Unicode MS"/>
          <w:color w:val="612141"/>
        </w:rPr>
        <w:t xml:space="preserve"> </w:t>
      </w:r>
      <w:r w:rsidR="00547CE4" w:rsidRPr="000C3D8E">
        <w:rPr>
          <w:rFonts w:eastAsia="Arial Unicode MS"/>
          <w:color w:val="612141"/>
        </w:rPr>
        <w:t xml:space="preserve"> </w:t>
      </w:r>
    </w:p>
    <w:p w14:paraId="5BBA5C81" w14:textId="6C230C54" w:rsidR="009C36E1" w:rsidRPr="000C3D8E" w:rsidRDefault="00B558F9" w:rsidP="009C36E1">
      <w:pPr>
        <w:spacing w:line="360" w:lineRule="auto"/>
        <w:ind w:firstLine="851"/>
        <w:jc w:val="both"/>
        <w:rPr>
          <w:rFonts w:eastAsia="Arial Unicode MS" w:cs="Calibri"/>
          <w:sz w:val="24"/>
          <w:szCs w:val="24"/>
        </w:rPr>
      </w:pPr>
      <w:r w:rsidRPr="000C3D8E">
        <w:rPr>
          <w:rFonts w:eastAsia="Arial Unicode MS" w:cs="Calibri"/>
          <w:color w:val="000000" w:themeColor="text1"/>
          <w:sz w:val="24"/>
          <w:szCs w:val="24"/>
        </w:rPr>
        <w:t xml:space="preserve">O CAU/BR e os CAU/UF deverão, em </w:t>
      </w:r>
      <w:r w:rsidRPr="00FE59E8">
        <w:rPr>
          <w:rFonts w:eastAsia="Arial Unicode MS" w:cs="Calibri"/>
          <w:b/>
          <w:color w:val="000000" w:themeColor="text1"/>
          <w:sz w:val="24"/>
          <w:szCs w:val="24"/>
        </w:rPr>
        <w:t>atividade específica</w:t>
      </w:r>
      <w:r w:rsidRPr="000C3D8E">
        <w:rPr>
          <w:rFonts w:eastAsia="Arial Unicode MS" w:cs="Calibri"/>
          <w:color w:val="000000" w:themeColor="text1"/>
          <w:sz w:val="24"/>
          <w:szCs w:val="24"/>
        </w:rPr>
        <w:t xml:space="preserve"> no seu Plano de Ação, </w:t>
      </w:r>
      <w:r w:rsidR="00017341" w:rsidRPr="000C3D8E">
        <w:rPr>
          <w:rFonts w:eastAsia="Arial Unicode MS" w:cs="Calibri"/>
          <w:color w:val="000000" w:themeColor="text1"/>
          <w:sz w:val="24"/>
          <w:szCs w:val="24"/>
        </w:rPr>
        <w:t>prever</w:t>
      </w:r>
      <w:r w:rsidRPr="000C3D8E">
        <w:rPr>
          <w:rFonts w:eastAsia="Arial Unicode MS" w:cs="Calibri"/>
          <w:color w:val="000000" w:themeColor="text1"/>
          <w:sz w:val="24"/>
          <w:szCs w:val="24"/>
        </w:rPr>
        <w:t xml:space="preserve"> recursos</w:t>
      </w:r>
      <w:r w:rsidR="00017341" w:rsidRPr="000C3D8E">
        <w:rPr>
          <w:rFonts w:eastAsia="Arial Unicode MS" w:cs="Calibri"/>
          <w:color w:val="000000" w:themeColor="text1"/>
          <w:sz w:val="24"/>
          <w:szCs w:val="24"/>
        </w:rPr>
        <w:t xml:space="preserve"> para </w:t>
      </w:r>
      <w:r w:rsidRPr="000C3D8E">
        <w:rPr>
          <w:rFonts w:eastAsia="Arial Unicode MS" w:cs="Calibri"/>
          <w:color w:val="000000" w:themeColor="text1"/>
          <w:sz w:val="24"/>
          <w:szCs w:val="24"/>
        </w:rPr>
        <w:t>suportar o Fundo de Apoio Financeiro aos CAU/UF na forma aprovada para o exercício</w:t>
      </w:r>
      <w:r w:rsidR="00017341" w:rsidRPr="000C3D8E">
        <w:rPr>
          <w:rFonts w:eastAsia="Arial Unicode MS" w:cs="Calibri"/>
          <w:color w:val="000000" w:themeColor="text1"/>
          <w:sz w:val="24"/>
          <w:szCs w:val="24"/>
        </w:rPr>
        <w:t xml:space="preserve"> de </w:t>
      </w:r>
      <w:r w:rsidR="00017341" w:rsidRPr="00FB1196">
        <w:rPr>
          <w:rFonts w:eastAsia="Arial Unicode MS" w:cs="Calibri"/>
          <w:sz w:val="24"/>
          <w:szCs w:val="24"/>
        </w:rPr>
        <w:t>202</w:t>
      </w:r>
      <w:r w:rsidR="00685FD0" w:rsidRPr="00FB1196">
        <w:rPr>
          <w:rFonts w:eastAsia="Arial Unicode MS" w:cs="Calibri"/>
          <w:sz w:val="24"/>
          <w:szCs w:val="24"/>
        </w:rPr>
        <w:t>4</w:t>
      </w:r>
      <w:r w:rsidRPr="00FB1196">
        <w:rPr>
          <w:rFonts w:eastAsia="Arial Unicode MS" w:cs="Calibri"/>
          <w:sz w:val="24"/>
          <w:szCs w:val="24"/>
        </w:rPr>
        <w:t xml:space="preserve">. </w:t>
      </w:r>
      <w:r w:rsidRPr="000C3D8E">
        <w:rPr>
          <w:rFonts w:eastAsia="Arial Unicode MS" w:cs="Calibri"/>
          <w:color w:val="000000" w:themeColor="text1"/>
          <w:sz w:val="24"/>
          <w:szCs w:val="24"/>
        </w:rPr>
        <w:t>Esses recursos destinam-se a viabilizar a operação dos CAU/UF enquadrados como CAU Básico, em prol do desenvolvimento e fortalecimento da profissão e da arquitetura e urbanismo. Os valores</w:t>
      </w:r>
      <w:r w:rsidR="00017341" w:rsidRPr="000C3D8E">
        <w:rPr>
          <w:rFonts w:eastAsia="Arial Unicode MS" w:cs="Calibri"/>
          <w:color w:val="000000" w:themeColor="text1"/>
          <w:sz w:val="24"/>
          <w:szCs w:val="24"/>
        </w:rPr>
        <w:t xml:space="preserve"> de aporte a</w:t>
      </w:r>
      <w:r w:rsidRPr="000C3D8E">
        <w:rPr>
          <w:rFonts w:eastAsia="Arial Unicode MS" w:cs="Calibri"/>
          <w:color w:val="000000" w:themeColor="text1"/>
          <w:sz w:val="24"/>
          <w:szCs w:val="24"/>
        </w:rPr>
        <w:t xml:space="preserve"> serem considerados, por CAU/UF, </w:t>
      </w:r>
      <w:r w:rsidRPr="000C3D8E">
        <w:rPr>
          <w:rFonts w:eastAsia="Arial Unicode MS" w:cs="Calibri"/>
          <w:sz w:val="24"/>
          <w:szCs w:val="24"/>
        </w:rPr>
        <w:t xml:space="preserve">constam do Anexo </w:t>
      </w:r>
      <w:r w:rsidR="00172795" w:rsidRPr="000C3D8E">
        <w:rPr>
          <w:rFonts w:eastAsia="Arial Unicode MS" w:cs="Calibri"/>
          <w:sz w:val="24"/>
          <w:szCs w:val="24"/>
        </w:rPr>
        <w:t>VI</w:t>
      </w:r>
      <w:r w:rsidRPr="000C3D8E">
        <w:rPr>
          <w:rFonts w:eastAsia="Arial Unicode MS" w:cs="Calibri"/>
          <w:sz w:val="24"/>
          <w:szCs w:val="24"/>
        </w:rPr>
        <w:t xml:space="preserve">. </w:t>
      </w:r>
    </w:p>
    <w:p w14:paraId="72E1019A" w14:textId="33ED6546" w:rsidR="006947D2" w:rsidRPr="00855F9D" w:rsidRDefault="004D1D75" w:rsidP="004D1D75">
      <w:pPr>
        <w:spacing w:line="360" w:lineRule="auto"/>
        <w:ind w:firstLine="851"/>
        <w:jc w:val="both"/>
        <w:rPr>
          <w:rFonts w:eastAsia="Arial Unicode MS" w:cs="Calibri"/>
          <w:sz w:val="24"/>
          <w:szCs w:val="24"/>
        </w:rPr>
      </w:pPr>
      <w:r w:rsidRPr="00855F9D">
        <w:rPr>
          <w:rFonts w:eastAsia="Arial Unicode MS" w:cs="Calibri"/>
          <w:sz w:val="24"/>
          <w:szCs w:val="24"/>
        </w:rPr>
        <w:t>A P</w:t>
      </w:r>
      <w:r w:rsidR="000C3D8E" w:rsidRPr="00855F9D">
        <w:rPr>
          <w:rFonts w:eastAsia="Arial Unicode MS" w:cs="Calibri"/>
          <w:sz w:val="24"/>
          <w:szCs w:val="24"/>
        </w:rPr>
        <w:t>roposta</w:t>
      </w:r>
      <w:r w:rsidRPr="00855F9D">
        <w:rPr>
          <w:rFonts w:eastAsia="Arial Unicode MS" w:cs="Calibri"/>
          <w:sz w:val="24"/>
          <w:szCs w:val="24"/>
        </w:rPr>
        <w:t xml:space="preserve"> </w:t>
      </w:r>
      <w:r w:rsidR="00BB742E" w:rsidRPr="00855F9D">
        <w:rPr>
          <w:rFonts w:eastAsia="Arial Unicode MS" w:cs="Calibri"/>
          <w:sz w:val="24"/>
          <w:szCs w:val="24"/>
        </w:rPr>
        <w:t xml:space="preserve">Nº </w:t>
      </w:r>
      <w:r w:rsidR="00780A35" w:rsidRPr="00855F9D">
        <w:rPr>
          <w:rFonts w:eastAsia="Arial Unicode MS" w:cs="Calibri"/>
          <w:sz w:val="24"/>
          <w:szCs w:val="24"/>
        </w:rPr>
        <w:t xml:space="preserve">5/2023 </w:t>
      </w:r>
      <w:r w:rsidRPr="00855F9D">
        <w:rPr>
          <w:rFonts w:eastAsia="Arial Unicode MS" w:cs="Calibri"/>
          <w:sz w:val="24"/>
          <w:szCs w:val="24"/>
        </w:rPr>
        <w:t>CG</w:t>
      </w:r>
      <w:r w:rsidR="003463E9" w:rsidRPr="00855F9D">
        <w:rPr>
          <w:rFonts w:eastAsia="Arial Unicode MS" w:cs="Calibri"/>
          <w:sz w:val="24"/>
          <w:szCs w:val="24"/>
        </w:rPr>
        <w:t>-</w:t>
      </w:r>
      <w:r w:rsidRPr="00855F9D">
        <w:rPr>
          <w:rFonts w:eastAsia="Arial Unicode MS" w:cs="Calibri"/>
          <w:sz w:val="24"/>
          <w:szCs w:val="24"/>
        </w:rPr>
        <w:t>FA, aprovada em 1</w:t>
      </w:r>
      <w:r w:rsidR="00F304A0" w:rsidRPr="00855F9D">
        <w:rPr>
          <w:rFonts w:eastAsia="Arial Unicode MS" w:cs="Calibri"/>
          <w:sz w:val="24"/>
          <w:szCs w:val="24"/>
        </w:rPr>
        <w:t>8</w:t>
      </w:r>
      <w:r w:rsidRPr="00855F9D">
        <w:rPr>
          <w:rFonts w:eastAsia="Arial Unicode MS" w:cs="Calibri"/>
          <w:sz w:val="24"/>
          <w:szCs w:val="24"/>
        </w:rPr>
        <w:t xml:space="preserve"> de </w:t>
      </w:r>
      <w:r w:rsidR="00F304A0" w:rsidRPr="00855F9D">
        <w:rPr>
          <w:rFonts w:eastAsia="Arial Unicode MS" w:cs="Calibri"/>
          <w:sz w:val="24"/>
          <w:szCs w:val="24"/>
        </w:rPr>
        <w:t>julho</w:t>
      </w:r>
      <w:r w:rsidRPr="00855F9D">
        <w:rPr>
          <w:rFonts w:eastAsia="Arial Unicode MS" w:cs="Calibri"/>
          <w:sz w:val="24"/>
          <w:szCs w:val="24"/>
        </w:rPr>
        <w:t xml:space="preserve"> 202</w:t>
      </w:r>
      <w:r w:rsidR="00F304A0" w:rsidRPr="00855F9D">
        <w:rPr>
          <w:rFonts w:eastAsia="Arial Unicode MS" w:cs="Calibri"/>
          <w:sz w:val="24"/>
          <w:szCs w:val="24"/>
        </w:rPr>
        <w:t>3</w:t>
      </w:r>
      <w:r w:rsidRPr="00855F9D">
        <w:rPr>
          <w:rFonts w:eastAsia="Arial Unicode MS" w:cs="Calibri"/>
          <w:sz w:val="24"/>
          <w:szCs w:val="24"/>
        </w:rPr>
        <w:t xml:space="preserve">, autorizou a </w:t>
      </w:r>
      <w:r w:rsidRPr="00855F9D">
        <w:rPr>
          <w:rFonts w:eastAsia="Arial Unicode MS" w:cs="Calibri"/>
          <w:b/>
          <w:bCs/>
          <w:sz w:val="24"/>
          <w:szCs w:val="24"/>
        </w:rPr>
        <w:t xml:space="preserve">utilização de R$ </w:t>
      </w:r>
      <w:r w:rsidR="00F304A0" w:rsidRPr="00855F9D">
        <w:rPr>
          <w:rFonts w:eastAsia="Arial Unicode MS" w:cs="Calibri"/>
          <w:b/>
          <w:bCs/>
          <w:sz w:val="24"/>
          <w:szCs w:val="24"/>
        </w:rPr>
        <w:t>2</w:t>
      </w:r>
      <w:r w:rsidRPr="00855F9D">
        <w:rPr>
          <w:rFonts w:eastAsia="Arial Unicode MS" w:cs="Calibri"/>
          <w:b/>
          <w:bCs/>
          <w:sz w:val="24"/>
          <w:szCs w:val="24"/>
        </w:rPr>
        <w:t>00</w:t>
      </w:r>
      <w:r w:rsidR="006947D2" w:rsidRPr="00855F9D">
        <w:rPr>
          <w:rFonts w:eastAsia="Arial Unicode MS" w:cs="Calibri"/>
          <w:b/>
          <w:bCs/>
          <w:sz w:val="24"/>
          <w:szCs w:val="24"/>
        </w:rPr>
        <w:t>.000,00</w:t>
      </w:r>
      <w:r w:rsidR="006947D2" w:rsidRPr="00855F9D">
        <w:rPr>
          <w:rFonts w:eastAsia="Arial Unicode MS" w:cs="Calibri"/>
          <w:sz w:val="24"/>
          <w:szCs w:val="24"/>
        </w:rPr>
        <w:t xml:space="preserve"> (</w:t>
      </w:r>
      <w:r w:rsidR="00F304A0" w:rsidRPr="00855F9D">
        <w:rPr>
          <w:rFonts w:eastAsia="Arial Unicode MS" w:cs="Calibri"/>
          <w:sz w:val="24"/>
          <w:szCs w:val="24"/>
        </w:rPr>
        <w:t>duzentos</w:t>
      </w:r>
      <w:r w:rsidR="006947D2" w:rsidRPr="00855F9D">
        <w:rPr>
          <w:rFonts w:eastAsia="Arial Unicode MS" w:cs="Calibri"/>
          <w:sz w:val="24"/>
          <w:szCs w:val="24"/>
        </w:rPr>
        <w:t xml:space="preserve"> mil reais) do </w:t>
      </w:r>
      <w:r w:rsidR="003463E9" w:rsidRPr="00855F9D">
        <w:rPr>
          <w:rFonts w:eastAsia="Arial Unicode MS" w:cs="Calibri"/>
          <w:b/>
          <w:bCs/>
          <w:sz w:val="24"/>
          <w:szCs w:val="24"/>
        </w:rPr>
        <w:t xml:space="preserve">saldo </w:t>
      </w:r>
      <w:r w:rsidR="006947D2" w:rsidRPr="00855F9D">
        <w:rPr>
          <w:rFonts w:eastAsia="Arial Unicode MS" w:cs="Calibri"/>
          <w:b/>
          <w:bCs/>
          <w:sz w:val="24"/>
          <w:szCs w:val="24"/>
        </w:rPr>
        <w:t>disponível</w:t>
      </w:r>
      <w:r w:rsidR="006947D2" w:rsidRPr="00855F9D">
        <w:rPr>
          <w:rFonts w:eastAsia="Arial Unicode MS" w:cs="Calibri"/>
          <w:sz w:val="24"/>
          <w:szCs w:val="24"/>
        </w:rPr>
        <w:t xml:space="preserve"> no </w:t>
      </w:r>
      <w:r w:rsidRPr="00855F9D">
        <w:rPr>
          <w:rFonts w:eastAsia="Arial Unicode MS" w:cs="Calibri"/>
          <w:sz w:val="24"/>
          <w:szCs w:val="24"/>
        </w:rPr>
        <w:t>Fundo para abat</w:t>
      </w:r>
      <w:r w:rsidR="003463E9" w:rsidRPr="00855F9D">
        <w:rPr>
          <w:rFonts w:eastAsia="Arial Unicode MS" w:cs="Calibri"/>
          <w:sz w:val="24"/>
          <w:szCs w:val="24"/>
        </w:rPr>
        <w:t xml:space="preserve">imento no valor a ser </w:t>
      </w:r>
      <w:r w:rsidRPr="00855F9D">
        <w:rPr>
          <w:rFonts w:eastAsia="Arial Unicode MS" w:cs="Calibri"/>
          <w:sz w:val="24"/>
          <w:szCs w:val="24"/>
        </w:rPr>
        <w:t>aport</w:t>
      </w:r>
      <w:r w:rsidR="003463E9" w:rsidRPr="00855F9D">
        <w:rPr>
          <w:rFonts w:eastAsia="Arial Unicode MS" w:cs="Calibri"/>
          <w:sz w:val="24"/>
          <w:szCs w:val="24"/>
        </w:rPr>
        <w:t>ado</w:t>
      </w:r>
      <w:r w:rsidR="006947D2" w:rsidRPr="00855F9D">
        <w:rPr>
          <w:rFonts w:eastAsia="Arial Unicode MS" w:cs="Calibri"/>
          <w:sz w:val="24"/>
          <w:szCs w:val="24"/>
        </w:rPr>
        <w:t xml:space="preserve"> e </w:t>
      </w:r>
      <w:r w:rsidR="006947D2" w:rsidRPr="00855F9D">
        <w:rPr>
          <w:rFonts w:eastAsia="Arial Unicode MS" w:cs="Calibri"/>
          <w:b/>
          <w:bCs/>
          <w:sz w:val="24"/>
          <w:szCs w:val="24"/>
        </w:rPr>
        <w:t xml:space="preserve">reajustou os </w:t>
      </w:r>
      <w:r w:rsidRPr="00855F9D">
        <w:rPr>
          <w:rFonts w:eastAsia="Arial Unicode MS" w:cs="Calibri"/>
          <w:b/>
          <w:bCs/>
          <w:sz w:val="24"/>
          <w:szCs w:val="24"/>
        </w:rPr>
        <w:t xml:space="preserve">valores </w:t>
      </w:r>
      <w:r w:rsidR="0036524E" w:rsidRPr="00855F9D">
        <w:rPr>
          <w:rFonts w:eastAsia="Arial Unicode MS" w:cs="Calibri"/>
          <w:b/>
          <w:bCs/>
          <w:sz w:val="24"/>
          <w:szCs w:val="24"/>
        </w:rPr>
        <w:t>para enquadramento</w:t>
      </w:r>
      <w:r w:rsidR="0036524E" w:rsidRPr="00855F9D">
        <w:rPr>
          <w:rFonts w:eastAsia="Arial Unicode MS" w:cs="Calibri"/>
          <w:sz w:val="24"/>
          <w:szCs w:val="24"/>
        </w:rPr>
        <w:t xml:space="preserve"> </w:t>
      </w:r>
      <w:r w:rsidRPr="00855F9D">
        <w:rPr>
          <w:rFonts w:eastAsia="Arial Unicode MS" w:cs="Calibri"/>
          <w:sz w:val="24"/>
          <w:szCs w:val="24"/>
        </w:rPr>
        <w:t xml:space="preserve">dos CAU Básicos </w:t>
      </w:r>
      <w:r w:rsidR="006947D2" w:rsidRPr="00855F9D">
        <w:rPr>
          <w:rFonts w:eastAsia="Arial Unicode MS" w:cs="Calibri"/>
          <w:sz w:val="24"/>
          <w:szCs w:val="24"/>
        </w:rPr>
        <w:t xml:space="preserve">de </w:t>
      </w:r>
      <w:r w:rsidRPr="00855F9D">
        <w:rPr>
          <w:rFonts w:eastAsia="Arial Unicode MS" w:cs="Calibri"/>
          <w:sz w:val="24"/>
          <w:szCs w:val="24"/>
        </w:rPr>
        <w:t>acordo com o INPC previsto (</w:t>
      </w:r>
      <w:r w:rsidR="00EF1471" w:rsidRPr="00855F9D">
        <w:rPr>
          <w:rFonts w:eastAsia="Arial Unicode MS" w:cs="Calibri"/>
          <w:sz w:val="24"/>
          <w:szCs w:val="24"/>
        </w:rPr>
        <w:t>4</w:t>
      </w:r>
      <w:r w:rsidRPr="00855F9D">
        <w:rPr>
          <w:rFonts w:eastAsia="Arial Unicode MS" w:cs="Calibri"/>
          <w:sz w:val="24"/>
          <w:szCs w:val="24"/>
        </w:rPr>
        <w:t>,</w:t>
      </w:r>
      <w:r w:rsidR="00EF1471" w:rsidRPr="00855F9D">
        <w:rPr>
          <w:rFonts w:eastAsia="Arial Unicode MS" w:cs="Calibri"/>
          <w:sz w:val="24"/>
          <w:szCs w:val="24"/>
        </w:rPr>
        <w:t>0</w:t>
      </w:r>
      <w:r w:rsidRPr="00855F9D">
        <w:rPr>
          <w:rFonts w:eastAsia="Arial Unicode MS" w:cs="Calibri"/>
          <w:sz w:val="24"/>
          <w:szCs w:val="24"/>
        </w:rPr>
        <w:t>%)</w:t>
      </w:r>
      <w:r w:rsidR="006947D2" w:rsidRPr="00855F9D">
        <w:rPr>
          <w:rFonts w:eastAsia="Arial Unicode MS" w:cs="Calibri"/>
          <w:sz w:val="24"/>
          <w:szCs w:val="24"/>
        </w:rPr>
        <w:t>, considerando, para 202</w:t>
      </w:r>
      <w:r w:rsidR="00F304A0" w:rsidRPr="00855F9D">
        <w:rPr>
          <w:rFonts w:eastAsia="Arial Unicode MS" w:cs="Calibri"/>
          <w:sz w:val="24"/>
          <w:szCs w:val="24"/>
        </w:rPr>
        <w:t>4</w:t>
      </w:r>
      <w:r w:rsidR="006947D2" w:rsidRPr="00855F9D">
        <w:rPr>
          <w:rFonts w:eastAsia="Arial Unicode MS" w:cs="Calibri"/>
          <w:sz w:val="24"/>
          <w:szCs w:val="24"/>
        </w:rPr>
        <w:t>:</w:t>
      </w:r>
    </w:p>
    <w:p w14:paraId="2C138695" w14:textId="63CCCFC6" w:rsidR="004D1D75" w:rsidRPr="00855F9D" w:rsidRDefault="004D1D75" w:rsidP="00E94498">
      <w:pPr>
        <w:pStyle w:val="PargrafodaLista"/>
        <w:numPr>
          <w:ilvl w:val="0"/>
          <w:numId w:val="29"/>
        </w:numPr>
        <w:spacing w:line="360" w:lineRule="auto"/>
        <w:jc w:val="both"/>
        <w:rPr>
          <w:rFonts w:eastAsia="Arial Unicode MS" w:cs="Calibri"/>
          <w:i/>
          <w:iCs/>
          <w:sz w:val="24"/>
          <w:szCs w:val="24"/>
        </w:rPr>
      </w:pPr>
      <w:r w:rsidRPr="00855F9D">
        <w:rPr>
          <w:rFonts w:eastAsia="Arial Unicode MS" w:cs="Calibri"/>
          <w:i/>
          <w:iCs/>
          <w:sz w:val="24"/>
          <w:szCs w:val="24"/>
        </w:rPr>
        <w:t>Grupo I: R$ 1.3</w:t>
      </w:r>
      <w:r w:rsidR="00EF1471" w:rsidRPr="00855F9D">
        <w:rPr>
          <w:rFonts w:eastAsia="Arial Unicode MS" w:cs="Calibri"/>
          <w:i/>
          <w:iCs/>
          <w:sz w:val="24"/>
          <w:szCs w:val="24"/>
        </w:rPr>
        <w:t>60.738,98</w:t>
      </w:r>
      <w:r w:rsidRPr="00855F9D">
        <w:rPr>
          <w:rFonts w:eastAsia="Arial Unicode MS" w:cs="Calibri"/>
          <w:i/>
          <w:iCs/>
          <w:sz w:val="24"/>
          <w:szCs w:val="24"/>
        </w:rPr>
        <w:t xml:space="preserve">; </w:t>
      </w:r>
    </w:p>
    <w:p w14:paraId="041ECC50" w14:textId="392E0B8D" w:rsidR="004D1D75" w:rsidRPr="00855F9D" w:rsidRDefault="004D1D75" w:rsidP="00E94498">
      <w:pPr>
        <w:pStyle w:val="PargrafodaLista"/>
        <w:numPr>
          <w:ilvl w:val="0"/>
          <w:numId w:val="29"/>
        </w:numPr>
        <w:spacing w:line="360" w:lineRule="auto"/>
        <w:jc w:val="both"/>
        <w:rPr>
          <w:rFonts w:eastAsia="Arial Unicode MS" w:cs="Calibri"/>
          <w:i/>
          <w:iCs/>
          <w:sz w:val="24"/>
          <w:szCs w:val="24"/>
        </w:rPr>
      </w:pPr>
      <w:r w:rsidRPr="00855F9D">
        <w:rPr>
          <w:rFonts w:eastAsia="Arial Unicode MS" w:cs="Calibri"/>
          <w:i/>
          <w:iCs/>
          <w:sz w:val="24"/>
          <w:szCs w:val="24"/>
        </w:rPr>
        <w:t>Grupo II: R$ 1.</w:t>
      </w:r>
      <w:r w:rsidR="00EF1471" w:rsidRPr="00855F9D">
        <w:rPr>
          <w:rFonts w:eastAsia="Arial Unicode MS" w:cs="Calibri"/>
          <w:i/>
          <w:iCs/>
          <w:sz w:val="24"/>
          <w:szCs w:val="24"/>
        </w:rPr>
        <w:t>417</w:t>
      </w:r>
      <w:r w:rsidRPr="00855F9D">
        <w:rPr>
          <w:rFonts w:eastAsia="Arial Unicode MS" w:cs="Calibri"/>
          <w:i/>
          <w:iCs/>
          <w:sz w:val="24"/>
          <w:szCs w:val="24"/>
        </w:rPr>
        <w:t>.</w:t>
      </w:r>
      <w:r w:rsidR="00EF1471" w:rsidRPr="00855F9D">
        <w:rPr>
          <w:rFonts w:eastAsia="Arial Unicode MS" w:cs="Calibri"/>
          <w:i/>
          <w:iCs/>
          <w:sz w:val="24"/>
          <w:szCs w:val="24"/>
        </w:rPr>
        <w:t>437</w:t>
      </w:r>
      <w:r w:rsidRPr="00855F9D">
        <w:rPr>
          <w:rFonts w:eastAsia="Arial Unicode MS" w:cs="Calibri"/>
          <w:i/>
          <w:iCs/>
          <w:sz w:val="24"/>
          <w:szCs w:val="24"/>
        </w:rPr>
        <w:t>,</w:t>
      </w:r>
      <w:r w:rsidR="00EF1471" w:rsidRPr="00855F9D">
        <w:rPr>
          <w:rFonts w:eastAsia="Arial Unicode MS" w:cs="Calibri"/>
          <w:i/>
          <w:iCs/>
          <w:sz w:val="24"/>
          <w:szCs w:val="24"/>
        </w:rPr>
        <w:t>30</w:t>
      </w:r>
      <w:r w:rsidR="003463E9" w:rsidRPr="00855F9D">
        <w:rPr>
          <w:rFonts w:eastAsia="Arial Unicode MS" w:cs="Calibri"/>
          <w:i/>
          <w:iCs/>
          <w:sz w:val="24"/>
          <w:szCs w:val="24"/>
        </w:rPr>
        <w:t>.</w:t>
      </w:r>
    </w:p>
    <w:p w14:paraId="6F57924F" w14:textId="72E0D61C" w:rsidR="0036524E" w:rsidRPr="000C3D8E" w:rsidRDefault="0036524E" w:rsidP="00384A6B">
      <w:pPr>
        <w:spacing w:line="360" w:lineRule="auto"/>
        <w:ind w:firstLine="567"/>
        <w:jc w:val="both"/>
        <w:rPr>
          <w:rFonts w:eastAsia="Arial Unicode MS" w:cs="Calibri"/>
          <w:sz w:val="24"/>
          <w:szCs w:val="24"/>
        </w:rPr>
      </w:pPr>
      <w:r w:rsidRPr="000C3D8E">
        <w:rPr>
          <w:rFonts w:eastAsia="Arial Unicode MS" w:cs="Calibri"/>
          <w:color w:val="000000" w:themeColor="text1"/>
          <w:sz w:val="24"/>
          <w:szCs w:val="24"/>
        </w:rPr>
        <w:t xml:space="preserve">A premissa referente à quantidade de registros ativos, para fins de enquadramento como CAU Básico, foi mantida conforme segue: </w:t>
      </w:r>
    </w:p>
    <w:p w14:paraId="0D94CC13" w14:textId="0856504E" w:rsidR="0036524E" w:rsidRPr="000C3D8E" w:rsidRDefault="0036524E" w:rsidP="00E94498">
      <w:pPr>
        <w:pStyle w:val="PargrafodaLista"/>
        <w:numPr>
          <w:ilvl w:val="0"/>
          <w:numId w:val="29"/>
        </w:numPr>
        <w:spacing w:line="360" w:lineRule="auto"/>
        <w:jc w:val="both"/>
        <w:rPr>
          <w:rFonts w:eastAsia="Arial Unicode MS" w:cs="Calibri"/>
          <w:i/>
          <w:color w:val="000000" w:themeColor="text1"/>
          <w:szCs w:val="24"/>
        </w:rPr>
      </w:pPr>
      <w:r w:rsidRPr="000C3D8E">
        <w:rPr>
          <w:rFonts w:eastAsia="Arial Unicode MS" w:cs="Calibri"/>
          <w:b/>
          <w:bCs/>
          <w:i/>
          <w:color w:val="000000" w:themeColor="text1"/>
          <w:szCs w:val="24"/>
        </w:rPr>
        <w:t>Grupo 1</w:t>
      </w:r>
      <w:r w:rsidRPr="000C3D8E">
        <w:rPr>
          <w:rFonts w:eastAsia="Arial Unicode MS" w:cs="Calibri"/>
          <w:i/>
          <w:color w:val="000000" w:themeColor="text1"/>
          <w:szCs w:val="24"/>
        </w:rPr>
        <w:t>: CAU</w:t>
      </w:r>
      <w:r w:rsidR="003463E9" w:rsidRPr="000C3D8E">
        <w:rPr>
          <w:rFonts w:eastAsia="Arial Unicode MS" w:cs="Calibri"/>
          <w:i/>
          <w:color w:val="000000" w:themeColor="text1"/>
          <w:szCs w:val="24"/>
        </w:rPr>
        <w:t xml:space="preserve"> Básico </w:t>
      </w:r>
      <w:r w:rsidRPr="000C3D8E">
        <w:rPr>
          <w:rFonts w:eastAsia="Arial Unicode MS" w:cs="Calibri"/>
          <w:i/>
          <w:color w:val="000000" w:themeColor="text1"/>
          <w:szCs w:val="24"/>
        </w:rPr>
        <w:t xml:space="preserve">com até 1.200 </w:t>
      </w:r>
      <w:r w:rsidR="003463E9" w:rsidRPr="000C3D8E">
        <w:rPr>
          <w:rFonts w:eastAsia="Arial Unicode MS" w:cs="Calibri"/>
          <w:i/>
          <w:color w:val="000000" w:themeColor="text1"/>
          <w:szCs w:val="24"/>
        </w:rPr>
        <w:t>(</w:t>
      </w:r>
      <w:r w:rsidRPr="000C3D8E">
        <w:rPr>
          <w:rFonts w:eastAsia="Arial Unicode MS" w:cs="Calibri"/>
          <w:i/>
          <w:color w:val="000000" w:themeColor="text1"/>
          <w:szCs w:val="24"/>
        </w:rPr>
        <w:t>mil e duzentos) registros ativos</w:t>
      </w:r>
      <w:r w:rsidR="003463E9" w:rsidRPr="000C3D8E">
        <w:rPr>
          <w:rFonts w:eastAsia="Arial Unicode MS" w:cs="Calibri"/>
          <w:i/>
          <w:color w:val="000000" w:themeColor="text1"/>
          <w:szCs w:val="24"/>
        </w:rPr>
        <w:t>;</w:t>
      </w:r>
    </w:p>
    <w:p w14:paraId="080F594C" w14:textId="493A1633" w:rsidR="000C3D8E" w:rsidRDefault="0036524E" w:rsidP="00E94498">
      <w:pPr>
        <w:pStyle w:val="PargrafodaLista"/>
        <w:numPr>
          <w:ilvl w:val="0"/>
          <w:numId w:val="29"/>
        </w:numPr>
        <w:spacing w:line="360" w:lineRule="auto"/>
        <w:jc w:val="both"/>
        <w:rPr>
          <w:rFonts w:eastAsia="Arial Unicode MS" w:cs="Calibri"/>
          <w:i/>
          <w:color w:val="000000" w:themeColor="text1"/>
          <w:szCs w:val="24"/>
        </w:rPr>
      </w:pPr>
      <w:r w:rsidRPr="000C3D8E">
        <w:rPr>
          <w:rFonts w:eastAsia="Arial Unicode MS" w:cs="Calibri"/>
          <w:b/>
          <w:bCs/>
          <w:i/>
          <w:color w:val="000000" w:themeColor="text1"/>
          <w:szCs w:val="24"/>
        </w:rPr>
        <w:t>Grupo 2:</w:t>
      </w:r>
      <w:r w:rsidRPr="000C3D8E">
        <w:rPr>
          <w:rFonts w:eastAsia="Arial Unicode MS" w:cs="Calibri"/>
          <w:i/>
          <w:color w:val="000000" w:themeColor="text1"/>
          <w:szCs w:val="24"/>
        </w:rPr>
        <w:t xml:space="preserve"> CAU</w:t>
      </w:r>
      <w:r w:rsidR="003463E9" w:rsidRPr="000C3D8E">
        <w:rPr>
          <w:rFonts w:eastAsia="Arial Unicode MS" w:cs="Calibri"/>
          <w:i/>
          <w:color w:val="000000" w:themeColor="text1"/>
          <w:szCs w:val="24"/>
        </w:rPr>
        <w:t xml:space="preserve"> Básico com</w:t>
      </w:r>
      <w:r w:rsidRPr="000C3D8E">
        <w:rPr>
          <w:rFonts w:eastAsia="Arial Unicode MS" w:cs="Calibri"/>
          <w:i/>
          <w:color w:val="000000" w:themeColor="text1"/>
          <w:szCs w:val="24"/>
        </w:rPr>
        <w:t xml:space="preserve"> 1.201 (mil</w:t>
      </w:r>
      <w:r w:rsidR="003463E9" w:rsidRPr="000C3D8E">
        <w:rPr>
          <w:rFonts w:eastAsia="Arial Unicode MS" w:cs="Calibri"/>
          <w:i/>
          <w:color w:val="000000" w:themeColor="text1"/>
          <w:szCs w:val="24"/>
        </w:rPr>
        <w:t xml:space="preserve">, </w:t>
      </w:r>
      <w:r w:rsidRPr="000C3D8E">
        <w:rPr>
          <w:rFonts w:eastAsia="Arial Unicode MS" w:cs="Calibri"/>
          <w:i/>
          <w:color w:val="000000" w:themeColor="text1"/>
          <w:szCs w:val="24"/>
        </w:rPr>
        <w:t>duzentos e um) ou mais registros ativos</w:t>
      </w:r>
      <w:r w:rsidR="003463E9" w:rsidRPr="000C3D8E">
        <w:rPr>
          <w:rFonts w:eastAsia="Arial Unicode MS" w:cs="Calibri"/>
          <w:i/>
          <w:color w:val="000000" w:themeColor="text1"/>
          <w:szCs w:val="24"/>
        </w:rPr>
        <w:t>.</w:t>
      </w:r>
    </w:p>
    <w:p w14:paraId="54728FC6" w14:textId="7A85C7DE" w:rsidR="000C3D8E" w:rsidRPr="00855F9D" w:rsidRDefault="000C3D8E" w:rsidP="000C3D8E">
      <w:pPr>
        <w:spacing w:line="360" w:lineRule="auto"/>
        <w:ind w:firstLine="567"/>
        <w:jc w:val="both"/>
        <w:rPr>
          <w:rFonts w:eastAsia="Arial Unicode MS" w:cs="Calibri"/>
          <w:szCs w:val="24"/>
        </w:rPr>
      </w:pPr>
      <w:r w:rsidRPr="00855F9D">
        <w:rPr>
          <w:rFonts w:eastAsia="Arial Unicode MS" w:cs="Calibri"/>
          <w:szCs w:val="24"/>
        </w:rPr>
        <w:t xml:space="preserve">A Proposta N </w:t>
      </w:r>
      <w:r w:rsidRPr="00855F9D">
        <w:rPr>
          <w:rFonts w:eastAsia="Arial Unicode MS" w:cs="Calibri"/>
          <w:b/>
          <w:szCs w:val="24"/>
        </w:rPr>
        <w:t>º 5/2023 CF-FA</w:t>
      </w:r>
      <w:r w:rsidRPr="00855F9D">
        <w:rPr>
          <w:rFonts w:eastAsia="Arial Unicode MS" w:cs="Calibri"/>
          <w:szCs w:val="24"/>
        </w:rPr>
        <w:t xml:space="preserve"> </w:t>
      </w:r>
      <w:r w:rsidR="00FB1196" w:rsidRPr="00855F9D">
        <w:rPr>
          <w:rFonts w:eastAsia="Arial Unicode MS" w:cs="Calibri"/>
          <w:szCs w:val="24"/>
        </w:rPr>
        <w:t>ainda cita</w:t>
      </w:r>
      <w:r w:rsidRPr="00855F9D">
        <w:rPr>
          <w:rFonts w:eastAsia="Arial Unicode MS" w:cs="Calibri"/>
          <w:szCs w:val="24"/>
        </w:rPr>
        <w:t xml:space="preserve"> a inclusão no orçamento do Fundo de Apoio </w:t>
      </w:r>
      <w:r w:rsidR="00282938" w:rsidRPr="00855F9D">
        <w:rPr>
          <w:rFonts w:eastAsia="Arial Unicode MS" w:cs="Calibri"/>
          <w:szCs w:val="24"/>
        </w:rPr>
        <w:t>d</w:t>
      </w:r>
      <w:r w:rsidRPr="00855F9D">
        <w:rPr>
          <w:rFonts w:eastAsia="Arial Unicode MS" w:cs="Calibri"/>
          <w:szCs w:val="24"/>
        </w:rPr>
        <w:t xml:space="preserve">os valores de diárias e passagens para a participação no Fórum de Presidentes + custos de participação na Plenária Ampliada; bem como incluir os valores de </w:t>
      </w:r>
      <w:r w:rsidR="00282938" w:rsidRPr="00855F9D">
        <w:rPr>
          <w:rFonts w:eastAsia="Arial Unicode MS" w:cs="Calibri"/>
          <w:szCs w:val="24"/>
        </w:rPr>
        <w:t xml:space="preserve">uma </w:t>
      </w:r>
      <w:r w:rsidRPr="00855F9D">
        <w:rPr>
          <w:rFonts w:eastAsia="Arial Unicode MS" w:cs="Calibri"/>
          <w:szCs w:val="24"/>
        </w:rPr>
        <w:t>passage</w:t>
      </w:r>
      <w:r w:rsidR="00282938" w:rsidRPr="00855F9D">
        <w:rPr>
          <w:rFonts w:eastAsia="Arial Unicode MS" w:cs="Calibri"/>
          <w:szCs w:val="24"/>
        </w:rPr>
        <w:t>m</w:t>
      </w:r>
      <w:r w:rsidRPr="00855F9D">
        <w:rPr>
          <w:rFonts w:eastAsia="Arial Unicode MS" w:cs="Calibri"/>
          <w:szCs w:val="24"/>
        </w:rPr>
        <w:t xml:space="preserve"> e</w:t>
      </w:r>
      <w:r w:rsidR="00282938" w:rsidRPr="00855F9D">
        <w:rPr>
          <w:rFonts w:eastAsia="Arial Unicode MS" w:cs="Calibri"/>
          <w:szCs w:val="24"/>
        </w:rPr>
        <w:t xml:space="preserve"> uma</w:t>
      </w:r>
      <w:r w:rsidRPr="00855F9D">
        <w:rPr>
          <w:rFonts w:eastAsia="Arial Unicode MS" w:cs="Calibri"/>
          <w:szCs w:val="24"/>
        </w:rPr>
        <w:t xml:space="preserve"> diária para a participação em dez eventos nacionais, a critério do CAU/UF, entre aqueles promovidos pelas Comissões do CAU/BR</w:t>
      </w:r>
      <w:r w:rsidR="00282938" w:rsidRPr="00855F9D">
        <w:rPr>
          <w:rFonts w:eastAsia="Arial Unicode MS" w:cs="Calibri"/>
          <w:szCs w:val="24"/>
        </w:rPr>
        <w:t>, com custeio por aporte adicional pelo CAU/BR</w:t>
      </w:r>
    </w:p>
    <w:p w14:paraId="4EC8D014" w14:textId="53F89CA9" w:rsidR="009C36E1" w:rsidRPr="000C3D8E" w:rsidRDefault="003463E9" w:rsidP="00384A6B">
      <w:pPr>
        <w:spacing w:line="360" w:lineRule="auto"/>
        <w:ind w:firstLine="567"/>
        <w:jc w:val="both"/>
        <w:rPr>
          <w:rFonts w:eastAsia="Arial Unicode MS" w:cs="Calibri"/>
          <w:sz w:val="24"/>
          <w:szCs w:val="24"/>
        </w:rPr>
      </w:pPr>
      <w:r w:rsidRPr="00855F9D">
        <w:rPr>
          <w:rFonts w:eastAsia="Arial Unicode MS" w:cs="Calibri"/>
          <w:sz w:val="24"/>
          <w:szCs w:val="24"/>
        </w:rPr>
        <w:t>C</w:t>
      </w:r>
      <w:r w:rsidR="002340B5" w:rsidRPr="00855F9D">
        <w:rPr>
          <w:rFonts w:eastAsia="Arial Unicode MS" w:cs="Calibri"/>
          <w:sz w:val="24"/>
          <w:szCs w:val="24"/>
        </w:rPr>
        <w:t>om base n</w:t>
      </w:r>
      <w:r w:rsidR="00B558F9" w:rsidRPr="00855F9D">
        <w:rPr>
          <w:rFonts w:eastAsia="Arial Unicode MS" w:cs="Calibri"/>
          <w:sz w:val="24"/>
          <w:szCs w:val="24"/>
        </w:rPr>
        <w:t xml:space="preserve">a </w:t>
      </w:r>
      <w:r w:rsidR="004D1D75" w:rsidRPr="00855F9D">
        <w:rPr>
          <w:rFonts w:eastAsia="Arial Unicode MS" w:cs="Calibri"/>
          <w:sz w:val="24"/>
          <w:szCs w:val="24"/>
        </w:rPr>
        <w:t>PROPOSTA</w:t>
      </w:r>
      <w:r w:rsidR="00B558F9" w:rsidRPr="00855F9D">
        <w:rPr>
          <w:rFonts w:eastAsia="Arial Unicode MS" w:cs="Calibri"/>
          <w:sz w:val="24"/>
          <w:szCs w:val="24"/>
        </w:rPr>
        <w:t xml:space="preserve"> </w:t>
      </w:r>
      <w:r w:rsidR="004D1D75" w:rsidRPr="00855F9D">
        <w:rPr>
          <w:rFonts w:eastAsia="Arial Unicode MS" w:cs="Calibri"/>
          <w:sz w:val="24"/>
          <w:szCs w:val="24"/>
        </w:rPr>
        <w:t>N</w:t>
      </w:r>
      <w:r w:rsidR="00B57323" w:rsidRPr="00855F9D">
        <w:rPr>
          <w:rFonts w:eastAsia="Arial Unicode MS" w:cs="Calibri"/>
          <w:sz w:val="24"/>
          <w:szCs w:val="24"/>
        </w:rPr>
        <w:t xml:space="preserve">º </w:t>
      </w:r>
      <w:r w:rsidR="000D57EB" w:rsidRPr="00855F9D">
        <w:rPr>
          <w:rFonts w:eastAsia="Arial Unicode MS" w:cs="Calibri"/>
          <w:sz w:val="24"/>
          <w:szCs w:val="24"/>
        </w:rPr>
        <w:t>7/2022</w:t>
      </w:r>
      <w:r w:rsidR="008F2A4C" w:rsidRPr="00855F9D">
        <w:rPr>
          <w:rFonts w:eastAsia="Arial Unicode MS" w:cs="Calibri"/>
          <w:sz w:val="24"/>
          <w:szCs w:val="24"/>
        </w:rPr>
        <w:t>,</w:t>
      </w:r>
      <w:r w:rsidR="00B57323" w:rsidRPr="00855F9D">
        <w:rPr>
          <w:rFonts w:eastAsia="Arial Unicode MS" w:cs="Calibri"/>
          <w:sz w:val="24"/>
          <w:szCs w:val="24"/>
        </w:rPr>
        <w:t xml:space="preserve"> </w:t>
      </w:r>
      <w:r w:rsidR="00B558F9" w:rsidRPr="00855F9D">
        <w:rPr>
          <w:rFonts w:eastAsia="Arial Unicode MS" w:cs="Calibri"/>
          <w:sz w:val="24"/>
          <w:szCs w:val="24"/>
        </w:rPr>
        <w:t>aprovad</w:t>
      </w:r>
      <w:r w:rsidR="002340B5" w:rsidRPr="00855F9D">
        <w:rPr>
          <w:rFonts w:eastAsia="Arial Unicode MS" w:cs="Calibri"/>
          <w:sz w:val="24"/>
          <w:szCs w:val="24"/>
        </w:rPr>
        <w:t>a</w:t>
      </w:r>
      <w:r w:rsidR="00B558F9" w:rsidRPr="00855F9D">
        <w:rPr>
          <w:rFonts w:eastAsia="Arial Unicode MS" w:cs="Calibri"/>
          <w:sz w:val="24"/>
          <w:szCs w:val="24"/>
        </w:rPr>
        <w:t xml:space="preserve"> pelo Colegiado de Governança do Fundo de Apoio</w:t>
      </w:r>
      <w:r w:rsidR="00A84E77" w:rsidRPr="00855F9D">
        <w:rPr>
          <w:rFonts w:eastAsia="Arial Unicode MS" w:cs="Calibri"/>
          <w:sz w:val="24"/>
          <w:szCs w:val="24"/>
        </w:rPr>
        <w:t xml:space="preserve"> (CG</w:t>
      </w:r>
      <w:r w:rsidRPr="00855F9D">
        <w:rPr>
          <w:rFonts w:eastAsia="Arial Unicode MS" w:cs="Calibri"/>
          <w:sz w:val="24"/>
          <w:szCs w:val="24"/>
        </w:rPr>
        <w:t>-</w:t>
      </w:r>
      <w:r w:rsidR="00A84E77" w:rsidRPr="00855F9D">
        <w:rPr>
          <w:rFonts w:eastAsia="Arial Unicode MS" w:cs="Calibri"/>
          <w:sz w:val="24"/>
          <w:szCs w:val="24"/>
        </w:rPr>
        <w:t>FA)</w:t>
      </w:r>
      <w:r w:rsidR="006947D2" w:rsidRPr="00855F9D">
        <w:rPr>
          <w:rFonts w:eastAsia="Arial Unicode MS" w:cs="Calibri"/>
          <w:sz w:val="24"/>
          <w:szCs w:val="24"/>
        </w:rPr>
        <w:t xml:space="preserve"> </w:t>
      </w:r>
      <w:r w:rsidR="00B558F9" w:rsidRPr="00855F9D">
        <w:rPr>
          <w:rFonts w:eastAsia="Arial Unicode MS" w:cs="Calibri"/>
          <w:sz w:val="24"/>
          <w:szCs w:val="24"/>
        </w:rPr>
        <w:t xml:space="preserve">em </w:t>
      </w:r>
      <w:r w:rsidR="000D57EB" w:rsidRPr="00855F9D">
        <w:rPr>
          <w:rFonts w:eastAsia="Arial Unicode MS" w:cs="Calibri"/>
          <w:sz w:val="24"/>
          <w:szCs w:val="24"/>
        </w:rPr>
        <w:t>10</w:t>
      </w:r>
      <w:r w:rsidR="00227F7A" w:rsidRPr="00855F9D">
        <w:rPr>
          <w:rFonts w:eastAsia="Arial Unicode MS" w:cs="Calibri"/>
          <w:sz w:val="24"/>
          <w:szCs w:val="24"/>
        </w:rPr>
        <w:t xml:space="preserve"> de </w:t>
      </w:r>
      <w:r w:rsidR="000D57EB" w:rsidRPr="00855F9D">
        <w:rPr>
          <w:rFonts w:eastAsia="Arial Unicode MS" w:cs="Calibri"/>
          <w:sz w:val="24"/>
          <w:szCs w:val="24"/>
        </w:rPr>
        <w:t>outubro</w:t>
      </w:r>
      <w:r w:rsidR="00227F7A" w:rsidRPr="00855F9D">
        <w:rPr>
          <w:rFonts w:eastAsia="Arial Unicode MS" w:cs="Calibri"/>
          <w:sz w:val="24"/>
          <w:szCs w:val="24"/>
        </w:rPr>
        <w:t xml:space="preserve"> 202</w:t>
      </w:r>
      <w:r w:rsidR="00266A18" w:rsidRPr="00855F9D">
        <w:rPr>
          <w:rFonts w:eastAsia="Arial Unicode MS" w:cs="Calibri"/>
          <w:sz w:val="24"/>
          <w:szCs w:val="24"/>
        </w:rPr>
        <w:t>2</w:t>
      </w:r>
      <w:r w:rsidR="0032717B" w:rsidRPr="00855F9D">
        <w:rPr>
          <w:rFonts w:eastAsia="Arial Unicode MS" w:cs="Calibri"/>
          <w:sz w:val="24"/>
          <w:szCs w:val="24"/>
        </w:rPr>
        <w:t>,</w:t>
      </w:r>
      <w:r w:rsidR="006947D2" w:rsidRPr="00855F9D">
        <w:rPr>
          <w:rFonts w:eastAsia="Arial Unicode MS" w:cs="Calibri"/>
          <w:sz w:val="24"/>
          <w:szCs w:val="24"/>
        </w:rPr>
        <w:t xml:space="preserve"> foram atualizadas as diretrizes de operação do </w:t>
      </w:r>
      <w:r w:rsidR="00B558F9" w:rsidRPr="00855F9D">
        <w:rPr>
          <w:rFonts w:eastAsia="Arial Unicode MS" w:cs="Calibri"/>
          <w:sz w:val="24"/>
          <w:szCs w:val="24"/>
        </w:rPr>
        <w:t xml:space="preserve">cálculo do CAU BÁSICO, </w:t>
      </w:r>
      <w:r w:rsidR="00407E97" w:rsidRPr="00855F9D">
        <w:rPr>
          <w:rFonts w:eastAsia="Arial Unicode MS" w:cs="Calibri"/>
          <w:sz w:val="24"/>
          <w:szCs w:val="24"/>
        </w:rPr>
        <w:t>conforme descrit</w:t>
      </w:r>
      <w:r w:rsidR="006947D2" w:rsidRPr="00855F9D">
        <w:rPr>
          <w:rFonts w:eastAsia="Arial Unicode MS" w:cs="Calibri"/>
          <w:sz w:val="24"/>
          <w:szCs w:val="24"/>
        </w:rPr>
        <w:t>as</w:t>
      </w:r>
      <w:r w:rsidR="00407E97" w:rsidRPr="00855F9D">
        <w:rPr>
          <w:rFonts w:eastAsia="Arial Unicode MS" w:cs="Calibri"/>
          <w:sz w:val="24"/>
          <w:szCs w:val="24"/>
        </w:rPr>
        <w:t xml:space="preserve"> abaixo</w:t>
      </w:r>
      <w:r w:rsidR="00672D63" w:rsidRPr="000C3D8E">
        <w:rPr>
          <w:rFonts w:eastAsia="Arial Unicode MS" w:cs="Calibri"/>
          <w:sz w:val="24"/>
          <w:szCs w:val="24"/>
        </w:rPr>
        <w:t>:</w:t>
      </w:r>
    </w:p>
    <w:p w14:paraId="20EA7C7A" w14:textId="20C1B3B8" w:rsidR="00870F9A" w:rsidRPr="000C3D8E" w:rsidRDefault="00BD2BFA" w:rsidP="00E94498">
      <w:pPr>
        <w:pStyle w:val="PargrafodaLista"/>
        <w:numPr>
          <w:ilvl w:val="0"/>
          <w:numId w:val="30"/>
        </w:numPr>
        <w:spacing w:line="360" w:lineRule="auto"/>
        <w:jc w:val="both"/>
        <w:rPr>
          <w:rFonts w:eastAsia="Arial Unicode MS" w:cs="Calibri"/>
          <w:sz w:val="24"/>
          <w:szCs w:val="24"/>
        </w:rPr>
      </w:pPr>
      <w:r w:rsidRPr="000C3D8E">
        <w:rPr>
          <w:rFonts w:eastAsia="Arial Unicode MS" w:cs="Calibri"/>
          <w:sz w:val="24"/>
          <w:szCs w:val="24"/>
        </w:rPr>
        <w:t>É garantido</w:t>
      </w:r>
      <w:r w:rsidR="003C0B99" w:rsidRPr="000C3D8E">
        <w:rPr>
          <w:rFonts w:eastAsia="Arial Unicode MS" w:cs="Calibri"/>
          <w:sz w:val="24"/>
          <w:szCs w:val="24"/>
        </w:rPr>
        <w:t xml:space="preserve"> </w:t>
      </w:r>
      <w:r w:rsidRPr="000C3D8E">
        <w:rPr>
          <w:rFonts w:eastAsia="Arial Unicode MS" w:cs="Calibri"/>
          <w:sz w:val="24"/>
          <w:szCs w:val="24"/>
        </w:rPr>
        <w:t xml:space="preserve">aos </w:t>
      </w:r>
      <w:r w:rsidR="00870F9A" w:rsidRPr="000C3D8E">
        <w:rPr>
          <w:rFonts w:eastAsia="Arial Unicode MS" w:cs="Calibri"/>
          <w:sz w:val="24"/>
          <w:szCs w:val="24"/>
        </w:rPr>
        <w:t>CAU Básicos</w:t>
      </w:r>
      <w:r w:rsidRPr="000C3D8E">
        <w:rPr>
          <w:rFonts w:eastAsia="Arial Unicode MS" w:cs="Calibri"/>
          <w:sz w:val="24"/>
          <w:szCs w:val="24"/>
        </w:rPr>
        <w:t xml:space="preserve"> </w:t>
      </w:r>
      <w:r w:rsidR="00870F9A" w:rsidRPr="000C3D8E">
        <w:rPr>
          <w:rFonts w:eastAsia="Arial Unicode MS" w:cs="Calibri"/>
          <w:sz w:val="24"/>
          <w:szCs w:val="24"/>
        </w:rPr>
        <w:t>o custeio integral do aporte ao CSC e da participação em Plenárias Ampliadas,</w:t>
      </w:r>
      <w:r w:rsidRPr="000C3D8E">
        <w:rPr>
          <w:rFonts w:eastAsia="Arial Unicode MS" w:cs="Calibri"/>
          <w:sz w:val="24"/>
          <w:szCs w:val="24"/>
        </w:rPr>
        <w:t xml:space="preserve"> </w:t>
      </w:r>
      <w:r w:rsidR="005A01EE" w:rsidRPr="000C3D8E">
        <w:rPr>
          <w:rFonts w:eastAsia="Arial Unicode MS" w:cs="Calibri"/>
          <w:sz w:val="24"/>
          <w:szCs w:val="24"/>
        </w:rPr>
        <w:t>e participação de eventos nacionais de acordo com as diretrizes definidas pelo CG-FA</w:t>
      </w:r>
      <w:r w:rsidRPr="000C3D8E">
        <w:rPr>
          <w:rFonts w:eastAsia="Arial Unicode MS" w:cs="Calibri"/>
          <w:sz w:val="24"/>
          <w:szCs w:val="24"/>
        </w:rPr>
        <w:t>, sendo</w:t>
      </w:r>
      <w:r w:rsidR="00870F9A" w:rsidRPr="000C3D8E">
        <w:rPr>
          <w:rFonts w:eastAsia="Arial Unicode MS" w:cs="Calibri"/>
          <w:sz w:val="24"/>
          <w:szCs w:val="24"/>
        </w:rPr>
        <w:t xml:space="preserve"> que: </w:t>
      </w:r>
    </w:p>
    <w:p w14:paraId="0B750AD5" w14:textId="1E39A537" w:rsidR="00870F9A" w:rsidRPr="000C3D8E" w:rsidRDefault="00870F9A" w:rsidP="00870F9A">
      <w:pPr>
        <w:pStyle w:val="PargrafodaLista"/>
        <w:spacing w:line="360" w:lineRule="auto"/>
        <w:ind w:left="3402"/>
        <w:jc w:val="both"/>
        <w:rPr>
          <w:rFonts w:eastAsia="Arial Unicode MS" w:cs="Calibri"/>
          <w:sz w:val="24"/>
          <w:szCs w:val="24"/>
        </w:rPr>
      </w:pPr>
      <w:r w:rsidRPr="000C3D8E">
        <w:rPr>
          <w:rFonts w:eastAsia="Arial Unicode MS" w:cs="Calibri"/>
          <w:sz w:val="24"/>
          <w:szCs w:val="24"/>
        </w:rPr>
        <w:t>a) O CAU</w:t>
      </w:r>
      <w:r w:rsidR="003C0B99" w:rsidRPr="000C3D8E">
        <w:rPr>
          <w:rFonts w:eastAsia="Arial Unicode MS" w:cs="Calibri"/>
          <w:sz w:val="24"/>
          <w:szCs w:val="24"/>
        </w:rPr>
        <w:t>/UF</w:t>
      </w:r>
      <w:r w:rsidRPr="000C3D8E">
        <w:rPr>
          <w:rFonts w:eastAsia="Arial Unicode MS" w:cs="Calibri"/>
          <w:sz w:val="24"/>
          <w:szCs w:val="24"/>
        </w:rPr>
        <w:t xml:space="preserve"> deixa</w:t>
      </w:r>
      <w:r w:rsidR="003C0B99" w:rsidRPr="000C3D8E">
        <w:rPr>
          <w:rFonts w:eastAsia="Arial Unicode MS" w:cs="Calibri"/>
          <w:sz w:val="24"/>
          <w:szCs w:val="24"/>
        </w:rPr>
        <w:t>rá</w:t>
      </w:r>
      <w:r w:rsidRPr="000C3D8E">
        <w:rPr>
          <w:rFonts w:eastAsia="Arial Unicode MS" w:cs="Calibri"/>
          <w:sz w:val="24"/>
          <w:szCs w:val="24"/>
        </w:rPr>
        <w:t xml:space="preserve"> de ser </w:t>
      </w:r>
      <w:r w:rsidR="003C0B99" w:rsidRPr="000C3D8E">
        <w:rPr>
          <w:rFonts w:eastAsia="Arial Unicode MS" w:cs="Calibri"/>
          <w:sz w:val="24"/>
          <w:szCs w:val="24"/>
        </w:rPr>
        <w:t>considerado Básico</w:t>
      </w:r>
      <w:r w:rsidRPr="000C3D8E">
        <w:rPr>
          <w:rFonts w:eastAsia="Arial Unicode MS" w:cs="Calibri"/>
          <w:sz w:val="24"/>
          <w:szCs w:val="24"/>
        </w:rPr>
        <w:t xml:space="preserve"> somente quando sua projeção de arrecadação superar o somatório do Valor do CAU Básico</w:t>
      </w:r>
      <w:r w:rsidR="003C0B99" w:rsidRPr="000C3D8E">
        <w:rPr>
          <w:rFonts w:eastAsia="Arial Unicode MS" w:cs="Calibri"/>
          <w:sz w:val="24"/>
          <w:szCs w:val="24"/>
        </w:rPr>
        <w:t xml:space="preserve"> + </w:t>
      </w:r>
      <w:r w:rsidRPr="000C3D8E">
        <w:rPr>
          <w:rFonts w:eastAsia="Arial Unicode MS" w:cs="Calibri"/>
          <w:sz w:val="24"/>
          <w:szCs w:val="24"/>
        </w:rPr>
        <w:t>aporte ao CSC</w:t>
      </w:r>
      <w:r w:rsidR="003C0B99" w:rsidRPr="000C3D8E">
        <w:rPr>
          <w:rFonts w:eastAsia="Arial Unicode MS" w:cs="Calibri"/>
          <w:sz w:val="24"/>
          <w:szCs w:val="24"/>
        </w:rPr>
        <w:t xml:space="preserve"> + </w:t>
      </w:r>
      <w:r w:rsidRPr="000C3D8E">
        <w:rPr>
          <w:rFonts w:eastAsia="Arial Unicode MS" w:cs="Calibri"/>
          <w:sz w:val="24"/>
          <w:szCs w:val="24"/>
        </w:rPr>
        <w:t xml:space="preserve">participação nas Plenárias Ampliadas; </w:t>
      </w:r>
    </w:p>
    <w:p w14:paraId="0EED7DE9" w14:textId="086FEF1C" w:rsidR="000C3D8E" w:rsidRPr="000C3D8E" w:rsidRDefault="00870F9A" w:rsidP="000C3D8E">
      <w:pPr>
        <w:pStyle w:val="PargrafodaLista"/>
        <w:spacing w:line="360" w:lineRule="auto"/>
        <w:ind w:left="3402"/>
        <w:jc w:val="both"/>
        <w:rPr>
          <w:rFonts w:eastAsia="Arial Unicode MS" w:cs="Calibri"/>
          <w:sz w:val="24"/>
          <w:szCs w:val="24"/>
        </w:rPr>
      </w:pPr>
      <w:r w:rsidRPr="000C3D8E">
        <w:rPr>
          <w:rFonts w:eastAsia="Arial Unicode MS" w:cs="Calibri"/>
          <w:sz w:val="24"/>
          <w:szCs w:val="24"/>
        </w:rPr>
        <w:t xml:space="preserve">b) O CAU/UF que atender as condições do item “a” será considerado “CAU em Transição” </w:t>
      </w:r>
      <w:r w:rsidR="005A01EE" w:rsidRPr="000C3D8E">
        <w:rPr>
          <w:rFonts w:eastAsia="Arial Unicode MS" w:cs="Calibri"/>
          <w:sz w:val="24"/>
          <w:szCs w:val="24"/>
        </w:rPr>
        <w:t>e terá assegurado</w:t>
      </w:r>
      <w:r w:rsidR="006604E3" w:rsidRPr="000C3D8E">
        <w:rPr>
          <w:rFonts w:eastAsia="Arial Unicode MS" w:cs="Calibri"/>
          <w:sz w:val="24"/>
          <w:szCs w:val="24"/>
        </w:rPr>
        <w:t>, pelo Fundo de Apoio,</w:t>
      </w:r>
      <w:r w:rsidR="005A01EE" w:rsidRPr="000C3D8E">
        <w:rPr>
          <w:rFonts w:eastAsia="Arial Unicode MS" w:cs="Calibri"/>
          <w:sz w:val="24"/>
          <w:szCs w:val="24"/>
        </w:rPr>
        <w:t xml:space="preserve"> </w:t>
      </w:r>
      <w:r w:rsidR="006604E3" w:rsidRPr="000C3D8E">
        <w:rPr>
          <w:rFonts w:eastAsia="Arial Unicode MS" w:cs="Calibri"/>
          <w:sz w:val="24"/>
          <w:szCs w:val="24"/>
        </w:rPr>
        <w:t xml:space="preserve">o </w:t>
      </w:r>
      <w:r w:rsidR="005A01EE" w:rsidRPr="000C3D8E">
        <w:rPr>
          <w:rFonts w:eastAsia="Arial Unicode MS" w:cs="Calibri"/>
          <w:sz w:val="24"/>
          <w:szCs w:val="24"/>
        </w:rPr>
        <w:t xml:space="preserve">custeio do aporte ao CSC </w:t>
      </w:r>
      <w:r w:rsidR="006604E3" w:rsidRPr="000C3D8E">
        <w:rPr>
          <w:rFonts w:eastAsia="Arial Unicode MS" w:cs="Calibri"/>
          <w:sz w:val="24"/>
          <w:szCs w:val="24"/>
        </w:rPr>
        <w:t>+ a participação em Plenárias Ampliadas até que sua projeção de arrecadação supere em 25% (vinte e cinco por cento) o valor do CAU Básico.</w:t>
      </w:r>
    </w:p>
    <w:p w14:paraId="7BA658D9" w14:textId="33E6C6CD" w:rsidR="00285A07" w:rsidRPr="000C3D8E" w:rsidRDefault="006947D2" w:rsidP="00285A07">
      <w:pPr>
        <w:spacing w:line="360" w:lineRule="auto"/>
        <w:ind w:firstLine="851"/>
        <w:jc w:val="both"/>
        <w:rPr>
          <w:rFonts w:eastAsia="Arial Unicode MS" w:cs="Calibri"/>
          <w:sz w:val="24"/>
          <w:szCs w:val="24"/>
        </w:rPr>
      </w:pPr>
      <w:r w:rsidRPr="000C3D8E">
        <w:rPr>
          <w:rFonts w:eastAsia="Arial Unicode MS" w:cs="Calibri"/>
          <w:sz w:val="24"/>
          <w:szCs w:val="24"/>
        </w:rPr>
        <w:t xml:space="preserve">Cumpre </w:t>
      </w:r>
      <w:r w:rsidR="00285A07" w:rsidRPr="000C3D8E">
        <w:rPr>
          <w:rFonts w:eastAsia="Arial Unicode MS" w:cs="Calibri"/>
          <w:sz w:val="24"/>
          <w:szCs w:val="24"/>
        </w:rPr>
        <w:t xml:space="preserve">ressaltar </w:t>
      </w:r>
      <w:r w:rsidRPr="000C3D8E">
        <w:rPr>
          <w:rFonts w:eastAsia="Arial Unicode MS" w:cs="Calibri"/>
          <w:sz w:val="24"/>
          <w:szCs w:val="24"/>
        </w:rPr>
        <w:t xml:space="preserve">que, </w:t>
      </w:r>
      <w:r w:rsidR="00285A07" w:rsidRPr="000C3D8E">
        <w:rPr>
          <w:rFonts w:eastAsia="Arial Unicode MS" w:cs="Calibri"/>
          <w:sz w:val="24"/>
          <w:szCs w:val="24"/>
        </w:rPr>
        <w:t>para o cálculo do Repasse do Fundo de Apoio</w:t>
      </w:r>
      <w:r w:rsidRPr="000C3D8E">
        <w:rPr>
          <w:rFonts w:eastAsia="Arial Unicode MS" w:cs="Calibri"/>
          <w:sz w:val="24"/>
          <w:szCs w:val="24"/>
        </w:rPr>
        <w:t>,</w:t>
      </w:r>
      <w:r w:rsidR="00285A07" w:rsidRPr="000C3D8E">
        <w:rPr>
          <w:rFonts w:eastAsia="Arial Unicode MS" w:cs="Calibri"/>
          <w:sz w:val="24"/>
          <w:szCs w:val="24"/>
        </w:rPr>
        <w:t xml:space="preserve"> foi considerad</w:t>
      </w:r>
      <w:r w:rsidRPr="000C3D8E">
        <w:rPr>
          <w:rFonts w:eastAsia="Arial Unicode MS" w:cs="Calibri"/>
          <w:sz w:val="24"/>
          <w:szCs w:val="24"/>
        </w:rPr>
        <w:t>a</w:t>
      </w:r>
      <w:r w:rsidR="0036524E" w:rsidRPr="000C3D8E">
        <w:rPr>
          <w:rFonts w:eastAsia="Arial Unicode MS" w:cs="Calibri"/>
          <w:sz w:val="24"/>
          <w:szCs w:val="24"/>
        </w:rPr>
        <w:t xml:space="preserve"> e mantida</w:t>
      </w:r>
      <w:r w:rsidR="00285A07" w:rsidRPr="000C3D8E">
        <w:rPr>
          <w:rFonts w:eastAsia="Arial Unicode MS" w:cs="Calibri"/>
          <w:sz w:val="24"/>
          <w:szCs w:val="24"/>
        </w:rPr>
        <w:t xml:space="preserve"> a regra prevista na PROPOSTA Nº 6/2021 – CG-FA</w:t>
      </w:r>
      <w:r w:rsidRPr="000C3D8E">
        <w:rPr>
          <w:rFonts w:eastAsia="Arial Unicode MS" w:cs="Calibri"/>
          <w:sz w:val="24"/>
          <w:szCs w:val="24"/>
        </w:rPr>
        <w:t xml:space="preserve">, especificamente no que se refere às receitas de </w:t>
      </w:r>
      <w:r w:rsidR="00285A07" w:rsidRPr="000C3D8E">
        <w:rPr>
          <w:rFonts w:eastAsia="Arial Unicode MS" w:cs="Calibri"/>
          <w:sz w:val="24"/>
          <w:szCs w:val="24"/>
        </w:rPr>
        <w:t>exercícios anteriores</w:t>
      </w:r>
      <w:r w:rsidR="0036524E" w:rsidRPr="000C3D8E">
        <w:rPr>
          <w:rFonts w:eastAsia="Arial Unicode MS" w:cs="Calibri"/>
          <w:sz w:val="24"/>
          <w:szCs w:val="24"/>
        </w:rPr>
        <w:t>: “</w:t>
      </w:r>
      <w:r w:rsidR="003C0B99" w:rsidRPr="000C3D8E">
        <w:rPr>
          <w:rFonts w:eastAsia="Arial Unicode MS" w:cs="Calibri"/>
          <w:sz w:val="24"/>
          <w:szCs w:val="24"/>
        </w:rPr>
        <w:t>...</w:t>
      </w:r>
      <w:r w:rsidR="0036524E" w:rsidRPr="000C3D8E">
        <w:rPr>
          <w:rFonts w:eastAsia="Arial Unicode MS" w:cs="Calibri"/>
          <w:i/>
          <w:iCs/>
          <w:sz w:val="24"/>
          <w:szCs w:val="24"/>
        </w:rPr>
        <w:t>n</w:t>
      </w:r>
      <w:r w:rsidR="00285A07" w:rsidRPr="000C3D8E">
        <w:rPr>
          <w:rFonts w:eastAsia="Arial Unicode MS" w:cs="Calibri"/>
          <w:i/>
          <w:iCs/>
          <w:sz w:val="24"/>
          <w:szCs w:val="24"/>
        </w:rPr>
        <w:t>a elaboração do quadro do Fundo de Apoio para a Programação e Reprogramação Orçamentária de cada ano, serão considerados os exercícios anteriores na projeção de receitas de arrecadação conforme o limite mínimo</w:t>
      </w:r>
      <w:r w:rsidR="0036524E" w:rsidRPr="000C3D8E">
        <w:rPr>
          <w:rFonts w:eastAsia="Arial Unicode MS" w:cs="Calibri"/>
          <w:i/>
          <w:iCs/>
          <w:sz w:val="24"/>
          <w:szCs w:val="24"/>
        </w:rPr>
        <w:t xml:space="preserve"> de 10%, </w:t>
      </w:r>
      <w:r w:rsidR="00285A07" w:rsidRPr="000C3D8E">
        <w:rPr>
          <w:rFonts w:eastAsia="Arial Unicode MS" w:cs="Calibri"/>
          <w:i/>
          <w:iCs/>
          <w:sz w:val="24"/>
          <w:szCs w:val="24"/>
        </w:rPr>
        <w:t>proposto pela CPFI-CAU/BR a todos os CAU/UF</w:t>
      </w:r>
      <w:r w:rsidR="00285A07" w:rsidRPr="000C3D8E">
        <w:rPr>
          <w:rFonts w:eastAsia="Arial Unicode MS" w:cs="Calibri"/>
          <w:sz w:val="24"/>
          <w:szCs w:val="24"/>
        </w:rPr>
        <w:t>”.</w:t>
      </w:r>
    </w:p>
    <w:p w14:paraId="15AEFCCD" w14:textId="4A744B7E" w:rsidR="00CA6462" w:rsidRPr="000C3D8E" w:rsidRDefault="0036524E" w:rsidP="00367CBC">
      <w:pPr>
        <w:spacing w:line="360" w:lineRule="auto"/>
        <w:ind w:firstLine="851"/>
        <w:jc w:val="both"/>
        <w:rPr>
          <w:rFonts w:eastAsia="Arial Unicode MS" w:cs="Calibri"/>
          <w:bCs/>
          <w:sz w:val="24"/>
          <w:szCs w:val="24"/>
        </w:rPr>
      </w:pPr>
      <w:r w:rsidRPr="000C3D8E">
        <w:rPr>
          <w:rFonts w:eastAsia="Arial Unicode MS" w:cs="Calibri"/>
          <w:sz w:val="24"/>
          <w:szCs w:val="24"/>
        </w:rPr>
        <w:t xml:space="preserve">Considerando as </w:t>
      </w:r>
      <w:r w:rsidR="00CA6462" w:rsidRPr="000C3D8E">
        <w:rPr>
          <w:rFonts w:eastAsia="Arial Unicode MS" w:cs="Calibri"/>
          <w:sz w:val="24"/>
          <w:szCs w:val="24"/>
        </w:rPr>
        <w:t xml:space="preserve">arrecadações projetadas </w:t>
      </w:r>
      <w:r w:rsidRPr="000C3D8E">
        <w:rPr>
          <w:rFonts w:eastAsia="Arial Unicode MS" w:cs="Calibri"/>
          <w:sz w:val="24"/>
          <w:szCs w:val="24"/>
        </w:rPr>
        <w:t xml:space="preserve">e o </w:t>
      </w:r>
      <w:r w:rsidR="00CA6462" w:rsidRPr="000C3D8E">
        <w:rPr>
          <w:rFonts w:eastAsia="Arial Unicode MS" w:cs="Calibri"/>
          <w:sz w:val="24"/>
          <w:szCs w:val="24"/>
        </w:rPr>
        <w:t>valor</w:t>
      </w:r>
      <w:r w:rsidRPr="000C3D8E">
        <w:rPr>
          <w:rFonts w:eastAsia="Arial Unicode MS" w:cs="Calibri"/>
          <w:sz w:val="24"/>
          <w:szCs w:val="24"/>
        </w:rPr>
        <w:t xml:space="preserve"> definido para enquadramento do</w:t>
      </w:r>
      <w:r w:rsidR="00CA6462" w:rsidRPr="000C3D8E">
        <w:rPr>
          <w:rFonts w:eastAsia="Arial Unicode MS" w:cs="Calibri"/>
          <w:sz w:val="24"/>
          <w:szCs w:val="24"/>
        </w:rPr>
        <w:t xml:space="preserve"> CAU Básico,</w:t>
      </w:r>
      <w:r w:rsidRPr="000C3D8E">
        <w:rPr>
          <w:rFonts w:eastAsia="Arial Unicode MS" w:cs="Calibri"/>
          <w:sz w:val="24"/>
          <w:szCs w:val="24"/>
        </w:rPr>
        <w:t xml:space="preserve"> permanecem como </w:t>
      </w:r>
      <w:r w:rsidR="00CA6462" w:rsidRPr="000C3D8E">
        <w:rPr>
          <w:rFonts w:eastAsia="Arial Unicode MS" w:cs="Calibri"/>
          <w:sz w:val="24"/>
          <w:szCs w:val="24"/>
        </w:rPr>
        <w:t xml:space="preserve">CAU Básico, </w:t>
      </w:r>
      <w:r w:rsidRPr="000C3D8E">
        <w:rPr>
          <w:rFonts w:eastAsia="Arial Unicode MS" w:cs="Calibri"/>
          <w:sz w:val="24"/>
          <w:szCs w:val="24"/>
        </w:rPr>
        <w:t>para o exercício de 202</w:t>
      </w:r>
      <w:r w:rsidR="00B25CBB" w:rsidRPr="000C3D8E">
        <w:rPr>
          <w:rFonts w:eastAsia="Arial Unicode MS" w:cs="Calibri"/>
          <w:sz w:val="24"/>
          <w:szCs w:val="24"/>
        </w:rPr>
        <w:t>4</w:t>
      </w:r>
      <w:r w:rsidRPr="000C3D8E">
        <w:rPr>
          <w:rFonts w:eastAsia="Arial Unicode MS" w:cs="Calibri"/>
          <w:sz w:val="24"/>
          <w:szCs w:val="24"/>
        </w:rPr>
        <w:t xml:space="preserve"> os CAU</w:t>
      </w:r>
      <w:r w:rsidR="00CA6462" w:rsidRPr="000C3D8E">
        <w:rPr>
          <w:rFonts w:eastAsia="Arial Unicode MS" w:cs="Calibri"/>
          <w:sz w:val="24"/>
          <w:szCs w:val="24"/>
        </w:rPr>
        <w:t>:</w:t>
      </w:r>
      <w:r w:rsidR="00CA6462" w:rsidRPr="000C3D8E">
        <w:rPr>
          <w:rFonts w:eastAsia="Arial Unicode MS" w:cs="Calibri"/>
          <w:b/>
          <w:sz w:val="24"/>
          <w:szCs w:val="24"/>
        </w:rPr>
        <w:t xml:space="preserve"> </w:t>
      </w:r>
      <w:r w:rsidR="00913F71" w:rsidRPr="000C3D8E">
        <w:rPr>
          <w:rFonts w:eastAsia="Arial Unicode MS" w:cs="Calibri"/>
          <w:b/>
          <w:sz w:val="24"/>
          <w:szCs w:val="24"/>
        </w:rPr>
        <w:t>Grupo I (</w:t>
      </w:r>
      <w:r w:rsidR="00CA6462" w:rsidRPr="000C3D8E">
        <w:rPr>
          <w:rFonts w:eastAsia="Arial Unicode MS" w:cs="Calibri"/>
          <w:b/>
          <w:sz w:val="24"/>
          <w:szCs w:val="24"/>
        </w:rPr>
        <w:t>Acre</w:t>
      </w:r>
      <w:r w:rsidR="00913F71" w:rsidRPr="000C3D8E">
        <w:rPr>
          <w:rFonts w:eastAsia="Arial Unicode MS" w:cs="Calibri"/>
          <w:b/>
          <w:sz w:val="24"/>
          <w:szCs w:val="24"/>
        </w:rPr>
        <w:t xml:space="preserve"> e Roraima) e Grupo II (</w:t>
      </w:r>
      <w:r w:rsidR="00CA6462" w:rsidRPr="000C3D8E">
        <w:rPr>
          <w:rFonts w:eastAsia="Arial Unicode MS" w:cs="Calibri"/>
          <w:b/>
          <w:sz w:val="24"/>
          <w:szCs w:val="24"/>
        </w:rPr>
        <w:t>Amapá, Piauí</w:t>
      </w:r>
      <w:r w:rsidR="00CA6462" w:rsidRPr="00855F9D">
        <w:rPr>
          <w:rFonts w:eastAsia="Arial Unicode MS" w:cs="Calibri"/>
          <w:b/>
          <w:sz w:val="24"/>
          <w:szCs w:val="24"/>
        </w:rPr>
        <w:t xml:space="preserve">, </w:t>
      </w:r>
      <w:r w:rsidR="00B25CBB" w:rsidRPr="00855F9D">
        <w:rPr>
          <w:rFonts w:eastAsia="Arial Unicode MS" w:cs="Calibri"/>
          <w:b/>
          <w:sz w:val="24"/>
          <w:szCs w:val="24"/>
        </w:rPr>
        <w:t>Ro</w:t>
      </w:r>
      <w:r w:rsidR="00514DF5" w:rsidRPr="00855F9D">
        <w:rPr>
          <w:rFonts w:eastAsia="Arial Unicode MS" w:cs="Calibri"/>
          <w:b/>
          <w:sz w:val="24"/>
          <w:szCs w:val="24"/>
        </w:rPr>
        <w:t>ndônia</w:t>
      </w:r>
      <w:r w:rsidR="00B25CBB" w:rsidRPr="00855F9D">
        <w:rPr>
          <w:rFonts w:eastAsia="Arial Unicode MS" w:cs="Calibri"/>
          <w:b/>
          <w:sz w:val="24"/>
          <w:szCs w:val="24"/>
        </w:rPr>
        <w:t>,</w:t>
      </w:r>
      <w:r w:rsidR="00514DF5" w:rsidRPr="00855F9D">
        <w:rPr>
          <w:rFonts w:eastAsia="Arial Unicode MS" w:cs="Calibri"/>
          <w:b/>
          <w:sz w:val="24"/>
          <w:szCs w:val="24"/>
        </w:rPr>
        <w:t xml:space="preserve"> </w:t>
      </w:r>
      <w:r w:rsidR="00CA6462" w:rsidRPr="00855F9D">
        <w:rPr>
          <w:rFonts w:eastAsia="Arial Unicode MS" w:cs="Calibri"/>
          <w:b/>
          <w:sz w:val="24"/>
          <w:szCs w:val="24"/>
        </w:rPr>
        <w:t>Tocantins</w:t>
      </w:r>
      <w:r w:rsidRPr="000C3D8E">
        <w:rPr>
          <w:rFonts w:eastAsia="Arial Unicode MS" w:cs="Calibri"/>
          <w:b/>
          <w:sz w:val="24"/>
          <w:szCs w:val="24"/>
        </w:rPr>
        <w:t xml:space="preserve">, </w:t>
      </w:r>
      <w:r w:rsidR="00913F71" w:rsidRPr="000C3D8E">
        <w:rPr>
          <w:rFonts w:eastAsia="Arial Unicode MS" w:cs="Calibri"/>
          <w:b/>
          <w:sz w:val="24"/>
          <w:szCs w:val="24"/>
        </w:rPr>
        <w:t>S</w:t>
      </w:r>
      <w:r w:rsidRPr="000C3D8E">
        <w:rPr>
          <w:rFonts w:eastAsia="Arial Unicode MS" w:cs="Calibri"/>
          <w:b/>
          <w:sz w:val="24"/>
          <w:szCs w:val="24"/>
        </w:rPr>
        <w:t>ergipe e Maranhão</w:t>
      </w:r>
      <w:r w:rsidR="00913F71" w:rsidRPr="000C3D8E">
        <w:rPr>
          <w:rFonts w:eastAsia="Arial Unicode MS" w:cs="Calibri"/>
          <w:b/>
          <w:sz w:val="24"/>
          <w:szCs w:val="24"/>
        </w:rPr>
        <w:t>)</w:t>
      </w:r>
      <w:r w:rsidRPr="000C3D8E">
        <w:rPr>
          <w:rFonts w:eastAsia="Arial Unicode MS" w:cs="Calibri"/>
          <w:b/>
          <w:sz w:val="24"/>
          <w:szCs w:val="24"/>
        </w:rPr>
        <w:t xml:space="preserve">, </w:t>
      </w:r>
      <w:r w:rsidRPr="000C3D8E">
        <w:rPr>
          <w:rFonts w:eastAsia="Arial Unicode MS" w:cs="Calibri"/>
          <w:bCs/>
          <w:sz w:val="24"/>
          <w:szCs w:val="24"/>
        </w:rPr>
        <w:t>sendo que, no caso dos dois últimos</w:t>
      </w:r>
      <w:r w:rsidR="00913F71" w:rsidRPr="000C3D8E">
        <w:rPr>
          <w:rFonts w:eastAsia="Arial Unicode MS" w:cs="Calibri"/>
          <w:bCs/>
          <w:sz w:val="24"/>
          <w:szCs w:val="24"/>
        </w:rPr>
        <w:t xml:space="preserve"> (SE e MA)</w:t>
      </w:r>
      <w:r w:rsidRPr="000C3D8E">
        <w:rPr>
          <w:rFonts w:eastAsia="Arial Unicode MS" w:cs="Calibri"/>
          <w:bCs/>
          <w:sz w:val="24"/>
          <w:szCs w:val="24"/>
        </w:rPr>
        <w:t xml:space="preserve">, são </w:t>
      </w:r>
      <w:r w:rsidR="00525BDF">
        <w:rPr>
          <w:rFonts w:eastAsia="Arial Unicode MS" w:cs="Calibri"/>
          <w:bCs/>
          <w:sz w:val="24"/>
          <w:szCs w:val="24"/>
        </w:rPr>
        <w:t xml:space="preserve">considerados CAU em transição, </w:t>
      </w:r>
      <w:r w:rsidR="00A361A8">
        <w:rPr>
          <w:rFonts w:eastAsia="Arial Unicode MS" w:cs="Calibri"/>
          <w:bCs/>
          <w:sz w:val="24"/>
          <w:szCs w:val="24"/>
        </w:rPr>
        <w:t xml:space="preserve">sendo a eles </w:t>
      </w:r>
      <w:r w:rsidRPr="000C3D8E">
        <w:rPr>
          <w:rFonts w:eastAsia="Arial Unicode MS" w:cs="Calibri"/>
          <w:bCs/>
          <w:sz w:val="24"/>
          <w:szCs w:val="24"/>
        </w:rPr>
        <w:t>garantido</w:t>
      </w:r>
      <w:r w:rsidR="00A361A8">
        <w:rPr>
          <w:rFonts w:eastAsia="Arial Unicode MS" w:cs="Calibri"/>
          <w:bCs/>
          <w:sz w:val="24"/>
          <w:szCs w:val="24"/>
        </w:rPr>
        <w:t>s</w:t>
      </w:r>
      <w:r w:rsidRPr="000C3D8E">
        <w:rPr>
          <w:rFonts w:eastAsia="Arial Unicode MS" w:cs="Calibri"/>
          <w:bCs/>
          <w:sz w:val="24"/>
          <w:szCs w:val="24"/>
        </w:rPr>
        <w:t xml:space="preserve"> os valores integrais dos aportes ao CSC e da participação nas Plenárias Ampliadas, </w:t>
      </w:r>
      <w:r w:rsidR="00913F71" w:rsidRPr="000C3D8E">
        <w:rPr>
          <w:rFonts w:eastAsia="Arial Unicode MS" w:cs="Calibri"/>
          <w:bCs/>
          <w:sz w:val="24"/>
          <w:szCs w:val="24"/>
        </w:rPr>
        <w:t xml:space="preserve">uma vez que suas arrecadações, isoladamente consideradas, ultrapassam o valor para enquadramento como CAU Básico. </w:t>
      </w:r>
    </w:p>
    <w:p w14:paraId="7DC85223" w14:textId="289941BA" w:rsidR="00B558F9" w:rsidRPr="00855F9D" w:rsidRDefault="00B062E6" w:rsidP="00B65381">
      <w:pPr>
        <w:spacing w:line="360" w:lineRule="auto"/>
        <w:jc w:val="both"/>
        <w:rPr>
          <w:rFonts w:eastAsia="Arial Unicode MS" w:cs="Calibri"/>
          <w:b/>
          <w:iCs/>
          <w:sz w:val="24"/>
          <w:szCs w:val="24"/>
        </w:rPr>
      </w:pPr>
      <w:r w:rsidRPr="000C3D8E">
        <w:rPr>
          <w:rFonts w:eastAsia="Arial Unicode MS" w:cs="Calibri"/>
          <w:i/>
          <w:iCs/>
          <w:color w:val="FF0000"/>
          <w:sz w:val="24"/>
          <w:szCs w:val="24"/>
        </w:rPr>
        <w:tab/>
      </w:r>
      <w:r w:rsidR="00B558F9" w:rsidRPr="000C3D8E">
        <w:rPr>
          <w:rFonts w:eastAsia="Arial Unicode MS" w:cs="Calibri"/>
          <w:sz w:val="24"/>
          <w:szCs w:val="24"/>
        </w:rPr>
        <w:t>Considerando o valor proposto para o CAU Básico, em 202</w:t>
      </w:r>
      <w:r w:rsidR="00514DF5" w:rsidRPr="000C3D8E">
        <w:rPr>
          <w:rFonts w:eastAsia="Arial Unicode MS" w:cs="Calibri"/>
          <w:sz w:val="24"/>
          <w:szCs w:val="24"/>
        </w:rPr>
        <w:t>4</w:t>
      </w:r>
      <w:r w:rsidR="00B65381" w:rsidRPr="000C3D8E">
        <w:rPr>
          <w:rFonts w:eastAsia="Arial Unicode MS" w:cs="Calibri"/>
          <w:sz w:val="24"/>
          <w:szCs w:val="24"/>
        </w:rPr>
        <w:t>;</w:t>
      </w:r>
      <w:r w:rsidR="00B558F9" w:rsidRPr="000C3D8E">
        <w:rPr>
          <w:rFonts w:eastAsia="Arial Unicode MS" w:cs="Calibri"/>
          <w:sz w:val="24"/>
          <w:szCs w:val="24"/>
        </w:rPr>
        <w:t xml:space="preserve"> o valor destinado a suportar a gestão do Fundo de Apoio</w:t>
      </w:r>
      <w:r w:rsidR="00B65381" w:rsidRPr="000C3D8E">
        <w:rPr>
          <w:rFonts w:eastAsia="Arial Unicode MS" w:cs="Calibri"/>
          <w:sz w:val="24"/>
          <w:szCs w:val="24"/>
        </w:rPr>
        <w:t xml:space="preserve"> (</w:t>
      </w:r>
      <w:r w:rsidR="0050580D" w:rsidRPr="000C3D8E">
        <w:rPr>
          <w:rFonts w:eastAsia="Arial Unicode MS" w:cs="Calibri"/>
          <w:sz w:val="24"/>
          <w:szCs w:val="24"/>
        </w:rPr>
        <w:t xml:space="preserve">Resolução </w:t>
      </w:r>
      <w:r w:rsidR="00B558F9" w:rsidRPr="000C3D8E">
        <w:rPr>
          <w:rFonts w:eastAsia="Arial Unicode MS" w:cs="Calibri"/>
          <w:sz w:val="24"/>
          <w:szCs w:val="24"/>
        </w:rPr>
        <w:t>119</w:t>
      </w:r>
      <w:r w:rsidR="00B65381" w:rsidRPr="000C3D8E">
        <w:rPr>
          <w:rFonts w:eastAsia="Arial Unicode MS" w:cs="Calibri"/>
          <w:sz w:val="24"/>
          <w:szCs w:val="24"/>
        </w:rPr>
        <w:t>); os</w:t>
      </w:r>
      <w:r w:rsidR="00B558F9" w:rsidRPr="000C3D8E">
        <w:rPr>
          <w:rFonts w:eastAsia="Arial Unicode MS" w:cs="Calibri"/>
          <w:sz w:val="24"/>
          <w:szCs w:val="24"/>
        </w:rPr>
        <w:t xml:space="preserve"> recursos que serão aportados no CSC</w:t>
      </w:r>
      <w:r w:rsidR="00B65381" w:rsidRPr="000C3D8E">
        <w:rPr>
          <w:rFonts w:eastAsia="Arial Unicode MS" w:cs="Calibri"/>
          <w:sz w:val="24"/>
          <w:szCs w:val="24"/>
        </w:rPr>
        <w:t xml:space="preserve"> </w:t>
      </w:r>
      <w:r w:rsidR="00B65381" w:rsidRPr="00855F9D">
        <w:rPr>
          <w:rFonts w:eastAsia="Arial Unicode MS" w:cs="Calibri"/>
          <w:sz w:val="24"/>
          <w:szCs w:val="24"/>
        </w:rPr>
        <w:t>(</w:t>
      </w:r>
      <w:r w:rsidR="00B558F9" w:rsidRPr="00855F9D">
        <w:rPr>
          <w:rFonts w:eastAsia="Arial Unicode MS" w:cs="Calibri"/>
          <w:sz w:val="24"/>
          <w:szCs w:val="24"/>
        </w:rPr>
        <w:t>Resoluç</w:t>
      </w:r>
      <w:r w:rsidR="00B65381" w:rsidRPr="00855F9D">
        <w:rPr>
          <w:rFonts w:eastAsia="Arial Unicode MS" w:cs="Calibri"/>
          <w:sz w:val="24"/>
          <w:szCs w:val="24"/>
        </w:rPr>
        <w:t>ões</w:t>
      </w:r>
      <w:r w:rsidR="00E73B3B" w:rsidRPr="00855F9D">
        <w:rPr>
          <w:rFonts w:eastAsia="Arial Unicode MS" w:cs="Calibri"/>
          <w:sz w:val="24"/>
          <w:szCs w:val="24"/>
        </w:rPr>
        <w:t xml:space="preserve"> nº</w:t>
      </w:r>
      <w:r w:rsidR="00B558F9" w:rsidRPr="00855F9D">
        <w:rPr>
          <w:rFonts w:eastAsia="Arial Unicode MS" w:cs="Calibri"/>
          <w:sz w:val="24"/>
          <w:szCs w:val="24"/>
        </w:rPr>
        <w:t xml:space="preserve"> </w:t>
      </w:r>
      <w:r w:rsidR="00E73B3B" w:rsidRPr="00855F9D">
        <w:rPr>
          <w:rFonts w:eastAsia="Arial Unicode MS" w:cs="Calibri"/>
          <w:sz w:val="24"/>
          <w:szCs w:val="24"/>
        </w:rPr>
        <w:t>126</w:t>
      </w:r>
      <w:r w:rsidR="00514DF5" w:rsidRPr="00855F9D">
        <w:rPr>
          <w:rFonts w:eastAsia="Arial Unicode MS" w:cs="Calibri"/>
          <w:sz w:val="24"/>
          <w:szCs w:val="24"/>
        </w:rPr>
        <w:t xml:space="preserve"> e</w:t>
      </w:r>
      <w:r w:rsidR="00E73B3B" w:rsidRPr="00855F9D">
        <w:rPr>
          <w:rFonts w:eastAsia="Arial Unicode MS" w:cs="Calibri"/>
          <w:sz w:val="24"/>
          <w:szCs w:val="24"/>
        </w:rPr>
        <w:t xml:space="preserve"> 183</w:t>
      </w:r>
      <w:r w:rsidR="00B65381" w:rsidRPr="00855F9D">
        <w:rPr>
          <w:rFonts w:eastAsia="Arial Unicode MS" w:cs="Calibri"/>
          <w:sz w:val="24"/>
          <w:szCs w:val="24"/>
        </w:rPr>
        <w:t>);</w:t>
      </w:r>
      <w:r w:rsidR="00B558F9" w:rsidRPr="00855F9D">
        <w:rPr>
          <w:rFonts w:eastAsia="Arial Unicode MS" w:cs="Calibri"/>
          <w:sz w:val="24"/>
          <w:szCs w:val="24"/>
        </w:rPr>
        <w:t xml:space="preserve"> e os recursos para custear </w:t>
      </w:r>
      <w:r w:rsidR="00B558F9" w:rsidRPr="00855F9D">
        <w:rPr>
          <w:rFonts w:eastAsia="Arial Unicode MS" w:cs="Calibri"/>
          <w:bCs/>
          <w:sz w:val="24"/>
          <w:szCs w:val="24"/>
        </w:rPr>
        <w:t>a participação dos Presidentes nas reuniões Plenárias Ampliadas</w:t>
      </w:r>
      <w:r w:rsidR="00B558F9" w:rsidRPr="00855F9D">
        <w:rPr>
          <w:rFonts w:eastAsia="Arial Unicode MS" w:cs="Calibri"/>
          <w:sz w:val="24"/>
          <w:szCs w:val="24"/>
        </w:rPr>
        <w:t xml:space="preserve">, </w:t>
      </w:r>
      <w:r w:rsidR="00B558F9" w:rsidRPr="00855F9D">
        <w:rPr>
          <w:rFonts w:eastAsia="Arial Unicode MS" w:cs="Calibri"/>
          <w:b/>
          <w:bCs/>
          <w:sz w:val="24"/>
          <w:szCs w:val="24"/>
        </w:rPr>
        <w:t>o total de recursos</w:t>
      </w:r>
      <w:r w:rsidR="00B558F9" w:rsidRPr="00855F9D">
        <w:rPr>
          <w:rFonts w:eastAsia="Arial Unicode MS" w:cs="Calibri"/>
          <w:sz w:val="24"/>
          <w:szCs w:val="24"/>
        </w:rPr>
        <w:t xml:space="preserve"> necessários a suportar a operação dos CAU Básicos </w:t>
      </w:r>
      <w:r w:rsidR="00B558F9" w:rsidRPr="00855F9D">
        <w:rPr>
          <w:rFonts w:eastAsia="Arial Unicode MS" w:cs="Calibri"/>
          <w:b/>
          <w:bCs/>
          <w:sz w:val="24"/>
          <w:szCs w:val="24"/>
        </w:rPr>
        <w:t xml:space="preserve">é de R$ </w:t>
      </w:r>
      <w:r w:rsidR="00514DF5" w:rsidRPr="00855F9D">
        <w:rPr>
          <w:rFonts w:eastAsia="Arial Unicode MS" w:cs="Calibri"/>
          <w:b/>
          <w:bCs/>
          <w:sz w:val="24"/>
          <w:szCs w:val="24"/>
        </w:rPr>
        <w:t>4,90</w:t>
      </w:r>
      <w:r w:rsidR="00B558F9" w:rsidRPr="00855F9D">
        <w:rPr>
          <w:rFonts w:eastAsia="Arial Unicode MS" w:cs="Calibri"/>
          <w:b/>
          <w:bCs/>
          <w:sz w:val="24"/>
          <w:szCs w:val="24"/>
        </w:rPr>
        <w:t xml:space="preserve"> milhões</w:t>
      </w:r>
      <w:r w:rsidR="00DE1993" w:rsidRPr="00855F9D">
        <w:rPr>
          <w:rFonts w:eastAsia="Arial Unicode MS" w:cs="Calibri"/>
          <w:bCs/>
          <w:sz w:val="24"/>
          <w:szCs w:val="24"/>
        </w:rPr>
        <w:t xml:space="preserve">. </w:t>
      </w:r>
      <w:r w:rsidR="003B635B" w:rsidRPr="00855F9D">
        <w:rPr>
          <w:rFonts w:eastAsia="Arial Unicode MS" w:cs="Calibri"/>
          <w:bCs/>
          <w:sz w:val="24"/>
          <w:szCs w:val="24"/>
        </w:rPr>
        <w:t xml:space="preserve"> </w:t>
      </w:r>
      <w:r w:rsidR="00AD1638" w:rsidRPr="00855F9D">
        <w:rPr>
          <w:rFonts w:eastAsia="Arial Unicode MS" w:cs="Calibri"/>
          <w:bCs/>
          <w:sz w:val="24"/>
          <w:szCs w:val="24"/>
        </w:rPr>
        <w:t xml:space="preserve">Considerando a utilização de saldo do Fundo de Apoio de R$ </w:t>
      </w:r>
      <w:r w:rsidR="00514DF5" w:rsidRPr="00855F9D">
        <w:rPr>
          <w:rFonts w:eastAsia="Arial Unicode MS" w:cs="Calibri"/>
          <w:bCs/>
          <w:sz w:val="24"/>
          <w:szCs w:val="24"/>
        </w:rPr>
        <w:t>2</w:t>
      </w:r>
      <w:r w:rsidR="00AD1638" w:rsidRPr="00855F9D">
        <w:rPr>
          <w:rFonts w:eastAsia="Arial Unicode MS" w:cs="Calibri"/>
          <w:bCs/>
          <w:sz w:val="24"/>
          <w:szCs w:val="24"/>
        </w:rPr>
        <w:t xml:space="preserve">00 mil, </w:t>
      </w:r>
      <w:r w:rsidR="00AD1638" w:rsidRPr="00855F9D">
        <w:rPr>
          <w:rFonts w:eastAsia="Arial Unicode MS" w:cs="Calibri"/>
          <w:b/>
          <w:sz w:val="24"/>
          <w:szCs w:val="24"/>
        </w:rPr>
        <w:t xml:space="preserve">o valor </w:t>
      </w:r>
      <w:r w:rsidR="00B65381" w:rsidRPr="00855F9D">
        <w:rPr>
          <w:rFonts w:eastAsia="Arial Unicode MS" w:cs="Calibri"/>
          <w:b/>
          <w:sz w:val="24"/>
          <w:szCs w:val="24"/>
        </w:rPr>
        <w:t xml:space="preserve">a ser </w:t>
      </w:r>
      <w:r w:rsidR="00AD1638" w:rsidRPr="00855F9D">
        <w:rPr>
          <w:rFonts w:eastAsia="Arial Unicode MS" w:cs="Calibri"/>
          <w:b/>
          <w:sz w:val="24"/>
          <w:szCs w:val="24"/>
        </w:rPr>
        <w:t xml:space="preserve">aportado </w:t>
      </w:r>
      <w:r w:rsidR="00B65381" w:rsidRPr="00855F9D">
        <w:rPr>
          <w:rFonts w:eastAsia="Arial Unicode MS" w:cs="Calibri"/>
          <w:b/>
          <w:sz w:val="24"/>
          <w:szCs w:val="24"/>
        </w:rPr>
        <w:t>pelos</w:t>
      </w:r>
      <w:r w:rsidR="00AD1638" w:rsidRPr="00855F9D">
        <w:rPr>
          <w:rFonts w:eastAsia="Arial Unicode MS" w:cs="Calibri"/>
          <w:b/>
          <w:sz w:val="24"/>
          <w:szCs w:val="24"/>
        </w:rPr>
        <w:t xml:space="preserve"> </w:t>
      </w:r>
      <w:r w:rsidR="00B558F9" w:rsidRPr="00855F9D">
        <w:rPr>
          <w:rFonts w:eastAsia="Arial Unicode MS" w:cs="Calibri"/>
          <w:b/>
          <w:sz w:val="24"/>
          <w:szCs w:val="24"/>
        </w:rPr>
        <w:t>CAU/UF e do CAU/BR</w:t>
      </w:r>
      <w:r w:rsidR="00DE1993" w:rsidRPr="00855F9D">
        <w:rPr>
          <w:rFonts w:eastAsia="Arial Unicode MS" w:cs="Calibri"/>
          <w:b/>
          <w:sz w:val="24"/>
          <w:szCs w:val="24"/>
        </w:rPr>
        <w:t xml:space="preserve"> </w:t>
      </w:r>
      <w:r w:rsidR="00AD1638" w:rsidRPr="00855F9D">
        <w:rPr>
          <w:rFonts w:eastAsia="Arial Unicode MS" w:cs="Calibri"/>
          <w:b/>
          <w:sz w:val="24"/>
          <w:szCs w:val="24"/>
        </w:rPr>
        <w:t xml:space="preserve">será de R$ </w:t>
      </w:r>
      <w:r w:rsidR="00514DF5" w:rsidRPr="00855F9D">
        <w:rPr>
          <w:rFonts w:eastAsia="Arial Unicode MS" w:cs="Calibri"/>
          <w:b/>
          <w:sz w:val="24"/>
          <w:szCs w:val="24"/>
        </w:rPr>
        <w:t>4,70</w:t>
      </w:r>
      <w:r w:rsidR="00AD1638" w:rsidRPr="00855F9D">
        <w:rPr>
          <w:rFonts w:eastAsia="Arial Unicode MS" w:cs="Calibri"/>
          <w:b/>
          <w:sz w:val="24"/>
          <w:szCs w:val="24"/>
        </w:rPr>
        <w:t xml:space="preserve"> milhões</w:t>
      </w:r>
      <w:r w:rsidR="00AD1638" w:rsidRPr="00855F9D">
        <w:rPr>
          <w:rFonts w:eastAsia="Arial Unicode MS" w:cs="Calibri"/>
          <w:bCs/>
          <w:sz w:val="24"/>
          <w:szCs w:val="24"/>
        </w:rPr>
        <w:t>.</w:t>
      </w:r>
      <w:r w:rsidR="00B65381" w:rsidRPr="00855F9D">
        <w:rPr>
          <w:rFonts w:eastAsia="Arial Unicode MS" w:cs="Calibri"/>
          <w:b/>
          <w:i/>
          <w:sz w:val="24"/>
          <w:szCs w:val="24"/>
        </w:rPr>
        <w:t xml:space="preserve"> </w:t>
      </w:r>
      <w:r w:rsidR="00B558F9" w:rsidRPr="00855F9D">
        <w:rPr>
          <w:rFonts w:eastAsia="Arial Unicode MS" w:cs="Calibri"/>
          <w:iCs/>
          <w:sz w:val="24"/>
          <w:szCs w:val="24"/>
        </w:rPr>
        <w:t>O</w:t>
      </w:r>
      <w:r w:rsidR="00B65381" w:rsidRPr="00855F9D">
        <w:rPr>
          <w:rFonts w:eastAsia="Arial Unicode MS" w:cs="Calibri"/>
          <w:iCs/>
          <w:sz w:val="24"/>
          <w:szCs w:val="24"/>
        </w:rPr>
        <w:t xml:space="preserve">s valores detalhados de repasses e aportes </w:t>
      </w:r>
      <w:r w:rsidR="00B558F9" w:rsidRPr="00855F9D">
        <w:rPr>
          <w:rFonts w:eastAsia="Arial Unicode MS" w:cs="Calibri"/>
          <w:iCs/>
          <w:sz w:val="24"/>
          <w:szCs w:val="24"/>
        </w:rPr>
        <w:t xml:space="preserve">constam dos Anexos </w:t>
      </w:r>
      <w:r w:rsidR="0022555A" w:rsidRPr="00855F9D">
        <w:rPr>
          <w:rFonts w:eastAsia="Arial Unicode MS" w:cs="Calibri"/>
          <w:iCs/>
          <w:sz w:val="24"/>
          <w:szCs w:val="24"/>
        </w:rPr>
        <w:t>VI</w:t>
      </w:r>
      <w:r w:rsidR="0065024A" w:rsidRPr="00855F9D">
        <w:rPr>
          <w:rFonts w:eastAsia="Arial Unicode MS" w:cs="Calibri"/>
          <w:iCs/>
          <w:sz w:val="24"/>
          <w:szCs w:val="24"/>
        </w:rPr>
        <w:t xml:space="preserve"> e VI.I</w:t>
      </w:r>
      <w:r w:rsidR="009C2E0D" w:rsidRPr="00855F9D">
        <w:rPr>
          <w:rFonts w:eastAsia="Arial Unicode MS" w:cs="Calibri"/>
          <w:iCs/>
          <w:sz w:val="24"/>
          <w:szCs w:val="24"/>
        </w:rPr>
        <w:t>.</w:t>
      </w:r>
    </w:p>
    <w:p w14:paraId="7DC85224" w14:textId="0408C15C" w:rsidR="007D7E82" w:rsidRPr="00D25A37" w:rsidRDefault="00B558F9" w:rsidP="00D541F0">
      <w:pPr>
        <w:spacing w:line="360" w:lineRule="auto"/>
        <w:ind w:firstLine="851"/>
        <w:jc w:val="both"/>
        <w:rPr>
          <w:rFonts w:eastAsia="Arial Unicode MS" w:cs="Calibri"/>
          <w:sz w:val="24"/>
          <w:szCs w:val="24"/>
        </w:rPr>
      </w:pPr>
      <w:r w:rsidRPr="00855F9D">
        <w:rPr>
          <w:rFonts w:eastAsia="Arial Unicode MS" w:cs="Calibri"/>
          <w:sz w:val="24"/>
          <w:szCs w:val="24"/>
        </w:rPr>
        <w:t>Cabe salientar que os CAU Básico, na elaboração de sua programação para 202</w:t>
      </w:r>
      <w:r w:rsidR="00514DF5" w:rsidRPr="00855F9D">
        <w:rPr>
          <w:rFonts w:eastAsia="Arial Unicode MS" w:cs="Calibri"/>
          <w:sz w:val="24"/>
          <w:szCs w:val="24"/>
        </w:rPr>
        <w:t>4</w:t>
      </w:r>
      <w:r w:rsidRPr="00855F9D">
        <w:rPr>
          <w:rFonts w:eastAsia="Arial Unicode MS" w:cs="Calibri"/>
          <w:sz w:val="24"/>
          <w:szCs w:val="24"/>
        </w:rPr>
        <w:t xml:space="preserve">, </w:t>
      </w:r>
      <w:r w:rsidRPr="000C3D8E">
        <w:rPr>
          <w:rFonts w:eastAsia="Arial Unicode MS" w:cs="Calibri"/>
          <w:sz w:val="24"/>
          <w:szCs w:val="24"/>
        </w:rPr>
        <w:t>deverão observar com</w:t>
      </w:r>
      <w:r w:rsidR="003F3F2E" w:rsidRPr="000C3D8E">
        <w:rPr>
          <w:rFonts w:eastAsia="Arial Unicode MS" w:cs="Calibri"/>
          <w:sz w:val="24"/>
          <w:szCs w:val="24"/>
        </w:rPr>
        <w:t xml:space="preserve"> </w:t>
      </w:r>
      <w:r w:rsidRPr="000C3D8E">
        <w:rPr>
          <w:rFonts w:eastAsia="Arial Unicode MS" w:cs="Calibri"/>
          <w:sz w:val="24"/>
          <w:szCs w:val="24"/>
        </w:rPr>
        <w:t>rigor todos os procedimentos e estratégias estabele</w:t>
      </w:r>
      <w:r w:rsidR="002B643B" w:rsidRPr="000C3D8E">
        <w:rPr>
          <w:rFonts w:eastAsia="Arial Unicode MS" w:cs="Calibri"/>
          <w:sz w:val="24"/>
          <w:szCs w:val="24"/>
        </w:rPr>
        <w:t xml:space="preserve">cidas nas presentes Diretrizes e na Resolução nº 119, </w:t>
      </w:r>
      <w:r w:rsidR="00A948B3" w:rsidRPr="000C3D8E">
        <w:rPr>
          <w:rFonts w:eastAsia="Arial Unicode MS" w:cs="Calibri"/>
          <w:sz w:val="24"/>
          <w:szCs w:val="24"/>
        </w:rPr>
        <w:t xml:space="preserve">especialmente o disposto no </w:t>
      </w:r>
      <w:r w:rsidR="002B643B" w:rsidRPr="000C3D8E">
        <w:rPr>
          <w:rFonts w:eastAsia="Arial Unicode MS" w:cs="Calibri"/>
          <w:sz w:val="24"/>
          <w:szCs w:val="24"/>
        </w:rPr>
        <w:t>“</w:t>
      </w:r>
      <w:r w:rsidR="002B643B" w:rsidRPr="000C3D8E">
        <w:rPr>
          <w:rFonts w:eastAsia="Arial Unicode MS" w:cs="Calibri"/>
          <w:i/>
          <w:iCs/>
          <w:sz w:val="24"/>
          <w:szCs w:val="24"/>
        </w:rPr>
        <w:t>Art. 6° Os recursos provenientes do Fundo de Apoio deverão ser utilizados em estrita conformidade com o Plano de Ação aprovado, sendo vedada a sua utilização para despesas de capita</w:t>
      </w:r>
      <w:r w:rsidR="002B643B" w:rsidRPr="000C3D8E">
        <w:rPr>
          <w:rFonts w:eastAsia="Arial Unicode MS" w:cs="Calibri"/>
          <w:sz w:val="24"/>
          <w:szCs w:val="24"/>
        </w:rPr>
        <w:t>l”</w:t>
      </w:r>
      <w:r w:rsidR="007D7E82" w:rsidRPr="000C3D8E">
        <w:rPr>
          <w:rFonts w:eastAsia="Arial Unicode MS" w:cs="Calibri"/>
          <w:sz w:val="24"/>
          <w:szCs w:val="24"/>
        </w:rPr>
        <w:t>.</w:t>
      </w:r>
      <w:r w:rsidR="007D7E82" w:rsidRPr="00D25A37">
        <w:rPr>
          <w:rFonts w:eastAsia="Arial Unicode MS" w:cs="Calibri"/>
          <w:sz w:val="24"/>
          <w:szCs w:val="24"/>
        </w:rPr>
        <w:t xml:space="preserve"> </w:t>
      </w:r>
    </w:p>
    <w:p w14:paraId="6B211F10" w14:textId="77777777" w:rsidR="00990B7E" w:rsidRPr="00805662" w:rsidRDefault="00990B7E" w:rsidP="00990B7E">
      <w:pPr>
        <w:spacing w:after="0" w:line="360" w:lineRule="auto"/>
        <w:ind w:firstLine="851"/>
        <w:jc w:val="both"/>
        <w:rPr>
          <w:rFonts w:eastAsia="Arial Unicode MS" w:cs="Calibri"/>
          <w:b/>
          <w:i/>
          <w:sz w:val="24"/>
          <w:szCs w:val="24"/>
        </w:rPr>
      </w:pPr>
    </w:p>
    <w:p w14:paraId="7DC85226" w14:textId="332DF10E" w:rsidR="00B558F9" w:rsidRPr="00384A6B" w:rsidRDefault="00B558F9" w:rsidP="00B558F9">
      <w:pPr>
        <w:pStyle w:val="Ttulo2"/>
        <w:ind w:left="0" w:firstLine="851"/>
        <w:rPr>
          <w:rFonts w:eastAsia="Arial Unicode MS"/>
          <w:color w:val="612141"/>
        </w:rPr>
      </w:pPr>
      <w:bookmarkStart w:id="29" w:name="_Toc487558909"/>
      <w:bookmarkStart w:id="30" w:name="_Toc487559010"/>
      <w:bookmarkStart w:id="31" w:name="_Toc147404334"/>
      <w:r w:rsidRPr="00384A6B">
        <w:rPr>
          <w:rFonts w:eastAsia="Arial Unicode MS"/>
          <w:color w:val="612141"/>
        </w:rPr>
        <w:t>Centro de Serviços Compartilhados</w:t>
      </w:r>
      <w:bookmarkEnd w:id="29"/>
      <w:bookmarkEnd w:id="30"/>
      <w:bookmarkEnd w:id="31"/>
    </w:p>
    <w:p w14:paraId="706CD8C5" w14:textId="60083B41" w:rsidR="00A948B3" w:rsidRPr="00384A6B" w:rsidRDefault="00A948B3" w:rsidP="00A948B3">
      <w:pPr>
        <w:spacing w:line="360" w:lineRule="auto"/>
        <w:ind w:firstLine="851"/>
        <w:jc w:val="both"/>
        <w:rPr>
          <w:rFonts w:cs="Arial"/>
          <w:bCs/>
          <w:i/>
          <w:color w:val="000000" w:themeColor="text1"/>
          <w:sz w:val="24"/>
          <w:szCs w:val="24"/>
        </w:rPr>
      </w:pPr>
      <w:r w:rsidRPr="00384A6B">
        <w:rPr>
          <w:rFonts w:cs="Arial"/>
          <w:bCs/>
          <w:sz w:val="24"/>
          <w:szCs w:val="24"/>
        </w:rPr>
        <w:t xml:space="preserve">O </w:t>
      </w:r>
      <w:r w:rsidRPr="00384A6B">
        <w:rPr>
          <w:rFonts w:cs="Arial"/>
          <w:b/>
          <w:bCs/>
          <w:sz w:val="24"/>
          <w:szCs w:val="24"/>
        </w:rPr>
        <w:t>Centro de</w:t>
      </w:r>
      <w:r w:rsidRPr="00384A6B">
        <w:rPr>
          <w:rFonts w:cs="Arial"/>
          <w:bCs/>
          <w:sz w:val="24"/>
          <w:szCs w:val="24"/>
        </w:rPr>
        <w:t xml:space="preserve"> </w:t>
      </w:r>
      <w:r w:rsidRPr="00384A6B">
        <w:rPr>
          <w:rFonts w:cs="Arial"/>
          <w:b/>
          <w:bCs/>
          <w:sz w:val="24"/>
          <w:szCs w:val="24"/>
        </w:rPr>
        <w:t xml:space="preserve">Serviços Compartilhados </w:t>
      </w:r>
      <w:r w:rsidRPr="00384A6B">
        <w:rPr>
          <w:rFonts w:cs="Arial"/>
          <w:bCs/>
          <w:sz w:val="24"/>
          <w:szCs w:val="24"/>
        </w:rPr>
        <w:t xml:space="preserve">dos Conselhos de Arquitetura e Urbanismo (CSC-CAU) tem </w:t>
      </w:r>
      <w:r w:rsidRPr="00384A6B">
        <w:rPr>
          <w:rFonts w:cs="Arial"/>
          <w:bCs/>
          <w:color w:val="000000" w:themeColor="text1"/>
          <w:sz w:val="24"/>
          <w:szCs w:val="24"/>
        </w:rPr>
        <w:t>como</w:t>
      </w:r>
      <w:r w:rsidRPr="00384A6B">
        <w:rPr>
          <w:rFonts w:cs="Arial"/>
          <w:bCs/>
          <w:sz w:val="24"/>
          <w:szCs w:val="24"/>
        </w:rPr>
        <w:t xml:space="preserve"> objetivo aglutinar e gerenciar </w:t>
      </w:r>
      <w:r w:rsidR="00E35FDD" w:rsidRPr="00384A6B">
        <w:rPr>
          <w:rFonts w:cs="Arial"/>
          <w:bCs/>
          <w:sz w:val="24"/>
          <w:szCs w:val="24"/>
        </w:rPr>
        <w:t>os seguintes S</w:t>
      </w:r>
      <w:r w:rsidRPr="00384A6B">
        <w:rPr>
          <w:rFonts w:cs="Arial"/>
          <w:bCs/>
          <w:sz w:val="24"/>
          <w:szCs w:val="24"/>
        </w:rPr>
        <w:t>erviços</w:t>
      </w:r>
      <w:r w:rsidR="00E35FDD" w:rsidRPr="00384A6B">
        <w:rPr>
          <w:rFonts w:cs="Arial"/>
          <w:bCs/>
          <w:sz w:val="24"/>
          <w:szCs w:val="24"/>
        </w:rPr>
        <w:t xml:space="preserve"> Compartilhados Essenciais</w:t>
      </w:r>
      <w:r w:rsidRPr="00384A6B">
        <w:rPr>
          <w:rFonts w:cs="Arial"/>
          <w:bCs/>
          <w:sz w:val="24"/>
          <w:szCs w:val="24"/>
        </w:rPr>
        <w:t xml:space="preserve">, de acordo </w:t>
      </w:r>
      <w:r w:rsidRPr="00384A6B">
        <w:rPr>
          <w:rFonts w:cs="Arial"/>
          <w:bCs/>
          <w:color w:val="000000" w:themeColor="text1"/>
          <w:sz w:val="24"/>
          <w:szCs w:val="24"/>
        </w:rPr>
        <w:t>com a Resolução nº 126, com as alterações da Resolução nº 183:</w:t>
      </w:r>
    </w:p>
    <w:p w14:paraId="10B012AE" w14:textId="055C41FD" w:rsidR="00A948B3" w:rsidRPr="00384A6B" w:rsidRDefault="00A948B3" w:rsidP="00E94498">
      <w:pPr>
        <w:pStyle w:val="PargrafodaLista"/>
        <w:numPr>
          <w:ilvl w:val="0"/>
          <w:numId w:val="22"/>
        </w:numPr>
        <w:spacing w:line="360" w:lineRule="auto"/>
        <w:jc w:val="both"/>
        <w:rPr>
          <w:rFonts w:cs="Arial"/>
          <w:b/>
          <w:color w:val="000000" w:themeColor="text1"/>
          <w:sz w:val="24"/>
          <w:szCs w:val="24"/>
        </w:rPr>
      </w:pPr>
      <w:r w:rsidRPr="00384A6B">
        <w:rPr>
          <w:rFonts w:cs="Arial"/>
          <w:b/>
          <w:color w:val="000000" w:themeColor="text1"/>
          <w:sz w:val="24"/>
          <w:szCs w:val="24"/>
        </w:rPr>
        <w:t>Sistema de Informação e Comunicação dos Conselhos de Arquitetura e Urbanismo (SICCAU)</w:t>
      </w:r>
      <w:r w:rsidR="00A361A8">
        <w:rPr>
          <w:rFonts w:cs="Arial"/>
          <w:b/>
          <w:color w:val="000000" w:themeColor="text1"/>
          <w:sz w:val="24"/>
          <w:szCs w:val="24"/>
        </w:rPr>
        <w:t>;</w:t>
      </w:r>
      <w:r w:rsidRPr="00384A6B">
        <w:rPr>
          <w:rFonts w:cs="Arial"/>
          <w:b/>
          <w:color w:val="000000" w:themeColor="text1"/>
          <w:sz w:val="24"/>
          <w:szCs w:val="24"/>
        </w:rPr>
        <w:t xml:space="preserve"> </w:t>
      </w:r>
    </w:p>
    <w:p w14:paraId="4DD49390" w14:textId="77777777" w:rsidR="00A948B3" w:rsidRPr="00384A6B" w:rsidRDefault="00A948B3" w:rsidP="00E94498">
      <w:pPr>
        <w:pStyle w:val="PargrafodaLista"/>
        <w:numPr>
          <w:ilvl w:val="0"/>
          <w:numId w:val="22"/>
        </w:numPr>
        <w:spacing w:line="360" w:lineRule="auto"/>
        <w:jc w:val="both"/>
        <w:rPr>
          <w:rFonts w:cs="Arial"/>
          <w:b/>
          <w:color w:val="000000" w:themeColor="text1"/>
          <w:sz w:val="24"/>
          <w:szCs w:val="24"/>
        </w:rPr>
      </w:pPr>
      <w:r w:rsidRPr="00384A6B">
        <w:rPr>
          <w:rFonts w:cs="Arial"/>
          <w:b/>
          <w:color w:val="000000" w:themeColor="text1"/>
          <w:sz w:val="24"/>
          <w:szCs w:val="24"/>
        </w:rPr>
        <w:t>Serviço de Data Center;</w:t>
      </w:r>
    </w:p>
    <w:p w14:paraId="6F2DD633" w14:textId="51F64597" w:rsidR="00A948B3" w:rsidRPr="00384A6B" w:rsidRDefault="00A948B3" w:rsidP="00E94498">
      <w:pPr>
        <w:pStyle w:val="PargrafodaLista"/>
        <w:numPr>
          <w:ilvl w:val="0"/>
          <w:numId w:val="22"/>
        </w:numPr>
        <w:spacing w:line="360" w:lineRule="auto"/>
        <w:jc w:val="both"/>
        <w:rPr>
          <w:rFonts w:cs="Arial"/>
          <w:b/>
          <w:bCs/>
          <w:sz w:val="24"/>
          <w:szCs w:val="24"/>
        </w:rPr>
      </w:pPr>
      <w:r w:rsidRPr="00384A6B">
        <w:rPr>
          <w:b/>
          <w:bCs/>
          <w:sz w:val="24"/>
          <w:szCs w:val="24"/>
        </w:rPr>
        <w:t>Rede Integrada de Atendimento (RIA)</w:t>
      </w:r>
      <w:r w:rsidR="00A361A8">
        <w:rPr>
          <w:b/>
          <w:bCs/>
          <w:sz w:val="24"/>
          <w:szCs w:val="24"/>
        </w:rPr>
        <w:t>;</w:t>
      </w:r>
    </w:p>
    <w:p w14:paraId="306C96CE" w14:textId="77777777" w:rsidR="00A948B3" w:rsidRPr="00384A6B" w:rsidRDefault="00A948B3" w:rsidP="00E94498">
      <w:pPr>
        <w:pStyle w:val="PargrafodaLista"/>
        <w:numPr>
          <w:ilvl w:val="0"/>
          <w:numId w:val="22"/>
        </w:numPr>
        <w:spacing w:line="360" w:lineRule="auto"/>
        <w:jc w:val="both"/>
        <w:rPr>
          <w:b/>
          <w:sz w:val="24"/>
          <w:szCs w:val="24"/>
        </w:rPr>
      </w:pPr>
      <w:r w:rsidRPr="00384A6B">
        <w:rPr>
          <w:rFonts w:cs="Arial"/>
          <w:b/>
          <w:sz w:val="24"/>
          <w:szCs w:val="24"/>
        </w:rPr>
        <w:t>Serviço de conferência via WEB;</w:t>
      </w:r>
    </w:p>
    <w:p w14:paraId="50E22238" w14:textId="2300D13A" w:rsidR="00A948B3" w:rsidRPr="00384A6B" w:rsidRDefault="00A948B3" w:rsidP="00E94498">
      <w:pPr>
        <w:pStyle w:val="PargrafodaLista"/>
        <w:numPr>
          <w:ilvl w:val="0"/>
          <w:numId w:val="22"/>
        </w:numPr>
        <w:spacing w:line="360" w:lineRule="auto"/>
        <w:jc w:val="both"/>
        <w:rPr>
          <w:b/>
          <w:sz w:val="24"/>
          <w:szCs w:val="24"/>
        </w:rPr>
      </w:pPr>
      <w:r w:rsidRPr="00384A6B">
        <w:rPr>
          <w:b/>
          <w:sz w:val="24"/>
          <w:szCs w:val="24"/>
        </w:rPr>
        <w:t xml:space="preserve">Serviços a serem prestados pelo pessoal alocado pelo CAU/BR </w:t>
      </w:r>
      <w:r w:rsidRPr="00384A6B">
        <w:rPr>
          <w:bCs/>
          <w:sz w:val="24"/>
          <w:szCs w:val="24"/>
        </w:rPr>
        <w:t>na</w:t>
      </w:r>
      <w:r w:rsidRPr="00384A6B">
        <w:rPr>
          <w:b/>
          <w:sz w:val="24"/>
          <w:szCs w:val="24"/>
        </w:rPr>
        <w:t xml:space="preserve"> </w:t>
      </w:r>
      <w:r w:rsidRPr="00384A6B">
        <w:rPr>
          <w:bCs/>
          <w:sz w:val="24"/>
          <w:szCs w:val="24"/>
        </w:rPr>
        <w:t>gestão e</w:t>
      </w:r>
      <w:r w:rsidRPr="00384A6B">
        <w:rPr>
          <w:b/>
          <w:sz w:val="24"/>
          <w:szCs w:val="24"/>
        </w:rPr>
        <w:t xml:space="preserve"> </w:t>
      </w:r>
      <w:r w:rsidRPr="00384A6B">
        <w:rPr>
          <w:bCs/>
          <w:sz w:val="24"/>
          <w:szCs w:val="24"/>
        </w:rPr>
        <w:t>execução dos serviços relacionados nos incisos I, II e III deste parágrafo, compreendendo salários e respectivos encargos trabalhistas e previdenciários;</w:t>
      </w:r>
    </w:p>
    <w:p w14:paraId="0E479FD4" w14:textId="77777777" w:rsidR="00A948B3" w:rsidRPr="00384A6B" w:rsidRDefault="00A948B3" w:rsidP="00E94498">
      <w:pPr>
        <w:pStyle w:val="PargrafodaLista"/>
        <w:numPr>
          <w:ilvl w:val="0"/>
          <w:numId w:val="22"/>
        </w:numPr>
        <w:spacing w:line="360" w:lineRule="auto"/>
        <w:jc w:val="both"/>
        <w:rPr>
          <w:b/>
          <w:bCs/>
          <w:sz w:val="24"/>
          <w:szCs w:val="24"/>
        </w:rPr>
      </w:pPr>
      <w:r w:rsidRPr="00384A6B">
        <w:rPr>
          <w:b/>
          <w:bCs/>
          <w:sz w:val="24"/>
          <w:szCs w:val="24"/>
        </w:rPr>
        <w:t xml:space="preserve">Funcionamento do Colegiado de Governança </w:t>
      </w:r>
      <w:r w:rsidRPr="00384A6B">
        <w:rPr>
          <w:sz w:val="24"/>
          <w:szCs w:val="24"/>
        </w:rPr>
        <w:t>do Centro de Serviços Compartilhados (CG-CSC), compreendendo as despesas para tal fim.</w:t>
      </w:r>
      <w:r w:rsidRPr="00384A6B">
        <w:rPr>
          <w:b/>
          <w:bCs/>
          <w:sz w:val="24"/>
          <w:szCs w:val="24"/>
        </w:rPr>
        <w:t xml:space="preserve"> </w:t>
      </w:r>
    </w:p>
    <w:p w14:paraId="71D86890" w14:textId="5E06D2F2" w:rsidR="00A948B3" w:rsidRPr="00384A6B" w:rsidRDefault="00A948B3" w:rsidP="004D39F2">
      <w:pPr>
        <w:shd w:val="clear" w:color="auto" w:fill="FFFFFF" w:themeFill="background1"/>
        <w:spacing w:line="360" w:lineRule="auto"/>
        <w:ind w:firstLine="851"/>
        <w:jc w:val="both"/>
        <w:rPr>
          <w:rFonts w:cs="Arial"/>
          <w:bCs/>
          <w:color w:val="000000" w:themeColor="text1"/>
          <w:sz w:val="24"/>
          <w:szCs w:val="24"/>
        </w:rPr>
      </w:pPr>
      <w:r w:rsidRPr="00384A6B">
        <w:rPr>
          <w:rFonts w:cs="Arial"/>
          <w:bCs/>
          <w:color w:val="000000" w:themeColor="text1"/>
          <w:sz w:val="24"/>
          <w:szCs w:val="24"/>
        </w:rPr>
        <w:t>Para custear estas atividades, o</w:t>
      </w:r>
      <w:r w:rsidR="00B558F9" w:rsidRPr="00384A6B">
        <w:rPr>
          <w:rFonts w:cs="Arial"/>
          <w:bCs/>
          <w:color w:val="000000" w:themeColor="text1"/>
          <w:sz w:val="24"/>
          <w:szCs w:val="24"/>
        </w:rPr>
        <w:t xml:space="preserve"> CAU/BR e os CAU/UF deverão, em </w:t>
      </w:r>
      <w:r w:rsidR="00B558F9" w:rsidRPr="00384A6B">
        <w:rPr>
          <w:rFonts w:cs="Arial"/>
          <w:b/>
          <w:bCs/>
          <w:color w:val="000000" w:themeColor="text1"/>
          <w:sz w:val="24"/>
          <w:szCs w:val="24"/>
        </w:rPr>
        <w:t xml:space="preserve">duas atividades específicas </w:t>
      </w:r>
      <w:r w:rsidR="00B558F9" w:rsidRPr="00384A6B">
        <w:rPr>
          <w:rFonts w:cs="Arial"/>
          <w:bCs/>
          <w:color w:val="000000" w:themeColor="text1"/>
          <w:sz w:val="24"/>
          <w:szCs w:val="24"/>
        </w:rPr>
        <w:t>no seu Plano de Ação</w:t>
      </w:r>
      <w:r w:rsidR="00B558F9" w:rsidRPr="00384A6B">
        <w:rPr>
          <w:rFonts w:cs="Arial"/>
          <w:b/>
          <w:bCs/>
          <w:color w:val="000000" w:themeColor="text1"/>
          <w:sz w:val="24"/>
          <w:szCs w:val="24"/>
        </w:rPr>
        <w:t>, sendo uma vinculada ao objetivo estratégico de Fiscalização e outra ao de Atendimento</w:t>
      </w:r>
      <w:r w:rsidR="00B558F9" w:rsidRPr="00384A6B">
        <w:rPr>
          <w:rFonts w:cs="Arial"/>
          <w:bCs/>
          <w:color w:val="000000" w:themeColor="text1"/>
          <w:sz w:val="24"/>
          <w:szCs w:val="24"/>
        </w:rPr>
        <w:t xml:space="preserve">, aportar recursos destinados a suportar os serviços e sistemas compartilhados pelo Conselho e gerenciados, em âmbito nacional, pelo CAU/BR, na forma aprovada para o exercício. </w:t>
      </w:r>
    </w:p>
    <w:p w14:paraId="42AC625B" w14:textId="77777777" w:rsidR="00CF47D0" w:rsidRPr="00384A6B" w:rsidRDefault="00A948B3" w:rsidP="004D39F2">
      <w:pPr>
        <w:shd w:val="clear" w:color="auto" w:fill="FFFFFF" w:themeFill="background1"/>
        <w:spacing w:line="360" w:lineRule="auto"/>
        <w:ind w:firstLine="851"/>
        <w:jc w:val="both"/>
        <w:rPr>
          <w:rFonts w:eastAsia="Arial Unicode MS" w:cs="Calibri"/>
          <w:bCs/>
          <w:sz w:val="24"/>
          <w:szCs w:val="24"/>
        </w:rPr>
      </w:pPr>
      <w:r w:rsidRPr="00384A6B">
        <w:rPr>
          <w:rFonts w:cs="Arial"/>
          <w:bCs/>
          <w:color w:val="000000" w:themeColor="text1"/>
          <w:sz w:val="24"/>
          <w:szCs w:val="24"/>
        </w:rPr>
        <w:t xml:space="preserve">Do </w:t>
      </w:r>
      <w:r w:rsidR="00B558F9" w:rsidRPr="00384A6B">
        <w:rPr>
          <w:rFonts w:cs="Arial"/>
          <w:bCs/>
          <w:color w:val="000000" w:themeColor="text1"/>
          <w:sz w:val="24"/>
          <w:szCs w:val="24"/>
        </w:rPr>
        <w:t xml:space="preserve">total de recursos destinados ao </w:t>
      </w:r>
      <w:r w:rsidR="00B558F9" w:rsidRPr="00384A6B">
        <w:rPr>
          <w:rFonts w:cs="Arial"/>
          <w:b/>
          <w:bCs/>
          <w:color w:val="000000" w:themeColor="text1"/>
          <w:sz w:val="24"/>
          <w:szCs w:val="24"/>
        </w:rPr>
        <w:t xml:space="preserve">CSC – </w:t>
      </w:r>
      <w:r w:rsidR="00CF47D0" w:rsidRPr="00384A6B">
        <w:rPr>
          <w:rFonts w:cs="Arial"/>
          <w:b/>
          <w:bCs/>
          <w:color w:val="000000" w:themeColor="text1"/>
          <w:sz w:val="24"/>
          <w:szCs w:val="24"/>
        </w:rPr>
        <w:t>S</w:t>
      </w:r>
      <w:r w:rsidR="00B558F9" w:rsidRPr="00384A6B">
        <w:rPr>
          <w:rFonts w:cs="Arial"/>
          <w:b/>
          <w:bCs/>
          <w:color w:val="000000" w:themeColor="text1"/>
          <w:sz w:val="24"/>
          <w:szCs w:val="24"/>
        </w:rPr>
        <w:t>erviços essenciais</w:t>
      </w:r>
      <w:r w:rsidR="00B558F9" w:rsidRPr="00384A6B">
        <w:rPr>
          <w:rFonts w:cs="Arial"/>
          <w:bCs/>
          <w:color w:val="000000" w:themeColor="text1"/>
          <w:sz w:val="24"/>
          <w:szCs w:val="24"/>
        </w:rPr>
        <w:t xml:space="preserve">, para a atividade vinculada ao objetivo estratégico de </w:t>
      </w:r>
      <w:r w:rsidR="001F6616" w:rsidRPr="00384A6B">
        <w:rPr>
          <w:rFonts w:eastAsia="Arial Unicode MS" w:cs="Calibri"/>
          <w:b/>
          <w:sz w:val="24"/>
          <w:szCs w:val="24"/>
        </w:rPr>
        <w:t xml:space="preserve">"Assegurar a eficácia no </w:t>
      </w:r>
      <w:r w:rsidR="00CF47D0" w:rsidRPr="00384A6B">
        <w:rPr>
          <w:rFonts w:eastAsia="Arial Unicode MS" w:cs="Calibri"/>
          <w:b/>
          <w:sz w:val="24"/>
          <w:szCs w:val="24"/>
        </w:rPr>
        <w:t>ATENDIMENTO</w:t>
      </w:r>
      <w:r w:rsidR="001F6616" w:rsidRPr="00384A6B">
        <w:rPr>
          <w:rFonts w:eastAsia="Arial Unicode MS" w:cs="Calibri"/>
          <w:b/>
          <w:sz w:val="24"/>
          <w:szCs w:val="24"/>
        </w:rPr>
        <w:t xml:space="preserve"> e no </w:t>
      </w:r>
      <w:r w:rsidR="00CF47D0" w:rsidRPr="00384A6B">
        <w:rPr>
          <w:rFonts w:eastAsia="Arial Unicode MS" w:cs="Calibri"/>
          <w:b/>
          <w:sz w:val="24"/>
          <w:szCs w:val="24"/>
        </w:rPr>
        <w:t>RELACIONAMENTO</w:t>
      </w:r>
      <w:r w:rsidR="001F6616" w:rsidRPr="00384A6B">
        <w:rPr>
          <w:rFonts w:eastAsia="Arial Unicode MS" w:cs="Calibri"/>
          <w:b/>
          <w:sz w:val="24"/>
          <w:szCs w:val="24"/>
        </w:rPr>
        <w:t xml:space="preserve"> com os arquitetos e urbanistas e a sociedade", </w:t>
      </w:r>
      <w:r w:rsidRPr="00384A6B">
        <w:rPr>
          <w:rFonts w:eastAsia="Arial Unicode MS" w:cs="Calibri"/>
          <w:bCs/>
          <w:sz w:val="24"/>
          <w:szCs w:val="24"/>
        </w:rPr>
        <w:t>cor</w:t>
      </w:r>
      <w:r w:rsidR="001F6616" w:rsidRPr="00384A6B">
        <w:rPr>
          <w:rFonts w:eastAsia="Arial Unicode MS" w:cs="Calibri"/>
          <w:bCs/>
          <w:sz w:val="24"/>
          <w:szCs w:val="24"/>
        </w:rPr>
        <w:t>responderá o valor do Teleatendimento</w:t>
      </w:r>
      <w:r w:rsidR="00CF47D0" w:rsidRPr="00384A6B">
        <w:rPr>
          <w:rFonts w:eastAsia="Arial Unicode MS" w:cs="Calibri"/>
          <w:bCs/>
          <w:sz w:val="24"/>
          <w:szCs w:val="24"/>
        </w:rPr>
        <w:t xml:space="preserve">, somado ao </w:t>
      </w:r>
      <w:r w:rsidR="001F6616" w:rsidRPr="00384A6B">
        <w:rPr>
          <w:rFonts w:eastAsia="Arial Unicode MS" w:cs="Calibri"/>
          <w:bCs/>
          <w:sz w:val="24"/>
          <w:szCs w:val="24"/>
        </w:rPr>
        <w:t xml:space="preserve">valor destinado a RIA. Neste, estão compreendidos todos os custos inerentes à plena realização dos serviços abrangidos pela Rede Integrada de Atendimento – RIA e Teleatendimento. </w:t>
      </w:r>
    </w:p>
    <w:p w14:paraId="7DC85227" w14:textId="061854B8" w:rsidR="00B558F9" w:rsidRPr="00384A6B" w:rsidRDefault="001F6616" w:rsidP="004D39F2">
      <w:pPr>
        <w:shd w:val="clear" w:color="auto" w:fill="FFFFFF" w:themeFill="background1"/>
        <w:spacing w:line="360" w:lineRule="auto"/>
        <w:ind w:firstLine="851"/>
        <w:jc w:val="both"/>
        <w:rPr>
          <w:rFonts w:eastAsia="Arial Unicode MS" w:cs="Calibri"/>
          <w:color w:val="00B0F0"/>
          <w:sz w:val="24"/>
          <w:szCs w:val="24"/>
        </w:rPr>
      </w:pPr>
      <w:r w:rsidRPr="00384A6B">
        <w:rPr>
          <w:rFonts w:eastAsia="Arial Unicode MS" w:cs="Calibri"/>
          <w:bCs/>
          <w:sz w:val="24"/>
          <w:szCs w:val="24"/>
        </w:rPr>
        <w:t xml:space="preserve">Para a atividade vinculada ao objetivo estratégico de </w:t>
      </w:r>
      <w:r w:rsidR="00B558F9" w:rsidRPr="00384A6B">
        <w:rPr>
          <w:rFonts w:eastAsia="Arial Unicode MS" w:cs="Calibri"/>
          <w:b/>
          <w:sz w:val="24"/>
          <w:szCs w:val="24"/>
        </w:rPr>
        <w:t xml:space="preserve">"Tornar a </w:t>
      </w:r>
      <w:r w:rsidR="00CF47D0" w:rsidRPr="00384A6B">
        <w:rPr>
          <w:rFonts w:eastAsia="Arial Unicode MS" w:cs="Calibri"/>
          <w:b/>
          <w:sz w:val="24"/>
          <w:szCs w:val="24"/>
        </w:rPr>
        <w:t xml:space="preserve">FISCALIZAÇÃO </w:t>
      </w:r>
      <w:r w:rsidR="00B558F9" w:rsidRPr="00384A6B">
        <w:rPr>
          <w:rFonts w:eastAsia="Arial Unicode MS" w:cs="Calibri"/>
          <w:b/>
          <w:sz w:val="24"/>
          <w:szCs w:val="24"/>
        </w:rPr>
        <w:t>um vetor de melhoria do exercício da Arquitetura e Urbanismo”</w:t>
      </w:r>
      <w:r w:rsidRPr="00384A6B">
        <w:rPr>
          <w:rFonts w:cs="Arial"/>
          <w:bCs/>
          <w:sz w:val="24"/>
          <w:szCs w:val="24"/>
        </w:rPr>
        <w:t xml:space="preserve">, </w:t>
      </w:r>
      <w:r w:rsidR="00CF47D0" w:rsidRPr="00384A6B">
        <w:rPr>
          <w:rFonts w:cs="Arial"/>
          <w:bCs/>
          <w:sz w:val="24"/>
          <w:szCs w:val="24"/>
        </w:rPr>
        <w:t>cor</w:t>
      </w:r>
      <w:r w:rsidRPr="00384A6B">
        <w:rPr>
          <w:rFonts w:cs="Arial"/>
          <w:bCs/>
          <w:sz w:val="24"/>
          <w:szCs w:val="24"/>
        </w:rPr>
        <w:t xml:space="preserve">responderá o valor dos demais </w:t>
      </w:r>
      <w:r w:rsidR="00C84053" w:rsidRPr="00384A6B">
        <w:rPr>
          <w:rFonts w:cs="Arial"/>
          <w:bCs/>
          <w:sz w:val="24"/>
          <w:szCs w:val="24"/>
        </w:rPr>
        <w:t>serviços</w:t>
      </w:r>
      <w:r w:rsidRPr="00384A6B">
        <w:rPr>
          <w:rFonts w:cs="Arial"/>
          <w:bCs/>
          <w:sz w:val="24"/>
          <w:szCs w:val="24"/>
        </w:rPr>
        <w:t xml:space="preserve"> essenciais.</w:t>
      </w:r>
    </w:p>
    <w:p w14:paraId="7DC85228" w14:textId="36CDAF9D" w:rsidR="00344618" w:rsidRPr="00855F9D" w:rsidRDefault="00344618" w:rsidP="008F79C0">
      <w:pPr>
        <w:spacing w:line="360" w:lineRule="auto"/>
        <w:ind w:firstLine="851"/>
        <w:jc w:val="both"/>
        <w:rPr>
          <w:rFonts w:eastAsia="Arial Unicode MS" w:cs="Calibri"/>
          <w:b/>
          <w:bCs/>
          <w:sz w:val="24"/>
          <w:szCs w:val="24"/>
        </w:rPr>
      </w:pPr>
      <w:r w:rsidRPr="00E96FDD">
        <w:rPr>
          <w:rFonts w:eastAsia="Arial Unicode MS" w:cs="Calibri"/>
          <w:sz w:val="24"/>
          <w:szCs w:val="24"/>
        </w:rPr>
        <w:t>Para</w:t>
      </w:r>
      <w:r w:rsidR="008F79C0" w:rsidRPr="00E96FDD">
        <w:rPr>
          <w:rFonts w:eastAsia="Arial Unicode MS" w:cs="Calibri"/>
          <w:sz w:val="24"/>
          <w:szCs w:val="24"/>
        </w:rPr>
        <w:t xml:space="preserve"> o exercício de </w:t>
      </w:r>
      <w:r w:rsidRPr="00E96FDD">
        <w:rPr>
          <w:rFonts w:eastAsia="Arial Unicode MS" w:cs="Calibri"/>
          <w:sz w:val="24"/>
          <w:szCs w:val="24"/>
        </w:rPr>
        <w:t>202</w:t>
      </w:r>
      <w:r w:rsidR="00384A6B" w:rsidRPr="00E96FDD">
        <w:rPr>
          <w:rFonts w:eastAsia="Arial Unicode MS" w:cs="Calibri"/>
          <w:sz w:val="24"/>
          <w:szCs w:val="24"/>
        </w:rPr>
        <w:t>4</w:t>
      </w:r>
      <w:r w:rsidRPr="00E96FDD">
        <w:rPr>
          <w:rFonts w:eastAsia="Arial Unicode MS" w:cs="Calibri"/>
          <w:sz w:val="24"/>
          <w:szCs w:val="24"/>
        </w:rPr>
        <w:t>, os</w:t>
      </w:r>
      <w:r w:rsidR="00750391" w:rsidRPr="00E96FDD">
        <w:rPr>
          <w:rFonts w:eastAsia="Arial Unicode MS" w:cs="Calibri"/>
          <w:sz w:val="24"/>
          <w:szCs w:val="24"/>
        </w:rPr>
        <w:t xml:space="preserve"> recursos</w:t>
      </w:r>
      <w:r w:rsidRPr="00E96FDD">
        <w:rPr>
          <w:rFonts w:eastAsia="Arial Unicode MS" w:cs="Calibri"/>
          <w:sz w:val="24"/>
          <w:szCs w:val="24"/>
        </w:rPr>
        <w:t xml:space="preserve"> destinados à operacionalização, à gestão dos sistemas e serviços abrangidos pelo </w:t>
      </w:r>
      <w:r w:rsidRPr="00E96FDD">
        <w:rPr>
          <w:rFonts w:eastAsia="Arial Unicode MS" w:cs="Calibri"/>
          <w:b/>
          <w:bCs/>
          <w:sz w:val="24"/>
          <w:szCs w:val="24"/>
        </w:rPr>
        <w:t>Centro de Serviços Compartilhados</w:t>
      </w:r>
      <w:r w:rsidRPr="00E96FDD">
        <w:rPr>
          <w:rFonts w:eastAsia="Arial Unicode MS" w:cs="Calibri"/>
          <w:sz w:val="24"/>
          <w:szCs w:val="24"/>
        </w:rPr>
        <w:t xml:space="preserve">, </w:t>
      </w:r>
      <w:r w:rsidR="008F79C0" w:rsidRPr="00855F9D">
        <w:rPr>
          <w:rFonts w:eastAsia="Arial Unicode MS" w:cs="Calibri"/>
          <w:sz w:val="24"/>
          <w:szCs w:val="24"/>
        </w:rPr>
        <w:t xml:space="preserve">totalizam </w:t>
      </w:r>
      <w:r w:rsidR="00384A6B" w:rsidRPr="00855F9D">
        <w:rPr>
          <w:rFonts w:eastAsia="Arial Unicode MS" w:cs="Calibri"/>
          <w:b/>
          <w:bCs/>
          <w:sz w:val="24"/>
          <w:szCs w:val="24"/>
        </w:rPr>
        <w:t>2</w:t>
      </w:r>
      <w:r w:rsidR="00A361A8" w:rsidRPr="00855F9D">
        <w:rPr>
          <w:rFonts w:eastAsia="Arial Unicode MS" w:cs="Calibri"/>
          <w:b/>
          <w:bCs/>
          <w:sz w:val="24"/>
          <w:szCs w:val="24"/>
        </w:rPr>
        <w:t>2</w:t>
      </w:r>
      <w:r w:rsidR="00384A6B" w:rsidRPr="00855F9D">
        <w:rPr>
          <w:rFonts w:eastAsia="Arial Unicode MS" w:cs="Calibri"/>
          <w:b/>
          <w:bCs/>
          <w:sz w:val="24"/>
          <w:szCs w:val="24"/>
        </w:rPr>
        <w:t>,</w:t>
      </w:r>
      <w:r w:rsidR="00A361A8" w:rsidRPr="00855F9D">
        <w:rPr>
          <w:rFonts w:eastAsia="Arial Unicode MS" w:cs="Calibri"/>
          <w:b/>
          <w:bCs/>
          <w:sz w:val="24"/>
          <w:szCs w:val="24"/>
        </w:rPr>
        <w:t>2</w:t>
      </w:r>
      <w:r w:rsidR="00384A6B" w:rsidRPr="00855F9D">
        <w:rPr>
          <w:rFonts w:eastAsia="Arial Unicode MS" w:cs="Calibri"/>
          <w:b/>
          <w:bCs/>
          <w:sz w:val="24"/>
          <w:szCs w:val="24"/>
        </w:rPr>
        <w:t>8</w:t>
      </w:r>
      <w:r w:rsidR="008F79C0" w:rsidRPr="00855F9D">
        <w:rPr>
          <w:rFonts w:eastAsia="Arial Unicode MS" w:cs="Calibri"/>
          <w:b/>
          <w:bCs/>
          <w:sz w:val="24"/>
          <w:szCs w:val="24"/>
        </w:rPr>
        <w:t xml:space="preserve"> milhões</w:t>
      </w:r>
      <w:r w:rsidR="00A361A8" w:rsidRPr="00855F9D">
        <w:rPr>
          <w:rFonts w:eastAsia="Arial Unicode MS" w:cs="Calibri"/>
          <w:sz w:val="24"/>
          <w:szCs w:val="24"/>
        </w:rPr>
        <w:t>.</w:t>
      </w:r>
    </w:p>
    <w:p w14:paraId="44A9A4D2" w14:textId="47BE5279" w:rsidR="00EE5EF7" w:rsidRDefault="00971688" w:rsidP="00E61B8A">
      <w:pPr>
        <w:spacing w:line="360" w:lineRule="auto"/>
        <w:ind w:firstLine="851"/>
        <w:jc w:val="both"/>
        <w:rPr>
          <w:rFonts w:cs="Arial"/>
          <w:bCs/>
          <w:sz w:val="24"/>
          <w:szCs w:val="24"/>
        </w:rPr>
      </w:pPr>
      <w:r w:rsidRPr="00855F9D">
        <w:rPr>
          <w:rFonts w:cs="Arial"/>
          <w:bCs/>
          <w:sz w:val="24"/>
          <w:szCs w:val="24"/>
        </w:rPr>
        <w:t>No orçamento de 202</w:t>
      </w:r>
      <w:r w:rsidR="00384A6B" w:rsidRPr="00855F9D">
        <w:rPr>
          <w:rFonts w:cs="Arial"/>
          <w:bCs/>
          <w:sz w:val="24"/>
          <w:szCs w:val="24"/>
        </w:rPr>
        <w:t>4</w:t>
      </w:r>
      <w:r w:rsidRPr="00855F9D">
        <w:rPr>
          <w:rFonts w:cs="Arial"/>
          <w:bCs/>
          <w:sz w:val="24"/>
          <w:szCs w:val="24"/>
        </w:rPr>
        <w:t xml:space="preserve"> do CSC</w:t>
      </w:r>
      <w:r w:rsidR="007F18FF" w:rsidRPr="00855F9D">
        <w:rPr>
          <w:rFonts w:cs="Arial"/>
          <w:bCs/>
          <w:sz w:val="24"/>
          <w:szCs w:val="24"/>
        </w:rPr>
        <w:t xml:space="preserve"> consta o valor de R$ 1,</w:t>
      </w:r>
      <w:r w:rsidR="00E96FDD" w:rsidRPr="00855F9D">
        <w:rPr>
          <w:rFonts w:cs="Arial"/>
          <w:bCs/>
          <w:sz w:val="24"/>
          <w:szCs w:val="24"/>
        </w:rPr>
        <w:t>50</w:t>
      </w:r>
      <w:r w:rsidR="007F18FF" w:rsidRPr="00855F9D">
        <w:rPr>
          <w:rFonts w:cs="Arial"/>
          <w:bCs/>
          <w:sz w:val="24"/>
          <w:szCs w:val="24"/>
        </w:rPr>
        <w:t xml:space="preserve"> milhão </w:t>
      </w:r>
      <w:r w:rsidR="007F18FF" w:rsidRPr="00E96FDD">
        <w:rPr>
          <w:rFonts w:cs="Arial"/>
          <w:bCs/>
          <w:sz w:val="24"/>
          <w:szCs w:val="24"/>
        </w:rPr>
        <w:t xml:space="preserve">para o desenvolvimento e manutenção do </w:t>
      </w:r>
      <w:r w:rsidR="00B558F9" w:rsidRPr="00E96FDD">
        <w:rPr>
          <w:rFonts w:cs="Arial"/>
          <w:bCs/>
          <w:sz w:val="24"/>
          <w:szCs w:val="24"/>
        </w:rPr>
        <w:t>SGI</w:t>
      </w:r>
      <w:r w:rsidR="007F18FF" w:rsidRPr="00E96FDD">
        <w:rPr>
          <w:rFonts w:cs="Arial"/>
          <w:bCs/>
          <w:sz w:val="24"/>
          <w:szCs w:val="24"/>
        </w:rPr>
        <w:t xml:space="preserve"> - </w:t>
      </w:r>
      <w:r w:rsidR="00B558F9" w:rsidRPr="00E96FDD">
        <w:rPr>
          <w:rFonts w:cs="Arial"/>
          <w:bCs/>
          <w:sz w:val="24"/>
          <w:szCs w:val="24"/>
        </w:rPr>
        <w:t>Sistema de gestão Integrada</w:t>
      </w:r>
      <w:r w:rsidR="007F18FF" w:rsidRPr="00E96FDD">
        <w:rPr>
          <w:rFonts w:cs="Arial"/>
          <w:bCs/>
          <w:sz w:val="24"/>
          <w:szCs w:val="24"/>
        </w:rPr>
        <w:t xml:space="preserve">. De </w:t>
      </w:r>
      <w:r w:rsidR="00B558F9" w:rsidRPr="00E96FDD">
        <w:rPr>
          <w:rFonts w:cs="Arial"/>
          <w:bCs/>
          <w:sz w:val="24"/>
          <w:szCs w:val="24"/>
        </w:rPr>
        <w:t xml:space="preserve">acordo com a </w:t>
      </w:r>
      <w:r w:rsidR="009D01BA" w:rsidRPr="00E96FDD">
        <w:rPr>
          <w:rFonts w:ascii="Segoe UI" w:hAnsi="Segoe UI" w:cs="Segoe UI"/>
          <w:color w:val="242424"/>
          <w:sz w:val="21"/>
          <w:szCs w:val="21"/>
          <w:shd w:val="clear" w:color="auto" w:fill="FFFFFF"/>
        </w:rPr>
        <w:t>PROPOSTA Nº 001/2022 – CG-CSC</w:t>
      </w:r>
      <w:r w:rsidR="007F18FF" w:rsidRPr="00E96FDD">
        <w:rPr>
          <w:rFonts w:ascii="Segoe UI" w:hAnsi="Segoe UI" w:cs="Segoe UI"/>
          <w:color w:val="242424"/>
          <w:sz w:val="21"/>
          <w:szCs w:val="21"/>
          <w:shd w:val="clear" w:color="auto" w:fill="FFFFFF"/>
        </w:rPr>
        <w:t xml:space="preserve">, </w:t>
      </w:r>
      <w:r w:rsidR="009D01BA" w:rsidRPr="00E96FDD">
        <w:rPr>
          <w:rFonts w:cs="Arial"/>
          <w:bCs/>
          <w:sz w:val="24"/>
          <w:szCs w:val="24"/>
        </w:rPr>
        <w:t>aprovad</w:t>
      </w:r>
      <w:r w:rsidR="007F18FF" w:rsidRPr="00E96FDD">
        <w:rPr>
          <w:rFonts w:cs="Arial"/>
          <w:bCs/>
          <w:sz w:val="24"/>
          <w:szCs w:val="24"/>
        </w:rPr>
        <w:t>a</w:t>
      </w:r>
      <w:r w:rsidR="00B558F9" w:rsidRPr="00E96FDD">
        <w:rPr>
          <w:rFonts w:cs="Arial"/>
          <w:bCs/>
          <w:sz w:val="24"/>
          <w:szCs w:val="24"/>
        </w:rPr>
        <w:t xml:space="preserve"> </w:t>
      </w:r>
      <w:r w:rsidR="006511E9" w:rsidRPr="00E96FDD">
        <w:rPr>
          <w:rFonts w:cs="Arial"/>
          <w:bCs/>
          <w:sz w:val="24"/>
          <w:szCs w:val="24"/>
        </w:rPr>
        <w:t>em</w:t>
      </w:r>
      <w:r w:rsidR="00B558F9" w:rsidRPr="00E96FDD">
        <w:rPr>
          <w:rFonts w:cs="Arial"/>
          <w:bCs/>
          <w:sz w:val="24"/>
          <w:szCs w:val="24"/>
        </w:rPr>
        <w:t xml:space="preserve"> 1 de </w:t>
      </w:r>
      <w:r w:rsidR="00EE5EF7" w:rsidRPr="00E96FDD">
        <w:rPr>
          <w:rFonts w:cs="Arial"/>
          <w:bCs/>
          <w:sz w:val="24"/>
          <w:szCs w:val="24"/>
        </w:rPr>
        <w:t>setembro</w:t>
      </w:r>
      <w:r w:rsidR="00B558F9" w:rsidRPr="00E96FDD">
        <w:rPr>
          <w:rFonts w:cs="Arial"/>
          <w:bCs/>
          <w:sz w:val="24"/>
          <w:szCs w:val="24"/>
        </w:rPr>
        <w:t xml:space="preserve"> de 20</w:t>
      </w:r>
      <w:r w:rsidR="00EE5EF7" w:rsidRPr="00E96FDD">
        <w:rPr>
          <w:rFonts w:cs="Arial"/>
          <w:bCs/>
          <w:sz w:val="24"/>
          <w:szCs w:val="24"/>
        </w:rPr>
        <w:t>2</w:t>
      </w:r>
      <w:r w:rsidR="008C6BA2" w:rsidRPr="00E96FDD">
        <w:rPr>
          <w:rFonts w:cs="Arial"/>
          <w:bCs/>
          <w:sz w:val="24"/>
          <w:szCs w:val="24"/>
        </w:rPr>
        <w:t>2</w:t>
      </w:r>
      <w:r w:rsidR="00B558F9" w:rsidRPr="00E96FDD">
        <w:rPr>
          <w:rFonts w:cs="Arial"/>
          <w:bCs/>
          <w:sz w:val="24"/>
          <w:szCs w:val="24"/>
        </w:rPr>
        <w:t xml:space="preserve">, </w:t>
      </w:r>
      <w:r w:rsidR="00EE5EF7" w:rsidRPr="00E96FDD">
        <w:rPr>
          <w:rFonts w:cs="Arial"/>
          <w:bCs/>
          <w:sz w:val="24"/>
          <w:szCs w:val="24"/>
        </w:rPr>
        <w:t>“</w:t>
      </w:r>
      <w:r w:rsidR="00EE5EF7" w:rsidRPr="00E96FDD">
        <w:rPr>
          <w:rFonts w:cs="Arial"/>
          <w:bCs/>
          <w:i/>
          <w:iCs/>
          <w:sz w:val="24"/>
          <w:szCs w:val="24"/>
        </w:rPr>
        <w:t>o</w:t>
      </w:r>
      <w:r w:rsidR="00844FCE" w:rsidRPr="00E96FDD">
        <w:rPr>
          <w:rFonts w:cs="Arial"/>
          <w:bCs/>
          <w:i/>
          <w:iCs/>
          <w:sz w:val="24"/>
          <w:szCs w:val="24"/>
        </w:rPr>
        <w:t xml:space="preserve"> custeio com despesas referentes à Coordenadoria do Sistema de Gestão Integrada é de completa responsabilidade do CAU/BR, não sendo contabilizado no valor a ser rateado entre </w:t>
      </w:r>
      <w:r w:rsidR="006511E9" w:rsidRPr="00E96FDD">
        <w:rPr>
          <w:rFonts w:cs="Arial"/>
          <w:bCs/>
          <w:i/>
          <w:iCs/>
          <w:sz w:val="24"/>
          <w:szCs w:val="24"/>
        </w:rPr>
        <w:t>UF</w:t>
      </w:r>
      <w:r w:rsidR="00844FCE" w:rsidRPr="00E96FDD">
        <w:rPr>
          <w:rFonts w:cs="Arial"/>
          <w:bCs/>
          <w:i/>
          <w:iCs/>
          <w:sz w:val="24"/>
          <w:szCs w:val="24"/>
        </w:rPr>
        <w:t>s e CAU/BR</w:t>
      </w:r>
      <w:r w:rsidR="00844FCE" w:rsidRPr="00E96FDD">
        <w:rPr>
          <w:rFonts w:cs="Arial"/>
          <w:bCs/>
          <w:sz w:val="24"/>
          <w:szCs w:val="24"/>
        </w:rPr>
        <w:t>”</w:t>
      </w:r>
      <w:r w:rsidR="006511E9" w:rsidRPr="00E96FDD">
        <w:rPr>
          <w:rFonts w:cs="Arial"/>
          <w:bCs/>
          <w:sz w:val="24"/>
          <w:szCs w:val="24"/>
        </w:rPr>
        <w:t>.</w:t>
      </w:r>
      <w:r w:rsidR="00A42D6D">
        <w:rPr>
          <w:rFonts w:cs="Arial"/>
          <w:bCs/>
          <w:sz w:val="24"/>
          <w:szCs w:val="24"/>
        </w:rPr>
        <w:t xml:space="preserve"> E R$ 20,78 milhões serão oriundos</w:t>
      </w:r>
      <w:r w:rsidR="006511E9" w:rsidRPr="00E96FDD">
        <w:rPr>
          <w:rFonts w:cs="Arial"/>
          <w:bCs/>
          <w:sz w:val="24"/>
          <w:szCs w:val="24"/>
        </w:rPr>
        <w:t xml:space="preserve"> </w:t>
      </w:r>
      <w:r w:rsidR="00A42D6D">
        <w:rPr>
          <w:rFonts w:cs="Arial"/>
          <w:bCs/>
          <w:sz w:val="24"/>
          <w:szCs w:val="24"/>
        </w:rPr>
        <w:t>de novos aportes ao CSC.</w:t>
      </w:r>
    </w:p>
    <w:p w14:paraId="1C331C67" w14:textId="72942DD9" w:rsidR="00C83BE5" w:rsidRPr="00E96FDD" w:rsidRDefault="00250E24" w:rsidP="00E61B8A">
      <w:pPr>
        <w:spacing w:line="360" w:lineRule="auto"/>
        <w:ind w:firstLine="851"/>
        <w:jc w:val="both"/>
        <w:rPr>
          <w:rFonts w:cs="Arial"/>
          <w:bCs/>
          <w:sz w:val="24"/>
          <w:szCs w:val="24"/>
        </w:rPr>
      </w:pPr>
      <w:r w:rsidRPr="00E96FDD">
        <w:rPr>
          <w:rFonts w:cs="Arial"/>
          <w:bCs/>
          <w:sz w:val="24"/>
          <w:szCs w:val="24"/>
        </w:rPr>
        <w:t>Para o exercício de 202</w:t>
      </w:r>
      <w:r w:rsidR="00E96FDD">
        <w:rPr>
          <w:rFonts w:cs="Arial"/>
          <w:bCs/>
          <w:sz w:val="24"/>
          <w:szCs w:val="24"/>
        </w:rPr>
        <w:t>4</w:t>
      </w:r>
      <w:r w:rsidRPr="00E96FDD">
        <w:rPr>
          <w:rFonts w:cs="Arial"/>
          <w:bCs/>
          <w:sz w:val="24"/>
          <w:szCs w:val="24"/>
        </w:rPr>
        <w:t xml:space="preserve"> foi adotada </w:t>
      </w:r>
      <w:r w:rsidR="00A361A8">
        <w:rPr>
          <w:rFonts w:cs="Arial"/>
          <w:bCs/>
          <w:sz w:val="24"/>
          <w:szCs w:val="24"/>
        </w:rPr>
        <w:t>a</w:t>
      </w:r>
      <w:r w:rsidRPr="00E96FDD">
        <w:rPr>
          <w:rFonts w:cs="Arial"/>
          <w:bCs/>
          <w:sz w:val="24"/>
          <w:szCs w:val="24"/>
        </w:rPr>
        <w:t xml:space="preserve"> metodologia de cálculo para o rateio do CSC entre os CAU/UF, </w:t>
      </w:r>
      <w:r w:rsidR="00C83BE5" w:rsidRPr="00E96FDD">
        <w:rPr>
          <w:rFonts w:cs="Arial"/>
          <w:bCs/>
          <w:sz w:val="24"/>
          <w:szCs w:val="24"/>
        </w:rPr>
        <w:t xml:space="preserve">proposta pela CPFi e aprovada pelo Plenário do CAU/BR (a partir de sugestão </w:t>
      </w:r>
      <w:r w:rsidRPr="00E96FDD">
        <w:rPr>
          <w:rFonts w:cs="Arial"/>
          <w:bCs/>
          <w:sz w:val="24"/>
          <w:szCs w:val="24"/>
        </w:rPr>
        <w:t>aprovad</w:t>
      </w:r>
      <w:r w:rsidR="00C83BE5" w:rsidRPr="00E96FDD">
        <w:rPr>
          <w:rFonts w:cs="Arial"/>
          <w:bCs/>
          <w:sz w:val="24"/>
          <w:szCs w:val="24"/>
        </w:rPr>
        <w:t>a</w:t>
      </w:r>
      <w:r w:rsidRPr="00E96FDD">
        <w:rPr>
          <w:rFonts w:cs="Arial"/>
          <w:bCs/>
          <w:sz w:val="24"/>
          <w:szCs w:val="24"/>
        </w:rPr>
        <w:t xml:space="preserve"> na Resolução nº 11/2021</w:t>
      </w:r>
      <w:r w:rsidR="00C83BE5" w:rsidRPr="00E96FDD">
        <w:rPr>
          <w:rFonts w:cs="Arial"/>
          <w:bCs/>
          <w:sz w:val="24"/>
          <w:szCs w:val="24"/>
        </w:rPr>
        <w:t xml:space="preserve"> do Fórum dos Presidentes)</w:t>
      </w:r>
      <w:r w:rsidRPr="00E96FDD">
        <w:rPr>
          <w:rFonts w:cs="Arial"/>
          <w:bCs/>
          <w:sz w:val="24"/>
          <w:szCs w:val="24"/>
        </w:rPr>
        <w:t xml:space="preserve">, </w:t>
      </w:r>
      <w:r w:rsidR="00C83BE5" w:rsidRPr="00E96FDD">
        <w:rPr>
          <w:rFonts w:cs="Arial"/>
          <w:bCs/>
          <w:sz w:val="24"/>
          <w:szCs w:val="24"/>
        </w:rPr>
        <w:t xml:space="preserve">incorporando </w:t>
      </w:r>
      <w:r w:rsidRPr="00E96FDD">
        <w:rPr>
          <w:rFonts w:cs="Arial"/>
          <w:bCs/>
          <w:sz w:val="24"/>
          <w:szCs w:val="24"/>
        </w:rPr>
        <w:t>três variáveis para o cálculo dos aportes ao CSC-CAU/BR</w:t>
      </w:r>
      <w:r w:rsidR="007F18FF" w:rsidRPr="00E96FDD">
        <w:rPr>
          <w:rFonts w:cs="Arial"/>
          <w:bCs/>
          <w:sz w:val="24"/>
          <w:szCs w:val="24"/>
        </w:rPr>
        <w:t xml:space="preserve">: </w:t>
      </w:r>
      <w:r w:rsidRPr="00E96FDD">
        <w:rPr>
          <w:rFonts w:cs="Arial"/>
          <w:bCs/>
          <w:sz w:val="24"/>
          <w:szCs w:val="24"/>
        </w:rPr>
        <w:t xml:space="preserve">arrecadação, número de arquitetos e urbanistas ativos e RRT emitidas. </w:t>
      </w:r>
    </w:p>
    <w:p w14:paraId="3811C907" w14:textId="5936262E" w:rsidR="00A948B3" w:rsidRPr="00E96FDD" w:rsidRDefault="00C83BE5" w:rsidP="00E61B8A">
      <w:pPr>
        <w:spacing w:line="360" w:lineRule="auto"/>
        <w:ind w:firstLine="851"/>
        <w:jc w:val="both"/>
        <w:rPr>
          <w:rFonts w:cs="Arial"/>
          <w:bCs/>
          <w:sz w:val="24"/>
          <w:szCs w:val="24"/>
        </w:rPr>
      </w:pPr>
      <w:r w:rsidRPr="00E96FDD">
        <w:rPr>
          <w:rFonts w:cs="Arial"/>
          <w:bCs/>
          <w:sz w:val="24"/>
          <w:szCs w:val="24"/>
        </w:rPr>
        <w:t>Todos os</w:t>
      </w:r>
      <w:r w:rsidR="007F18FF" w:rsidRPr="00E96FDD">
        <w:rPr>
          <w:rFonts w:cs="Arial"/>
          <w:bCs/>
          <w:sz w:val="24"/>
          <w:szCs w:val="24"/>
        </w:rPr>
        <w:t xml:space="preserve"> </w:t>
      </w:r>
      <w:r w:rsidR="00250E24" w:rsidRPr="00E96FDD">
        <w:rPr>
          <w:rFonts w:cs="Arial"/>
          <w:bCs/>
          <w:sz w:val="24"/>
          <w:szCs w:val="24"/>
        </w:rPr>
        <w:t>percentuais foram baseados nas previsões das arrecadações e quantidades</w:t>
      </w:r>
      <w:r w:rsidR="007F18FF" w:rsidRPr="00E96FDD">
        <w:rPr>
          <w:rFonts w:cs="Arial"/>
          <w:bCs/>
          <w:sz w:val="24"/>
          <w:szCs w:val="24"/>
        </w:rPr>
        <w:t xml:space="preserve"> de AU e RRT</w:t>
      </w:r>
      <w:r w:rsidR="00250E24" w:rsidRPr="00E96FDD">
        <w:rPr>
          <w:rFonts w:cs="Arial"/>
          <w:bCs/>
          <w:sz w:val="24"/>
          <w:szCs w:val="24"/>
        </w:rPr>
        <w:t xml:space="preserve"> para 202</w:t>
      </w:r>
      <w:r w:rsidR="00E96FDD" w:rsidRPr="00E96FDD">
        <w:rPr>
          <w:rFonts w:cs="Arial"/>
          <w:bCs/>
          <w:sz w:val="24"/>
          <w:szCs w:val="24"/>
        </w:rPr>
        <w:t>4</w:t>
      </w:r>
      <w:r w:rsidR="00250E24" w:rsidRPr="00E96FDD">
        <w:rPr>
          <w:rFonts w:cs="Arial"/>
          <w:bCs/>
          <w:sz w:val="24"/>
          <w:szCs w:val="24"/>
        </w:rPr>
        <w:t>, considerando 10 % dos exercícios anteriores</w:t>
      </w:r>
      <w:r w:rsidR="007F18FF" w:rsidRPr="00E96FDD">
        <w:rPr>
          <w:rFonts w:cs="Arial"/>
          <w:bCs/>
          <w:sz w:val="24"/>
          <w:szCs w:val="24"/>
        </w:rPr>
        <w:t xml:space="preserve">, conforme </w:t>
      </w:r>
      <w:r w:rsidR="00250E24" w:rsidRPr="00E96FDD">
        <w:rPr>
          <w:rFonts w:cs="Arial"/>
          <w:bCs/>
          <w:sz w:val="24"/>
          <w:szCs w:val="24"/>
        </w:rPr>
        <w:t>orientado pela CPFI (Súmula nº 92/2020).</w:t>
      </w:r>
    </w:p>
    <w:p w14:paraId="2F815C17" w14:textId="430D611D" w:rsidR="00BE15AF" w:rsidRPr="00E96FDD" w:rsidRDefault="00590C67" w:rsidP="004E0BC1">
      <w:pPr>
        <w:spacing w:line="360" w:lineRule="auto"/>
        <w:ind w:firstLine="851"/>
        <w:jc w:val="both"/>
        <w:rPr>
          <w:rFonts w:eastAsia="Arial Unicode MS" w:cs="Calibri"/>
          <w:bCs/>
          <w:iCs/>
          <w:sz w:val="24"/>
          <w:szCs w:val="24"/>
        </w:rPr>
      </w:pPr>
      <w:r w:rsidRPr="00E96FDD">
        <w:rPr>
          <w:rFonts w:eastAsia="Arial Unicode MS" w:cs="Calibri"/>
          <w:bCs/>
          <w:iCs/>
          <w:sz w:val="24"/>
          <w:szCs w:val="24"/>
        </w:rPr>
        <w:t xml:space="preserve">Na eventualidade de, durante </w:t>
      </w:r>
      <w:r w:rsidR="007F18FF" w:rsidRPr="00E96FDD">
        <w:rPr>
          <w:rFonts w:eastAsia="Arial Unicode MS" w:cs="Calibri"/>
          <w:bCs/>
          <w:iCs/>
          <w:sz w:val="24"/>
          <w:szCs w:val="24"/>
        </w:rPr>
        <w:t xml:space="preserve">o </w:t>
      </w:r>
      <w:r w:rsidR="00944A9C" w:rsidRPr="00E96FDD">
        <w:rPr>
          <w:rFonts w:eastAsia="Arial Unicode MS" w:cs="Calibri"/>
          <w:bCs/>
          <w:iCs/>
          <w:sz w:val="24"/>
          <w:szCs w:val="24"/>
        </w:rPr>
        <w:t xml:space="preserve">período de execução do Plano de Ação </w:t>
      </w:r>
      <w:r w:rsidR="007F18FF" w:rsidRPr="00E96FDD">
        <w:rPr>
          <w:rFonts w:eastAsia="Arial Unicode MS" w:cs="Calibri"/>
          <w:bCs/>
          <w:iCs/>
          <w:sz w:val="24"/>
          <w:szCs w:val="24"/>
        </w:rPr>
        <w:t xml:space="preserve">de </w:t>
      </w:r>
      <w:r w:rsidR="00944A9C" w:rsidRPr="00E96FDD">
        <w:rPr>
          <w:rFonts w:eastAsia="Arial Unicode MS" w:cs="Calibri"/>
          <w:bCs/>
          <w:iCs/>
          <w:sz w:val="24"/>
          <w:szCs w:val="24"/>
        </w:rPr>
        <w:t>202</w:t>
      </w:r>
      <w:r w:rsidR="00E96FDD" w:rsidRPr="00E96FDD">
        <w:rPr>
          <w:rFonts w:eastAsia="Arial Unicode MS" w:cs="Calibri"/>
          <w:bCs/>
          <w:iCs/>
          <w:sz w:val="24"/>
          <w:szCs w:val="24"/>
        </w:rPr>
        <w:t>4</w:t>
      </w:r>
      <w:r w:rsidR="00944A9C" w:rsidRPr="00E96FDD">
        <w:rPr>
          <w:rFonts w:eastAsia="Arial Unicode MS" w:cs="Calibri"/>
          <w:bCs/>
          <w:iCs/>
          <w:sz w:val="24"/>
          <w:szCs w:val="24"/>
        </w:rPr>
        <w:t xml:space="preserve">, </w:t>
      </w:r>
      <w:r w:rsidRPr="00E96FDD">
        <w:rPr>
          <w:rFonts w:eastAsia="Arial Unicode MS" w:cs="Calibri"/>
          <w:bCs/>
          <w:iCs/>
          <w:sz w:val="24"/>
          <w:szCs w:val="24"/>
        </w:rPr>
        <w:t>surgirem n</w:t>
      </w:r>
      <w:r w:rsidR="00944A9C" w:rsidRPr="00E96FDD">
        <w:rPr>
          <w:rFonts w:eastAsia="Arial Unicode MS" w:cs="Calibri"/>
          <w:bCs/>
          <w:iCs/>
          <w:sz w:val="24"/>
          <w:szCs w:val="24"/>
        </w:rPr>
        <w:t xml:space="preserve">ovos critérios, procedimentos e/ou </w:t>
      </w:r>
      <w:r w:rsidRPr="00E96FDD">
        <w:rPr>
          <w:rFonts w:eastAsia="Arial Unicode MS" w:cs="Calibri"/>
          <w:bCs/>
          <w:iCs/>
          <w:sz w:val="24"/>
          <w:szCs w:val="24"/>
        </w:rPr>
        <w:t xml:space="preserve">eventos </w:t>
      </w:r>
      <w:r w:rsidR="00944A9C" w:rsidRPr="00E96FDD">
        <w:rPr>
          <w:rFonts w:eastAsia="Arial Unicode MS" w:cs="Calibri"/>
          <w:bCs/>
          <w:iCs/>
          <w:sz w:val="24"/>
          <w:szCs w:val="24"/>
        </w:rPr>
        <w:t xml:space="preserve">que impactem os atuais </w:t>
      </w:r>
      <w:r w:rsidRPr="00E96FDD">
        <w:rPr>
          <w:rFonts w:eastAsia="Arial Unicode MS" w:cs="Calibri"/>
          <w:bCs/>
          <w:iCs/>
          <w:sz w:val="24"/>
          <w:szCs w:val="24"/>
        </w:rPr>
        <w:t xml:space="preserve">valores, </w:t>
      </w:r>
      <w:r w:rsidR="00944A9C" w:rsidRPr="00E96FDD">
        <w:rPr>
          <w:rFonts w:eastAsia="Arial Unicode MS" w:cs="Calibri"/>
          <w:bCs/>
          <w:iCs/>
          <w:sz w:val="24"/>
          <w:szCs w:val="24"/>
        </w:rPr>
        <w:t>os ajustes necessários</w:t>
      </w:r>
      <w:r w:rsidRPr="00E96FDD">
        <w:rPr>
          <w:rFonts w:eastAsia="Arial Unicode MS" w:cs="Calibri"/>
          <w:bCs/>
          <w:iCs/>
          <w:sz w:val="24"/>
          <w:szCs w:val="24"/>
        </w:rPr>
        <w:t xml:space="preserve"> serão realizados por meio de </w:t>
      </w:r>
      <w:r w:rsidR="00944A9C" w:rsidRPr="00E96FDD">
        <w:rPr>
          <w:rFonts w:eastAsia="Arial Unicode MS" w:cs="Calibri"/>
          <w:bCs/>
          <w:iCs/>
          <w:sz w:val="24"/>
          <w:szCs w:val="24"/>
        </w:rPr>
        <w:t>proposta de Reprogramação do Plano de Ação.</w:t>
      </w:r>
    </w:p>
    <w:p w14:paraId="32568E52" w14:textId="77777777" w:rsidR="004E0BC1" w:rsidRPr="00126546" w:rsidRDefault="004E0BC1" w:rsidP="004E0BC1">
      <w:pPr>
        <w:spacing w:line="360" w:lineRule="auto"/>
        <w:ind w:firstLine="851"/>
        <w:jc w:val="both"/>
        <w:rPr>
          <w:rFonts w:eastAsiaTheme="minorEastAsia"/>
          <w:color w:val="ED7D31" w:themeColor="accent2"/>
          <w:sz w:val="24"/>
          <w:szCs w:val="24"/>
          <w:highlight w:val="lightGray"/>
          <w:lang w:eastAsia="pt-BR"/>
        </w:rPr>
      </w:pPr>
    </w:p>
    <w:p w14:paraId="7DC85250" w14:textId="76C41AB6" w:rsidR="007E5FCF" w:rsidRPr="00E96FDD" w:rsidRDefault="00B72DE2" w:rsidP="009A003B">
      <w:pPr>
        <w:pStyle w:val="Ttulo2"/>
        <w:ind w:left="851" w:firstLine="0"/>
        <w:rPr>
          <w:rFonts w:eastAsia="Arial Unicode MS"/>
          <w:color w:val="612141"/>
        </w:rPr>
      </w:pPr>
      <w:bookmarkStart w:id="32" w:name="_Toc147404335"/>
      <w:bookmarkStart w:id="33" w:name="_Toc487558910"/>
      <w:bookmarkStart w:id="34" w:name="_Toc487559011"/>
      <w:r w:rsidRPr="00E96FDD">
        <w:rPr>
          <w:rFonts w:eastAsia="Arial Unicode MS"/>
          <w:color w:val="612141"/>
        </w:rPr>
        <w:t xml:space="preserve">Rede de Atendimento Integrado - </w:t>
      </w:r>
      <w:r w:rsidR="00591295" w:rsidRPr="00E96FDD">
        <w:rPr>
          <w:rFonts w:eastAsia="Arial Unicode MS"/>
          <w:color w:val="612141"/>
        </w:rPr>
        <w:t>RIA</w:t>
      </w:r>
      <w:bookmarkEnd w:id="32"/>
      <w:r w:rsidR="00366EA4" w:rsidRPr="00E96FDD">
        <w:rPr>
          <w:rFonts w:eastAsia="Arial Unicode MS"/>
          <w:color w:val="612141"/>
        </w:rPr>
        <w:t xml:space="preserve"> </w:t>
      </w:r>
      <w:bookmarkEnd w:id="33"/>
      <w:bookmarkEnd w:id="34"/>
    </w:p>
    <w:p w14:paraId="7DC85252" w14:textId="6FC961BB" w:rsidR="00DF4AB2" w:rsidRPr="00E96FDD" w:rsidRDefault="00611BD7" w:rsidP="00590C67">
      <w:pPr>
        <w:spacing w:line="360" w:lineRule="auto"/>
        <w:ind w:firstLine="851"/>
        <w:jc w:val="both"/>
        <w:rPr>
          <w:rFonts w:eastAsia="Arial Unicode MS" w:cs="Calibri"/>
          <w:bCs/>
          <w:i/>
          <w:iCs/>
          <w:sz w:val="24"/>
          <w:szCs w:val="24"/>
        </w:rPr>
      </w:pPr>
      <w:r w:rsidRPr="00E96FDD">
        <w:rPr>
          <w:rFonts w:eastAsia="Arial Unicode MS" w:cs="Calibri"/>
          <w:sz w:val="24"/>
          <w:szCs w:val="24"/>
        </w:rPr>
        <w:t xml:space="preserve">Dentre </w:t>
      </w:r>
      <w:r w:rsidR="00DF4AB2" w:rsidRPr="00E96FDD">
        <w:rPr>
          <w:rFonts w:eastAsia="Arial Unicode MS" w:cs="Calibri"/>
          <w:sz w:val="24"/>
          <w:szCs w:val="24"/>
        </w:rPr>
        <w:t>os serviços</w:t>
      </w:r>
      <w:r w:rsidRPr="00E96FDD">
        <w:rPr>
          <w:rFonts w:eastAsia="Arial Unicode MS" w:cs="Calibri"/>
          <w:sz w:val="24"/>
          <w:szCs w:val="24"/>
        </w:rPr>
        <w:t xml:space="preserve"> prestados pela </w:t>
      </w:r>
      <w:r w:rsidR="00DF4AB2" w:rsidRPr="00E96FDD">
        <w:rPr>
          <w:rFonts w:eastAsia="Arial Unicode MS" w:cs="Calibri"/>
          <w:sz w:val="24"/>
          <w:szCs w:val="24"/>
        </w:rPr>
        <w:t>Rede Integrada de Atendimento</w:t>
      </w:r>
      <w:r w:rsidRPr="00E96FDD">
        <w:rPr>
          <w:rFonts w:eastAsia="Arial Unicode MS" w:cs="Calibri"/>
          <w:sz w:val="24"/>
          <w:szCs w:val="24"/>
        </w:rPr>
        <w:t xml:space="preserve"> – RIA (</w:t>
      </w:r>
      <w:r w:rsidR="004E332D" w:rsidRPr="00E96FDD">
        <w:rPr>
          <w:rFonts w:eastAsia="Arial Unicode MS" w:cs="Calibri"/>
          <w:sz w:val="24"/>
          <w:szCs w:val="24"/>
        </w:rPr>
        <w:t>Serviço de Teleatendimento Qualificado</w:t>
      </w:r>
      <w:r w:rsidR="00590C67" w:rsidRPr="00E96FDD">
        <w:rPr>
          <w:rFonts w:eastAsia="Arial Unicode MS" w:cs="Calibri"/>
          <w:sz w:val="24"/>
          <w:szCs w:val="24"/>
        </w:rPr>
        <w:t xml:space="preserve"> - </w:t>
      </w:r>
      <w:r w:rsidR="004E332D" w:rsidRPr="00E96FDD">
        <w:rPr>
          <w:rFonts w:eastAsia="Arial Unicode MS" w:cs="Calibri"/>
          <w:sz w:val="24"/>
          <w:szCs w:val="24"/>
        </w:rPr>
        <w:t>TAQ; Serviço Telefônico de Teleatendimento 0800 e 4007; Rede Social Corporativa dos Arquitetos e Urbanistas</w:t>
      </w:r>
      <w:r w:rsidRPr="00E96FDD">
        <w:rPr>
          <w:rFonts w:eastAsia="Arial Unicode MS" w:cs="Calibri"/>
          <w:sz w:val="24"/>
          <w:szCs w:val="24"/>
        </w:rPr>
        <w:t xml:space="preserve"> </w:t>
      </w:r>
      <w:r w:rsidR="004E332D" w:rsidRPr="00E96FDD">
        <w:rPr>
          <w:rFonts w:eastAsia="Arial Unicode MS" w:cs="Calibri"/>
          <w:sz w:val="24"/>
          <w:szCs w:val="24"/>
        </w:rPr>
        <w:t>e Atendente Virtual</w:t>
      </w:r>
      <w:r w:rsidRPr="00E96FDD">
        <w:rPr>
          <w:rFonts w:eastAsia="Arial Unicode MS" w:cs="Calibri"/>
          <w:sz w:val="24"/>
          <w:szCs w:val="24"/>
        </w:rPr>
        <w:t xml:space="preserve">), somente o </w:t>
      </w:r>
      <w:r w:rsidR="00567226" w:rsidRPr="00E96FDD">
        <w:rPr>
          <w:rFonts w:eastAsia="Arial Unicode MS" w:cs="Calibri"/>
          <w:b/>
          <w:bCs/>
          <w:sz w:val="24"/>
          <w:szCs w:val="24"/>
        </w:rPr>
        <w:t>S</w:t>
      </w:r>
      <w:r w:rsidR="004E332D" w:rsidRPr="00E96FDD">
        <w:rPr>
          <w:rFonts w:eastAsia="Arial Unicode MS" w:cs="Calibri"/>
          <w:b/>
          <w:bCs/>
          <w:sz w:val="24"/>
          <w:szCs w:val="24"/>
        </w:rPr>
        <w:t xml:space="preserve">erviço </w:t>
      </w:r>
      <w:r w:rsidR="00567226" w:rsidRPr="00E96FDD">
        <w:rPr>
          <w:rFonts w:eastAsia="Arial Unicode MS" w:cs="Calibri"/>
          <w:b/>
          <w:bCs/>
          <w:sz w:val="24"/>
          <w:szCs w:val="24"/>
        </w:rPr>
        <w:t>Telefônico</w:t>
      </w:r>
      <w:r w:rsidR="00DF4AB2" w:rsidRPr="00E96FDD">
        <w:rPr>
          <w:rFonts w:eastAsia="Arial Unicode MS" w:cs="Calibri"/>
          <w:b/>
          <w:bCs/>
          <w:sz w:val="24"/>
          <w:szCs w:val="24"/>
        </w:rPr>
        <w:t xml:space="preserve"> </w:t>
      </w:r>
      <w:r w:rsidR="00567226" w:rsidRPr="00E96FDD">
        <w:rPr>
          <w:rFonts w:eastAsia="Arial Unicode MS" w:cs="Calibri"/>
          <w:b/>
          <w:bCs/>
          <w:sz w:val="24"/>
          <w:szCs w:val="24"/>
        </w:rPr>
        <w:t>(</w:t>
      </w:r>
      <w:r w:rsidR="00DF4AB2" w:rsidRPr="00E96FDD">
        <w:rPr>
          <w:rFonts w:eastAsia="Arial Unicode MS" w:cs="Calibri"/>
          <w:b/>
          <w:bCs/>
          <w:sz w:val="24"/>
          <w:szCs w:val="24"/>
        </w:rPr>
        <w:t>0800 e 4007</w:t>
      </w:r>
      <w:r w:rsidR="00567226" w:rsidRPr="00E96FDD">
        <w:rPr>
          <w:rFonts w:eastAsia="Arial Unicode MS" w:cs="Calibri"/>
          <w:b/>
          <w:bCs/>
          <w:sz w:val="24"/>
          <w:szCs w:val="24"/>
        </w:rPr>
        <w:t>)</w:t>
      </w:r>
      <w:r w:rsidRPr="00E96FDD">
        <w:rPr>
          <w:rFonts w:eastAsia="Arial Unicode MS" w:cs="Calibri"/>
          <w:sz w:val="24"/>
          <w:szCs w:val="24"/>
        </w:rPr>
        <w:t xml:space="preserve"> </w:t>
      </w:r>
      <w:r w:rsidR="004E332D" w:rsidRPr="00E96FDD">
        <w:rPr>
          <w:rFonts w:eastAsia="Arial Unicode MS" w:cs="Calibri"/>
          <w:sz w:val="24"/>
          <w:szCs w:val="24"/>
        </w:rPr>
        <w:t>é</w:t>
      </w:r>
      <w:r w:rsidR="00DF4AB2" w:rsidRPr="00E96FDD">
        <w:rPr>
          <w:rFonts w:eastAsia="Arial Unicode MS" w:cs="Calibri"/>
          <w:sz w:val="24"/>
          <w:szCs w:val="24"/>
        </w:rPr>
        <w:t xml:space="preserve"> de custeio integral pelos CAU/UF</w:t>
      </w:r>
      <w:r w:rsidRPr="00E96FDD">
        <w:rPr>
          <w:rFonts w:eastAsia="Arial Unicode MS" w:cs="Calibri"/>
          <w:sz w:val="24"/>
          <w:szCs w:val="24"/>
        </w:rPr>
        <w:t xml:space="preserve"> (conforme </w:t>
      </w:r>
      <w:r w:rsidR="00DF4AB2" w:rsidRPr="00E96FDD">
        <w:rPr>
          <w:rFonts w:eastAsia="Arial Unicode MS" w:cs="Calibri"/>
          <w:sz w:val="24"/>
          <w:szCs w:val="24"/>
        </w:rPr>
        <w:t>Resolução nº 126,</w:t>
      </w:r>
      <w:r w:rsidR="00526784" w:rsidRPr="00E96FDD">
        <w:rPr>
          <w:rFonts w:eastAsia="Arial Unicode MS" w:cs="Calibri"/>
          <w:sz w:val="24"/>
          <w:szCs w:val="24"/>
        </w:rPr>
        <w:t xml:space="preserve"> a</w:t>
      </w:r>
      <w:r w:rsidR="00DF4AB2" w:rsidRPr="00E96FDD">
        <w:rPr>
          <w:rFonts w:eastAsia="Arial Unicode MS" w:cs="Calibri"/>
          <w:sz w:val="24"/>
          <w:szCs w:val="24"/>
        </w:rPr>
        <w:t>rt. 10º, § 1º, Inciso II, Item b</w:t>
      </w:r>
      <w:r w:rsidRPr="00E96FDD">
        <w:rPr>
          <w:rFonts w:eastAsia="Arial Unicode MS" w:cs="Calibri"/>
          <w:sz w:val="24"/>
          <w:szCs w:val="24"/>
        </w:rPr>
        <w:t>):</w:t>
      </w:r>
      <w:r w:rsidR="00DF4AB2" w:rsidRPr="00E96FDD">
        <w:rPr>
          <w:rFonts w:eastAsia="Arial Unicode MS" w:cs="Calibri"/>
          <w:sz w:val="24"/>
          <w:szCs w:val="24"/>
        </w:rPr>
        <w:t xml:space="preserve"> </w:t>
      </w:r>
      <w:r w:rsidR="00590C67" w:rsidRPr="00E96FDD">
        <w:rPr>
          <w:rFonts w:eastAsia="Arial Unicode MS" w:cs="Calibri"/>
          <w:sz w:val="24"/>
          <w:szCs w:val="24"/>
        </w:rPr>
        <w:t>“</w:t>
      </w:r>
      <w:r w:rsidR="00DF4AB2" w:rsidRPr="00E96FDD">
        <w:rPr>
          <w:rFonts w:eastAsia="Arial Unicode MS" w:cs="Calibri"/>
          <w:bCs/>
          <w:i/>
          <w:iCs/>
          <w:sz w:val="24"/>
          <w:szCs w:val="24"/>
        </w:rPr>
        <w:t>o custeio das despesas com os serviços referidos no art. 2°, § 1°, inciso III, alíneas “b” desta Resolução, em valores correspondentes e proporcionais ao uso efetivo de cada CAU/UF, sendo que o encontro de contas será feito no primeiro mês do exercício subsequente”.</w:t>
      </w:r>
    </w:p>
    <w:p w14:paraId="7DC85253" w14:textId="615823DC" w:rsidR="00DF4AB2" w:rsidRPr="00E96FDD" w:rsidRDefault="004E0BC1" w:rsidP="00DF4AB2">
      <w:pPr>
        <w:spacing w:line="360" w:lineRule="auto"/>
        <w:ind w:firstLine="851"/>
        <w:jc w:val="both"/>
        <w:rPr>
          <w:rFonts w:eastAsia="Arial Unicode MS" w:cs="Calibri"/>
          <w:sz w:val="24"/>
          <w:szCs w:val="24"/>
        </w:rPr>
      </w:pPr>
      <w:r w:rsidRPr="00E96FDD">
        <w:rPr>
          <w:rFonts w:eastAsia="Arial Unicode MS" w:cs="Calibri"/>
          <w:sz w:val="24"/>
          <w:szCs w:val="24"/>
        </w:rPr>
        <w:t>C</w:t>
      </w:r>
      <w:r w:rsidR="00DF4AB2" w:rsidRPr="00E96FDD">
        <w:rPr>
          <w:rFonts w:eastAsia="Arial Unicode MS" w:cs="Calibri"/>
          <w:sz w:val="24"/>
          <w:szCs w:val="24"/>
        </w:rPr>
        <w:t>onsiderando</w:t>
      </w:r>
      <w:r w:rsidR="00611BD7" w:rsidRPr="00E96FDD">
        <w:rPr>
          <w:rFonts w:eastAsia="Arial Unicode MS" w:cs="Calibri"/>
          <w:sz w:val="24"/>
          <w:szCs w:val="24"/>
        </w:rPr>
        <w:t xml:space="preserve"> os valores aprovados pelo </w:t>
      </w:r>
      <w:r w:rsidR="00DF4AB2" w:rsidRPr="00E96FDD">
        <w:rPr>
          <w:rFonts w:eastAsia="Arial Unicode MS" w:cs="Calibri"/>
          <w:sz w:val="24"/>
          <w:szCs w:val="24"/>
        </w:rPr>
        <w:t>Colegiado do CSC</w:t>
      </w:r>
      <w:r w:rsidR="00611BD7" w:rsidRPr="00E96FDD">
        <w:rPr>
          <w:rFonts w:eastAsia="Arial Unicode MS" w:cs="Calibri"/>
          <w:sz w:val="24"/>
          <w:szCs w:val="24"/>
        </w:rPr>
        <w:t xml:space="preserve"> para o exercício de 202</w:t>
      </w:r>
      <w:r w:rsidR="00E96FDD">
        <w:rPr>
          <w:rFonts w:eastAsia="Arial Unicode MS" w:cs="Calibri"/>
          <w:sz w:val="24"/>
          <w:szCs w:val="24"/>
        </w:rPr>
        <w:t>4</w:t>
      </w:r>
      <w:r w:rsidR="00DF4AB2" w:rsidRPr="00E96FDD">
        <w:rPr>
          <w:rFonts w:eastAsia="Arial Unicode MS" w:cs="Calibri"/>
          <w:color w:val="000000" w:themeColor="text1"/>
          <w:sz w:val="24"/>
          <w:szCs w:val="24"/>
        </w:rPr>
        <w:t xml:space="preserve">, </w:t>
      </w:r>
      <w:r w:rsidR="00611BD7" w:rsidRPr="00E96FDD">
        <w:rPr>
          <w:rFonts w:eastAsia="Arial Unicode MS" w:cs="Calibri"/>
          <w:color w:val="000000" w:themeColor="text1"/>
          <w:sz w:val="24"/>
          <w:szCs w:val="24"/>
        </w:rPr>
        <w:t xml:space="preserve">o montante </w:t>
      </w:r>
      <w:r w:rsidR="00DF4AB2" w:rsidRPr="00E96FDD">
        <w:rPr>
          <w:rFonts w:eastAsia="Arial Unicode MS" w:cs="Calibri"/>
          <w:color w:val="000000" w:themeColor="text1"/>
          <w:sz w:val="24"/>
          <w:szCs w:val="24"/>
        </w:rPr>
        <w:t xml:space="preserve">a ser aportado pelos CAU/UF </w:t>
      </w:r>
      <w:r w:rsidR="00611BD7" w:rsidRPr="00E96FDD">
        <w:rPr>
          <w:rFonts w:eastAsia="Arial Unicode MS" w:cs="Calibri"/>
          <w:color w:val="000000" w:themeColor="text1"/>
          <w:sz w:val="24"/>
          <w:szCs w:val="24"/>
        </w:rPr>
        <w:t xml:space="preserve">é de </w:t>
      </w:r>
      <w:r w:rsidR="00DF4AB2" w:rsidRPr="00E96FDD">
        <w:rPr>
          <w:rFonts w:eastAsia="Arial Unicode MS" w:cs="Calibri"/>
          <w:b/>
          <w:color w:val="000000" w:themeColor="text1"/>
          <w:sz w:val="24"/>
          <w:szCs w:val="24"/>
        </w:rPr>
        <w:t xml:space="preserve">R$ </w:t>
      </w:r>
      <w:r w:rsidR="00E96FDD" w:rsidRPr="00855F9D">
        <w:rPr>
          <w:rFonts w:eastAsia="Arial Unicode MS" w:cs="Calibri"/>
          <w:b/>
          <w:sz w:val="24"/>
          <w:szCs w:val="24"/>
        </w:rPr>
        <w:t>86,6</w:t>
      </w:r>
      <w:r w:rsidR="00282938" w:rsidRPr="00855F9D">
        <w:rPr>
          <w:rFonts w:eastAsia="Arial Unicode MS" w:cs="Calibri"/>
          <w:b/>
          <w:sz w:val="24"/>
          <w:szCs w:val="24"/>
        </w:rPr>
        <w:t>0</w:t>
      </w:r>
      <w:r w:rsidR="00DF4AB2" w:rsidRPr="00855F9D">
        <w:rPr>
          <w:rFonts w:eastAsia="Arial Unicode MS" w:cs="Calibri"/>
          <w:b/>
          <w:sz w:val="24"/>
          <w:szCs w:val="24"/>
        </w:rPr>
        <w:t xml:space="preserve"> mil</w:t>
      </w:r>
      <w:r w:rsidR="005822A0" w:rsidRPr="00855F9D">
        <w:rPr>
          <w:rFonts w:eastAsia="Arial Unicode MS" w:cs="Calibri"/>
          <w:b/>
          <w:sz w:val="24"/>
          <w:szCs w:val="24"/>
        </w:rPr>
        <w:t xml:space="preserve"> </w:t>
      </w:r>
      <w:r w:rsidR="005822A0" w:rsidRPr="00855F9D">
        <w:rPr>
          <w:rFonts w:eastAsia="Arial Unicode MS" w:cs="Calibri"/>
          <w:sz w:val="24"/>
          <w:szCs w:val="24"/>
        </w:rPr>
        <w:t>(oitenta e seis mil e seiscentos reais)</w:t>
      </w:r>
      <w:r w:rsidR="00611BD7" w:rsidRPr="00855F9D">
        <w:rPr>
          <w:rFonts w:eastAsia="Arial Unicode MS" w:cs="Calibri"/>
          <w:b/>
          <w:sz w:val="24"/>
          <w:szCs w:val="24"/>
        </w:rPr>
        <w:t xml:space="preserve">, </w:t>
      </w:r>
      <w:r w:rsidRPr="00855F9D">
        <w:rPr>
          <w:rFonts w:eastAsia="Arial Unicode MS" w:cs="Calibri"/>
          <w:bCs/>
          <w:sz w:val="24"/>
          <w:szCs w:val="24"/>
        </w:rPr>
        <w:t>calculados</w:t>
      </w:r>
      <w:r w:rsidRPr="00855F9D">
        <w:rPr>
          <w:rFonts w:eastAsia="Arial Unicode MS" w:cs="Calibri"/>
          <w:b/>
          <w:sz w:val="24"/>
          <w:szCs w:val="24"/>
        </w:rPr>
        <w:t xml:space="preserve"> </w:t>
      </w:r>
      <w:r w:rsidR="00611BD7" w:rsidRPr="00855F9D">
        <w:rPr>
          <w:rFonts w:eastAsia="Arial Unicode MS" w:cs="Calibri"/>
          <w:bCs/>
          <w:sz w:val="24"/>
          <w:szCs w:val="24"/>
        </w:rPr>
        <w:t xml:space="preserve">a partir da </w:t>
      </w:r>
      <w:r w:rsidR="00DF4AB2" w:rsidRPr="00855F9D">
        <w:rPr>
          <w:rFonts w:eastAsia="Arial Unicode MS" w:cs="Calibri"/>
          <w:sz w:val="24"/>
          <w:szCs w:val="24"/>
        </w:rPr>
        <w:t>média de utilização entre os anos de 20</w:t>
      </w:r>
      <w:r w:rsidR="004512BB" w:rsidRPr="00855F9D">
        <w:rPr>
          <w:rFonts w:eastAsia="Arial Unicode MS" w:cs="Calibri"/>
          <w:sz w:val="24"/>
          <w:szCs w:val="24"/>
        </w:rPr>
        <w:t>20</w:t>
      </w:r>
      <w:r w:rsidR="00DF4AB2" w:rsidRPr="00855F9D">
        <w:rPr>
          <w:rFonts w:eastAsia="Arial Unicode MS" w:cs="Calibri"/>
          <w:sz w:val="24"/>
          <w:szCs w:val="24"/>
        </w:rPr>
        <w:t xml:space="preserve"> </w:t>
      </w:r>
      <w:r w:rsidRPr="00855F9D">
        <w:rPr>
          <w:rFonts w:eastAsia="Arial Unicode MS" w:cs="Calibri"/>
          <w:sz w:val="24"/>
          <w:szCs w:val="24"/>
        </w:rPr>
        <w:t>e</w:t>
      </w:r>
      <w:r w:rsidR="00DF4AB2" w:rsidRPr="00855F9D">
        <w:rPr>
          <w:rFonts w:eastAsia="Arial Unicode MS" w:cs="Calibri"/>
          <w:sz w:val="24"/>
          <w:szCs w:val="24"/>
        </w:rPr>
        <w:t xml:space="preserve"> 20</w:t>
      </w:r>
      <w:r w:rsidR="001F7ED4" w:rsidRPr="00855F9D">
        <w:rPr>
          <w:rFonts w:eastAsia="Arial Unicode MS" w:cs="Calibri"/>
          <w:sz w:val="24"/>
          <w:szCs w:val="24"/>
        </w:rPr>
        <w:t>2</w:t>
      </w:r>
      <w:r w:rsidR="004512BB" w:rsidRPr="00855F9D">
        <w:rPr>
          <w:rFonts w:eastAsia="Arial Unicode MS" w:cs="Calibri"/>
          <w:sz w:val="24"/>
          <w:szCs w:val="24"/>
        </w:rPr>
        <w:t>2</w:t>
      </w:r>
      <w:r w:rsidR="00BC4BA9" w:rsidRPr="00E96FDD">
        <w:rPr>
          <w:rFonts w:eastAsia="Arial Unicode MS" w:cs="Calibri"/>
          <w:color w:val="000000" w:themeColor="text1"/>
          <w:sz w:val="24"/>
          <w:szCs w:val="24"/>
        </w:rPr>
        <w:t>.</w:t>
      </w:r>
    </w:p>
    <w:p w14:paraId="5BD13586" w14:textId="6B6EC39F" w:rsidR="00A90DB8" w:rsidRDefault="00A90DB8" w:rsidP="001F37E6">
      <w:pPr>
        <w:spacing w:after="0" w:line="360" w:lineRule="auto"/>
        <w:ind w:firstLine="851"/>
        <w:jc w:val="both"/>
        <w:rPr>
          <w:rFonts w:eastAsia="Arial Unicode MS" w:cs="Calibri"/>
          <w:color w:val="ED7D31" w:themeColor="accent2"/>
          <w:sz w:val="24"/>
          <w:szCs w:val="24"/>
          <w:highlight w:val="lightGray"/>
        </w:rPr>
      </w:pPr>
    </w:p>
    <w:p w14:paraId="13539889" w14:textId="77777777" w:rsidR="00A42D6D" w:rsidRPr="00126546" w:rsidRDefault="00A42D6D" w:rsidP="001F37E6">
      <w:pPr>
        <w:spacing w:after="0" w:line="360" w:lineRule="auto"/>
        <w:ind w:firstLine="851"/>
        <w:jc w:val="both"/>
        <w:rPr>
          <w:rFonts w:eastAsia="Arial Unicode MS" w:cs="Calibri"/>
          <w:color w:val="ED7D31" w:themeColor="accent2"/>
          <w:sz w:val="24"/>
          <w:szCs w:val="24"/>
          <w:highlight w:val="lightGray"/>
        </w:rPr>
      </w:pPr>
    </w:p>
    <w:p w14:paraId="7DC85255" w14:textId="29539F13" w:rsidR="00DF4AB2" w:rsidRPr="00282938" w:rsidRDefault="00DF4AB2" w:rsidP="00DF4AB2">
      <w:pPr>
        <w:pStyle w:val="Ttulo2"/>
        <w:ind w:left="851" w:firstLine="0"/>
        <w:rPr>
          <w:rFonts w:eastAsia="Arial Unicode MS"/>
          <w:color w:val="612141"/>
        </w:rPr>
      </w:pPr>
      <w:bookmarkStart w:id="35" w:name="_Toc517110705"/>
      <w:bookmarkStart w:id="36" w:name="_Toc517111677"/>
      <w:bookmarkStart w:id="37" w:name="_Toc517111956"/>
      <w:bookmarkStart w:id="38" w:name="_Toc517188759"/>
      <w:bookmarkStart w:id="39" w:name="_Toc517188813"/>
      <w:bookmarkStart w:id="40" w:name="_Toc517194147"/>
      <w:bookmarkStart w:id="41" w:name="_Toc518381398"/>
      <w:bookmarkStart w:id="42" w:name="_Toc147404336"/>
      <w:bookmarkStart w:id="43" w:name="_Toc487558911"/>
      <w:bookmarkStart w:id="44" w:name="_Toc487559012"/>
      <w:r w:rsidRPr="00282938">
        <w:rPr>
          <w:rFonts w:eastAsia="Arial Unicode MS"/>
          <w:color w:val="612141"/>
        </w:rPr>
        <w:t>Ressarcimento de Ta</w:t>
      </w:r>
      <w:r w:rsidR="00D1577E" w:rsidRPr="00282938">
        <w:rPr>
          <w:rFonts w:eastAsia="Arial Unicode MS"/>
          <w:color w:val="612141"/>
        </w:rPr>
        <w:t>rifas</w:t>
      </w:r>
      <w:r w:rsidRPr="00282938">
        <w:rPr>
          <w:rFonts w:eastAsia="Arial Unicode MS"/>
          <w:color w:val="612141"/>
        </w:rPr>
        <w:t xml:space="preserve"> Bancárias</w:t>
      </w:r>
      <w:bookmarkEnd w:id="35"/>
      <w:bookmarkEnd w:id="36"/>
      <w:bookmarkEnd w:id="37"/>
      <w:bookmarkEnd w:id="38"/>
      <w:bookmarkEnd w:id="39"/>
      <w:bookmarkEnd w:id="40"/>
      <w:bookmarkEnd w:id="41"/>
      <w:bookmarkEnd w:id="42"/>
    </w:p>
    <w:p w14:paraId="10D0142D" w14:textId="389543C2" w:rsidR="004E0BC1" w:rsidRPr="00282938" w:rsidRDefault="00A46273" w:rsidP="00DF4AB2">
      <w:pPr>
        <w:spacing w:line="360" w:lineRule="auto"/>
        <w:ind w:firstLine="708"/>
        <w:jc w:val="both"/>
        <w:rPr>
          <w:rFonts w:eastAsia="Arial Unicode MS" w:cs="Calibri"/>
          <w:color w:val="000000" w:themeColor="text1"/>
          <w:sz w:val="24"/>
          <w:szCs w:val="24"/>
        </w:rPr>
      </w:pPr>
      <w:r w:rsidRPr="00282938">
        <w:rPr>
          <w:rFonts w:eastAsia="Arial Unicode MS" w:cs="Calibri"/>
          <w:color w:val="000000" w:themeColor="text1"/>
          <w:sz w:val="24"/>
          <w:szCs w:val="24"/>
        </w:rPr>
        <w:t>No exercício de 202</w:t>
      </w:r>
      <w:r w:rsidR="00282938">
        <w:rPr>
          <w:rFonts w:eastAsia="Arial Unicode MS" w:cs="Calibri"/>
          <w:color w:val="000000" w:themeColor="text1"/>
          <w:sz w:val="24"/>
          <w:szCs w:val="24"/>
        </w:rPr>
        <w:t>4</w:t>
      </w:r>
      <w:r w:rsidRPr="00282938">
        <w:rPr>
          <w:rFonts w:eastAsia="Arial Unicode MS" w:cs="Calibri"/>
          <w:color w:val="000000" w:themeColor="text1"/>
          <w:sz w:val="24"/>
          <w:szCs w:val="24"/>
        </w:rPr>
        <w:t xml:space="preserve">, é previsto que </w:t>
      </w:r>
      <w:r w:rsidR="00DF4AB2" w:rsidRPr="00282938">
        <w:rPr>
          <w:rFonts w:eastAsia="Arial Unicode MS" w:cs="Calibri"/>
          <w:color w:val="000000" w:themeColor="text1"/>
          <w:sz w:val="24"/>
          <w:szCs w:val="24"/>
        </w:rPr>
        <w:t>o CAU/BR efetuará o ressarcimento aos CAU/UF</w:t>
      </w:r>
      <w:r w:rsidRPr="00282938">
        <w:rPr>
          <w:rFonts w:eastAsia="Arial Unicode MS" w:cs="Calibri"/>
          <w:color w:val="000000" w:themeColor="text1"/>
          <w:sz w:val="24"/>
          <w:szCs w:val="24"/>
        </w:rPr>
        <w:t xml:space="preserve"> do valor de R$ </w:t>
      </w:r>
      <w:r w:rsidR="00282938" w:rsidRPr="00855F9D">
        <w:rPr>
          <w:rFonts w:eastAsia="Arial Unicode MS" w:cs="Calibri"/>
          <w:sz w:val="24"/>
          <w:szCs w:val="24"/>
        </w:rPr>
        <w:t>744,23</w:t>
      </w:r>
      <w:r w:rsidRPr="00855F9D">
        <w:rPr>
          <w:rFonts w:eastAsia="Arial Unicode MS" w:cs="Calibri"/>
          <w:sz w:val="24"/>
          <w:szCs w:val="24"/>
        </w:rPr>
        <w:t xml:space="preserve"> </w:t>
      </w:r>
      <w:r w:rsidRPr="00282938">
        <w:rPr>
          <w:rFonts w:eastAsia="Arial Unicode MS" w:cs="Calibri"/>
          <w:color w:val="000000" w:themeColor="text1"/>
          <w:sz w:val="24"/>
          <w:szCs w:val="24"/>
        </w:rPr>
        <w:t>mil (se</w:t>
      </w:r>
      <w:r w:rsidR="005822A0">
        <w:rPr>
          <w:rFonts w:eastAsia="Arial Unicode MS" w:cs="Calibri"/>
          <w:color w:val="000000" w:themeColor="text1"/>
          <w:sz w:val="24"/>
          <w:szCs w:val="24"/>
        </w:rPr>
        <w:t>tecen</w:t>
      </w:r>
      <w:r w:rsidRPr="00282938">
        <w:rPr>
          <w:rFonts w:eastAsia="Arial Unicode MS" w:cs="Calibri"/>
          <w:color w:val="000000" w:themeColor="text1"/>
          <w:sz w:val="24"/>
          <w:szCs w:val="24"/>
        </w:rPr>
        <w:t xml:space="preserve">tos e </w:t>
      </w:r>
      <w:r w:rsidR="005822A0">
        <w:rPr>
          <w:rFonts w:eastAsia="Arial Unicode MS" w:cs="Calibri"/>
          <w:color w:val="000000" w:themeColor="text1"/>
          <w:sz w:val="24"/>
          <w:szCs w:val="24"/>
        </w:rPr>
        <w:t xml:space="preserve">quarenta e quatro mil, duzentos e </w:t>
      </w:r>
      <w:r w:rsidR="0017640C">
        <w:rPr>
          <w:rFonts w:eastAsia="Arial Unicode MS" w:cs="Calibri"/>
          <w:color w:val="000000" w:themeColor="text1"/>
          <w:sz w:val="24"/>
          <w:szCs w:val="24"/>
        </w:rPr>
        <w:t>vinte e três</w:t>
      </w:r>
      <w:r w:rsidRPr="00282938">
        <w:rPr>
          <w:rFonts w:eastAsia="Arial Unicode MS" w:cs="Calibri"/>
          <w:color w:val="000000" w:themeColor="text1"/>
          <w:sz w:val="24"/>
          <w:szCs w:val="24"/>
        </w:rPr>
        <w:t xml:space="preserve"> mil reais), </w:t>
      </w:r>
      <w:r w:rsidRPr="00282938">
        <w:rPr>
          <w:rFonts w:eastAsia="Arial Unicode MS" w:cs="Calibri"/>
          <w:b/>
          <w:bCs/>
          <w:color w:val="000000" w:themeColor="text1"/>
          <w:sz w:val="24"/>
          <w:szCs w:val="24"/>
        </w:rPr>
        <w:t xml:space="preserve">equivalentes a 20% </w:t>
      </w:r>
      <w:r w:rsidR="00DF4AB2" w:rsidRPr="00282938">
        <w:rPr>
          <w:rFonts w:eastAsia="Arial Unicode MS" w:cs="Calibri"/>
          <w:b/>
          <w:bCs/>
          <w:color w:val="000000" w:themeColor="text1"/>
          <w:sz w:val="24"/>
          <w:szCs w:val="24"/>
        </w:rPr>
        <w:t>do total das ta</w:t>
      </w:r>
      <w:r w:rsidR="00DC73E0" w:rsidRPr="00282938">
        <w:rPr>
          <w:rFonts w:eastAsia="Arial Unicode MS" w:cs="Calibri"/>
          <w:b/>
          <w:bCs/>
          <w:color w:val="000000" w:themeColor="text1"/>
          <w:sz w:val="24"/>
          <w:szCs w:val="24"/>
        </w:rPr>
        <w:t>rifas</w:t>
      </w:r>
      <w:r w:rsidR="00DF4AB2" w:rsidRPr="00282938">
        <w:rPr>
          <w:rFonts w:eastAsia="Arial Unicode MS" w:cs="Calibri"/>
          <w:b/>
          <w:bCs/>
          <w:color w:val="000000" w:themeColor="text1"/>
          <w:sz w:val="24"/>
          <w:szCs w:val="24"/>
        </w:rPr>
        <w:t xml:space="preserve"> bancárias</w:t>
      </w:r>
      <w:r w:rsidR="004E332D" w:rsidRPr="00282938">
        <w:rPr>
          <w:rFonts w:eastAsia="Arial Unicode MS" w:cs="Calibri"/>
          <w:color w:val="000000" w:themeColor="text1"/>
          <w:sz w:val="24"/>
          <w:szCs w:val="24"/>
        </w:rPr>
        <w:t xml:space="preserve"> (de liquidação, registro e baixa) </w:t>
      </w:r>
      <w:r w:rsidR="00DF4AB2" w:rsidRPr="00282938">
        <w:rPr>
          <w:rFonts w:eastAsia="Arial Unicode MS" w:cs="Calibri"/>
          <w:color w:val="000000" w:themeColor="text1"/>
          <w:sz w:val="24"/>
          <w:szCs w:val="24"/>
        </w:rPr>
        <w:t>previstas</w:t>
      </w:r>
      <w:r w:rsidRPr="00282938">
        <w:rPr>
          <w:rFonts w:eastAsia="Arial Unicode MS" w:cs="Calibri"/>
          <w:color w:val="000000" w:themeColor="text1"/>
          <w:sz w:val="24"/>
          <w:szCs w:val="24"/>
        </w:rPr>
        <w:t xml:space="preserve">, relacionadas aos </w:t>
      </w:r>
      <w:r w:rsidR="00DF4AB2" w:rsidRPr="00282938">
        <w:rPr>
          <w:rFonts w:eastAsia="Arial Unicode MS" w:cs="Calibri"/>
          <w:color w:val="000000" w:themeColor="text1"/>
          <w:sz w:val="24"/>
          <w:szCs w:val="24"/>
        </w:rPr>
        <w:t>boletos emitidos para recebimento de anuidades, RRT e demais taxas</w:t>
      </w:r>
      <w:r w:rsidRPr="00282938">
        <w:rPr>
          <w:rFonts w:eastAsia="Arial Unicode MS" w:cs="Calibri"/>
          <w:color w:val="000000" w:themeColor="text1"/>
          <w:sz w:val="24"/>
          <w:szCs w:val="24"/>
        </w:rPr>
        <w:t xml:space="preserve">. </w:t>
      </w:r>
    </w:p>
    <w:p w14:paraId="7DC85256" w14:textId="55215D57" w:rsidR="00DF4AB2" w:rsidRPr="00282938" w:rsidRDefault="00A46273" w:rsidP="00DF4AB2">
      <w:pPr>
        <w:spacing w:line="360" w:lineRule="auto"/>
        <w:ind w:firstLine="708"/>
        <w:jc w:val="both"/>
        <w:rPr>
          <w:rFonts w:eastAsia="Arial Unicode MS" w:cs="Calibri"/>
          <w:color w:val="000000" w:themeColor="text1"/>
          <w:sz w:val="24"/>
          <w:szCs w:val="24"/>
        </w:rPr>
      </w:pPr>
      <w:r w:rsidRPr="00282938">
        <w:rPr>
          <w:rFonts w:eastAsia="Arial Unicode MS" w:cs="Calibri"/>
          <w:color w:val="000000" w:themeColor="text1"/>
          <w:sz w:val="24"/>
          <w:szCs w:val="24"/>
        </w:rPr>
        <w:t xml:space="preserve">Assim, os </w:t>
      </w:r>
      <w:r w:rsidR="00DF4AB2" w:rsidRPr="00282938">
        <w:rPr>
          <w:rFonts w:eastAsia="Arial Unicode MS" w:cs="Calibri"/>
          <w:color w:val="000000" w:themeColor="text1"/>
          <w:sz w:val="24"/>
          <w:szCs w:val="24"/>
        </w:rPr>
        <w:t>CAU/UF deverão,</w:t>
      </w:r>
      <w:r w:rsidRPr="00282938">
        <w:rPr>
          <w:rFonts w:eastAsia="Arial Unicode MS" w:cs="Calibri"/>
          <w:color w:val="000000" w:themeColor="text1"/>
          <w:sz w:val="24"/>
          <w:szCs w:val="24"/>
        </w:rPr>
        <w:t xml:space="preserve"> em sua proposta de </w:t>
      </w:r>
      <w:r w:rsidR="00DF4AB2" w:rsidRPr="00282938">
        <w:rPr>
          <w:rFonts w:eastAsia="Arial Unicode MS" w:cs="Calibri"/>
          <w:color w:val="000000" w:themeColor="text1"/>
          <w:sz w:val="24"/>
          <w:szCs w:val="24"/>
        </w:rPr>
        <w:t>Programação, incorporar</w:t>
      </w:r>
      <w:r w:rsidRPr="00282938">
        <w:rPr>
          <w:rFonts w:eastAsia="Arial Unicode MS" w:cs="Calibri"/>
          <w:color w:val="000000" w:themeColor="text1"/>
          <w:sz w:val="24"/>
          <w:szCs w:val="24"/>
        </w:rPr>
        <w:t>,</w:t>
      </w:r>
      <w:r w:rsidR="00DF4AB2" w:rsidRPr="00282938">
        <w:rPr>
          <w:rFonts w:eastAsia="Arial Unicode MS" w:cs="Calibri"/>
          <w:color w:val="000000" w:themeColor="text1"/>
          <w:sz w:val="24"/>
          <w:szCs w:val="24"/>
        </w:rPr>
        <w:t xml:space="preserve"> na </w:t>
      </w:r>
      <w:r w:rsidR="00DF4AB2" w:rsidRPr="00282938">
        <w:rPr>
          <w:rFonts w:eastAsia="Arial Unicode MS" w:cs="Calibri"/>
          <w:b/>
          <w:color w:val="000000" w:themeColor="text1"/>
          <w:sz w:val="24"/>
          <w:szCs w:val="24"/>
        </w:rPr>
        <w:t>fonte de recursos “</w:t>
      </w:r>
      <w:r w:rsidR="00652E2A" w:rsidRPr="00282938">
        <w:rPr>
          <w:rFonts w:eastAsia="Arial Unicode MS" w:cs="Calibri"/>
          <w:b/>
          <w:color w:val="000000" w:themeColor="text1"/>
          <w:sz w:val="24"/>
          <w:szCs w:val="24"/>
        </w:rPr>
        <w:t>O</w:t>
      </w:r>
      <w:r w:rsidR="00DF4AB2" w:rsidRPr="00282938">
        <w:rPr>
          <w:rFonts w:eastAsia="Arial Unicode MS" w:cs="Calibri"/>
          <w:b/>
          <w:color w:val="000000" w:themeColor="text1"/>
          <w:sz w:val="24"/>
          <w:szCs w:val="24"/>
        </w:rPr>
        <w:t xml:space="preserve">utras </w:t>
      </w:r>
      <w:r w:rsidR="00652E2A" w:rsidRPr="00282938">
        <w:rPr>
          <w:rFonts w:eastAsia="Arial Unicode MS" w:cs="Calibri"/>
          <w:b/>
          <w:color w:val="000000" w:themeColor="text1"/>
          <w:sz w:val="24"/>
          <w:szCs w:val="24"/>
        </w:rPr>
        <w:t>R</w:t>
      </w:r>
      <w:r w:rsidR="00DF4AB2" w:rsidRPr="00282938">
        <w:rPr>
          <w:rFonts w:eastAsia="Arial Unicode MS" w:cs="Calibri"/>
          <w:b/>
          <w:color w:val="000000" w:themeColor="text1"/>
          <w:sz w:val="24"/>
          <w:szCs w:val="24"/>
        </w:rPr>
        <w:t>eceitas</w:t>
      </w:r>
      <w:r w:rsidR="00652E2A" w:rsidRPr="00282938">
        <w:rPr>
          <w:rFonts w:eastAsia="Arial Unicode MS" w:cs="Calibri"/>
          <w:b/>
          <w:color w:val="000000" w:themeColor="text1"/>
          <w:sz w:val="24"/>
          <w:szCs w:val="24"/>
        </w:rPr>
        <w:t xml:space="preserve"> Correntes</w:t>
      </w:r>
      <w:r w:rsidR="00DF4AB2" w:rsidRPr="00282938">
        <w:rPr>
          <w:rFonts w:eastAsia="Arial Unicode MS" w:cs="Calibri"/>
          <w:b/>
          <w:color w:val="000000" w:themeColor="text1"/>
          <w:sz w:val="24"/>
          <w:szCs w:val="24"/>
        </w:rPr>
        <w:t>”</w:t>
      </w:r>
      <w:r w:rsidR="0030787B" w:rsidRPr="00282938">
        <w:rPr>
          <w:rFonts w:eastAsia="Arial Unicode MS" w:cs="Calibri"/>
          <w:b/>
          <w:color w:val="000000" w:themeColor="text1"/>
          <w:sz w:val="24"/>
          <w:szCs w:val="24"/>
        </w:rPr>
        <w:t>, no modelo do Plano de Ação na “aba” Fontes e Aplicações</w:t>
      </w:r>
      <w:r w:rsidR="00DF4AB2" w:rsidRPr="00282938">
        <w:rPr>
          <w:rFonts w:eastAsia="Arial Unicode MS" w:cs="Calibri"/>
          <w:color w:val="000000" w:themeColor="text1"/>
          <w:sz w:val="24"/>
          <w:szCs w:val="24"/>
        </w:rPr>
        <w:t>, especificando o respectivo valor e sua natureza, conforme detalhado</w:t>
      </w:r>
      <w:r w:rsidRPr="00282938">
        <w:rPr>
          <w:rFonts w:eastAsia="Arial Unicode MS" w:cs="Calibri"/>
          <w:color w:val="000000" w:themeColor="text1"/>
          <w:sz w:val="24"/>
          <w:szCs w:val="24"/>
        </w:rPr>
        <w:t xml:space="preserve"> </w:t>
      </w:r>
      <w:r w:rsidR="00DF4AB2" w:rsidRPr="00282938">
        <w:rPr>
          <w:rFonts w:eastAsia="Arial Unicode MS" w:cs="Calibri"/>
          <w:color w:val="000000" w:themeColor="text1"/>
          <w:sz w:val="24"/>
          <w:szCs w:val="24"/>
        </w:rPr>
        <w:t>por CAU/UF</w:t>
      </w:r>
      <w:r w:rsidRPr="00282938">
        <w:rPr>
          <w:rFonts w:eastAsia="Arial Unicode MS" w:cs="Calibri"/>
          <w:color w:val="000000" w:themeColor="text1"/>
          <w:sz w:val="24"/>
          <w:szCs w:val="24"/>
        </w:rPr>
        <w:t xml:space="preserve"> </w:t>
      </w:r>
      <w:r w:rsidR="00DF4AB2" w:rsidRPr="00282938">
        <w:rPr>
          <w:rFonts w:eastAsia="Arial Unicode MS" w:cs="Calibri"/>
          <w:color w:val="000000" w:themeColor="text1"/>
          <w:sz w:val="24"/>
          <w:szCs w:val="24"/>
        </w:rPr>
        <w:t xml:space="preserve">no Anexo </w:t>
      </w:r>
      <w:r w:rsidR="00DC7ADD" w:rsidRPr="00282938">
        <w:rPr>
          <w:rFonts w:eastAsia="Arial Unicode MS" w:cs="Calibri"/>
          <w:color w:val="000000" w:themeColor="text1"/>
          <w:sz w:val="24"/>
          <w:szCs w:val="24"/>
        </w:rPr>
        <w:t>V</w:t>
      </w:r>
      <w:r w:rsidR="00DF4AB2" w:rsidRPr="00282938">
        <w:rPr>
          <w:rFonts w:eastAsia="Arial Unicode MS" w:cs="Calibri"/>
          <w:color w:val="000000" w:themeColor="text1"/>
          <w:sz w:val="24"/>
          <w:szCs w:val="24"/>
        </w:rPr>
        <w:t>III.</w:t>
      </w:r>
    </w:p>
    <w:p w14:paraId="7C06B834" w14:textId="77777777" w:rsidR="004E1713" w:rsidRPr="00126546" w:rsidRDefault="004E1713" w:rsidP="00DF4AB2">
      <w:pPr>
        <w:spacing w:line="360" w:lineRule="auto"/>
        <w:ind w:firstLine="708"/>
        <w:jc w:val="both"/>
        <w:rPr>
          <w:rFonts w:eastAsia="Arial Unicode MS" w:cs="Calibri"/>
          <w:color w:val="000000" w:themeColor="text1"/>
          <w:sz w:val="24"/>
          <w:szCs w:val="24"/>
          <w:highlight w:val="lightGray"/>
        </w:rPr>
      </w:pPr>
    </w:p>
    <w:p w14:paraId="7DC85258" w14:textId="2FB39C1C" w:rsidR="00DF4AB2" w:rsidRPr="00B071D8" w:rsidRDefault="00DF4AB2" w:rsidP="00DF4AB2">
      <w:pPr>
        <w:pStyle w:val="Ttulo2"/>
        <w:ind w:left="851" w:firstLine="0"/>
        <w:rPr>
          <w:rFonts w:eastAsia="Arial Unicode MS"/>
          <w:color w:val="612141"/>
        </w:rPr>
      </w:pPr>
      <w:bookmarkStart w:id="45" w:name="_Toc147404337"/>
      <w:r w:rsidRPr="00B071D8">
        <w:rPr>
          <w:rFonts w:eastAsia="Arial Unicode MS"/>
          <w:color w:val="612141"/>
        </w:rPr>
        <w:t>Reserva de Contingência</w:t>
      </w:r>
      <w:bookmarkEnd w:id="43"/>
      <w:bookmarkEnd w:id="44"/>
      <w:bookmarkEnd w:id="45"/>
    </w:p>
    <w:p w14:paraId="50E28D38" w14:textId="77777777" w:rsidR="00A46273" w:rsidRPr="00B071D8" w:rsidRDefault="00DF4AB2" w:rsidP="00CC7822">
      <w:pPr>
        <w:spacing w:line="360" w:lineRule="auto"/>
        <w:ind w:firstLine="851"/>
        <w:jc w:val="both"/>
        <w:rPr>
          <w:rFonts w:eastAsia="Arial Unicode MS" w:cs="Calibri"/>
          <w:sz w:val="24"/>
          <w:szCs w:val="24"/>
        </w:rPr>
      </w:pPr>
      <w:r w:rsidRPr="00B071D8">
        <w:rPr>
          <w:rFonts w:eastAsia="Arial Unicode MS" w:cs="Calibri"/>
          <w:sz w:val="24"/>
          <w:szCs w:val="24"/>
        </w:rPr>
        <w:t>O CAU/BR e os CAU/UF poderão criar uma atividade, em seus Planos de Ação, destinada a constituir “Reserva de Contingência” objetivando suportar eventuais ações de natureza estratégica e operacional</w:t>
      </w:r>
      <w:r w:rsidR="00A46273" w:rsidRPr="00B071D8">
        <w:rPr>
          <w:rFonts w:eastAsia="Arial Unicode MS" w:cs="Calibri"/>
          <w:sz w:val="24"/>
          <w:szCs w:val="24"/>
        </w:rPr>
        <w:t xml:space="preserve"> </w:t>
      </w:r>
      <w:r w:rsidRPr="00B071D8">
        <w:rPr>
          <w:rFonts w:eastAsia="Arial Unicode MS" w:cs="Calibri"/>
          <w:sz w:val="24"/>
          <w:szCs w:val="24"/>
        </w:rPr>
        <w:t xml:space="preserve">não contempladas no Plano de Ação aprovado. </w:t>
      </w:r>
    </w:p>
    <w:p w14:paraId="7DC85259" w14:textId="33EB48A5" w:rsidR="00CC7822" w:rsidRPr="00B071D8" w:rsidRDefault="00CC7822" w:rsidP="00CC7822">
      <w:pPr>
        <w:spacing w:line="360" w:lineRule="auto"/>
        <w:ind w:firstLine="851"/>
        <w:jc w:val="both"/>
        <w:rPr>
          <w:rFonts w:eastAsia="Arial Unicode MS" w:cs="Calibri"/>
          <w:sz w:val="24"/>
          <w:szCs w:val="24"/>
        </w:rPr>
      </w:pPr>
      <w:r w:rsidRPr="00B071D8">
        <w:rPr>
          <w:rFonts w:eastAsia="Arial Unicode MS" w:cs="Calibri"/>
          <w:sz w:val="24"/>
          <w:szCs w:val="24"/>
        </w:rPr>
        <w:t>Para essa finalidade</w:t>
      </w:r>
      <w:r w:rsidR="004E0BC1" w:rsidRPr="00B071D8">
        <w:rPr>
          <w:rFonts w:eastAsia="Arial Unicode MS" w:cs="Calibri"/>
          <w:sz w:val="24"/>
          <w:szCs w:val="24"/>
        </w:rPr>
        <w:t xml:space="preserve"> poderão</w:t>
      </w:r>
      <w:r w:rsidRPr="00B071D8">
        <w:rPr>
          <w:rFonts w:eastAsia="Arial Unicode MS" w:cs="Calibri"/>
          <w:sz w:val="24"/>
          <w:szCs w:val="24"/>
        </w:rPr>
        <w:t xml:space="preserve"> ser direcionados </w:t>
      </w:r>
      <w:r w:rsidR="0017640C">
        <w:rPr>
          <w:rFonts w:eastAsia="Arial Unicode MS" w:cs="Calibri"/>
          <w:b/>
          <w:sz w:val="24"/>
          <w:szCs w:val="24"/>
        </w:rPr>
        <w:t>no máximo</w:t>
      </w:r>
      <w:r w:rsidRPr="00B071D8">
        <w:rPr>
          <w:rFonts w:eastAsia="Arial Unicode MS" w:cs="Calibri"/>
          <w:b/>
          <w:sz w:val="24"/>
          <w:szCs w:val="24"/>
        </w:rPr>
        <w:t xml:space="preserve"> 2</w:t>
      </w:r>
      <w:r w:rsidR="00855F9D">
        <w:rPr>
          <w:rFonts w:eastAsia="Arial Unicode MS" w:cs="Calibri"/>
          <w:b/>
          <w:sz w:val="24"/>
          <w:szCs w:val="24"/>
        </w:rPr>
        <w:t>,0</w:t>
      </w:r>
      <w:r w:rsidRPr="00B071D8">
        <w:rPr>
          <w:rFonts w:eastAsia="Arial Unicode MS" w:cs="Calibri"/>
          <w:b/>
          <w:sz w:val="24"/>
          <w:szCs w:val="24"/>
        </w:rPr>
        <w:t>%</w:t>
      </w:r>
      <w:r w:rsidR="00855F9D">
        <w:rPr>
          <w:rFonts w:eastAsia="Arial Unicode MS" w:cs="Calibri"/>
          <w:b/>
          <w:sz w:val="24"/>
          <w:szCs w:val="24"/>
        </w:rPr>
        <w:t xml:space="preserve"> </w:t>
      </w:r>
      <w:r w:rsidR="00855F9D" w:rsidRPr="00855F9D">
        <w:rPr>
          <w:rFonts w:eastAsia="Arial Unicode MS" w:cs="Calibri"/>
          <w:sz w:val="24"/>
          <w:szCs w:val="24"/>
        </w:rPr>
        <w:t>(dois por cento)</w:t>
      </w:r>
      <w:r w:rsidRPr="00B071D8">
        <w:rPr>
          <w:rFonts w:eastAsia="Arial Unicode MS" w:cs="Calibri"/>
          <w:sz w:val="24"/>
          <w:szCs w:val="24"/>
        </w:rPr>
        <w:t xml:space="preserve"> dos recursos oriundos das receitas de arrecadação</w:t>
      </w:r>
      <w:r w:rsidR="00B51248" w:rsidRPr="00B071D8">
        <w:rPr>
          <w:rFonts w:eastAsia="Arial Unicode MS" w:cs="Calibri"/>
          <w:sz w:val="24"/>
          <w:szCs w:val="24"/>
        </w:rPr>
        <w:t xml:space="preserve"> total</w:t>
      </w:r>
      <w:r w:rsidR="0030787B" w:rsidRPr="00B071D8">
        <w:rPr>
          <w:rFonts w:eastAsia="Arial Unicode MS" w:cs="Calibri"/>
          <w:sz w:val="24"/>
          <w:szCs w:val="24"/>
        </w:rPr>
        <w:t xml:space="preserve"> </w:t>
      </w:r>
      <w:r w:rsidRPr="00B071D8">
        <w:rPr>
          <w:rFonts w:eastAsia="Arial Unicode MS" w:cs="Calibri"/>
          <w:sz w:val="24"/>
          <w:szCs w:val="24"/>
        </w:rPr>
        <w:t>(anuidades</w:t>
      </w:r>
      <w:r w:rsidR="00A745D2" w:rsidRPr="00B071D8">
        <w:rPr>
          <w:rFonts w:eastAsia="Arial Unicode MS" w:cs="Calibri"/>
          <w:sz w:val="24"/>
          <w:szCs w:val="24"/>
        </w:rPr>
        <w:t xml:space="preserve"> </w:t>
      </w:r>
      <w:r w:rsidR="00A745D2" w:rsidRPr="00B071D8">
        <w:rPr>
          <w:rFonts w:eastAsia="Arial Unicode MS" w:cs="Calibri"/>
          <w:sz w:val="24"/>
          <w:szCs w:val="24"/>
          <w:shd w:val="clear" w:color="auto" w:fill="FFFFFF" w:themeFill="background1"/>
        </w:rPr>
        <w:t>do exercício e exercícios anteriores</w:t>
      </w:r>
      <w:r w:rsidRPr="00B071D8">
        <w:rPr>
          <w:rFonts w:eastAsia="Arial Unicode MS" w:cs="Calibri"/>
          <w:sz w:val="24"/>
          <w:szCs w:val="24"/>
        </w:rPr>
        <w:t>, RRT,</w:t>
      </w:r>
      <w:r w:rsidR="00A74968" w:rsidRPr="00B071D8">
        <w:rPr>
          <w:rFonts w:eastAsia="Arial Unicode MS" w:cs="Calibri"/>
          <w:sz w:val="24"/>
          <w:szCs w:val="24"/>
        </w:rPr>
        <w:t xml:space="preserve"> </w:t>
      </w:r>
      <w:r w:rsidRPr="00B071D8">
        <w:rPr>
          <w:rFonts w:eastAsia="Arial Unicode MS" w:cs="Calibri"/>
          <w:sz w:val="24"/>
          <w:szCs w:val="24"/>
        </w:rPr>
        <w:t xml:space="preserve">taxas e multas) </w:t>
      </w:r>
      <w:r w:rsidR="0030787B" w:rsidRPr="00B071D8">
        <w:rPr>
          <w:rFonts w:eastAsia="Arial Unicode MS" w:cs="Calibri"/>
          <w:sz w:val="24"/>
          <w:szCs w:val="24"/>
        </w:rPr>
        <w:t xml:space="preserve">e </w:t>
      </w:r>
      <w:r w:rsidRPr="00B071D8">
        <w:rPr>
          <w:rFonts w:eastAsia="Arial Unicode MS" w:cs="Calibri"/>
          <w:sz w:val="24"/>
          <w:szCs w:val="24"/>
        </w:rPr>
        <w:t>os recursos oriundos do Fundo de Apoio</w:t>
      </w:r>
      <w:r w:rsidR="0030787B" w:rsidRPr="00B071D8">
        <w:rPr>
          <w:rFonts w:eastAsia="Arial Unicode MS" w:cs="Calibri"/>
          <w:sz w:val="24"/>
          <w:szCs w:val="24"/>
        </w:rPr>
        <w:t>,</w:t>
      </w:r>
      <w:r w:rsidRPr="00B071D8">
        <w:rPr>
          <w:rFonts w:eastAsia="Arial Unicode MS" w:cs="Calibri"/>
          <w:sz w:val="24"/>
          <w:szCs w:val="24"/>
        </w:rPr>
        <w:t xml:space="preserve"> </w:t>
      </w:r>
      <w:r w:rsidR="0037629D" w:rsidRPr="00B071D8">
        <w:rPr>
          <w:rFonts w:eastAsia="Arial Unicode MS" w:cs="Calibri"/>
          <w:sz w:val="24"/>
          <w:szCs w:val="24"/>
          <w:shd w:val="clear" w:color="auto" w:fill="FFFFFF" w:themeFill="background1"/>
        </w:rPr>
        <w:t xml:space="preserve">no caso dos </w:t>
      </w:r>
      <w:r w:rsidRPr="00B071D8">
        <w:rPr>
          <w:rFonts w:eastAsia="Arial Unicode MS" w:cs="Calibri"/>
          <w:sz w:val="24"/>
          <w:szCs w:val="24"/>
        </w:rPr>
        <w:t>CAU Básicos, deduzidos os valores do aporte do Fundo de Apoio.</w:t>
      </w:r>
    </w:p>
    <w:p w14:paraId="12465D3D" w14:textId="77777777" w:rsidR="00A46273" w:rsidRPr="00126546" w:rsidRDefault="00A46273" w:rsidP="00CC7822">
      <w:pPr>
        <w:spacing w:line="360" w:lineRule="auto"/>
        <w:ind w:firstLine="851"/>
        <w:jc w:val="both"/>
        <w:rPr>
          <w:rFonts w:eastAsia="Arial Unicode MS" w:cs="Calibri"/>
          <w:sz w:val="24"/>
          <w:szCs w:val="24"/>
          <w:highlight w:val="lightGray"/>
        </w:rPr>
      </w:pPr>
    </w:p>
    <w:p w14:paraId="0FB75D91" w14:textId="6402E93E" w:rsidR="00226FEC" w:rsidRPr="00226FEC" w:rsidRDefault="00A46273" w:rsidP="00226FEC">
      <w:pPr>
        <w:pStyle w:val="Ttulo2"/>
        <w:ind w:left="851" w:firstLine="0"/>
        <w:rPr>
          <w:rFonts w:eastAsia="Arial Unicode MS"/>
          <w:color w:val="612141"/>
        </w:rPr>
      </w:pPr>
      <w:bookmarkStart w:id="46" w:name="_Toc487558912"/>
      <w:bookmarkStart w:id="47" w:name="_Toc487559013"/>
      <w:bookmarkStart w:id="48" w:name="_Toc147404338"/>
      <w:r w:rsidRPr="00B071D8">
        <w:rPr>
          <w:rFonts w:eastAsia="Arial Unicode MS"/>
          <w:color w:val="612141"/>
        </w:rPr>
        <w:t>Limite de Despesas com Pessoal</w:t>
      </w:r>
      <w:bookmarkEnd w:id="46"/>
      <w:bookmarkEnd w:id="47"/>
      <w:bookmarkEnd w:id="48"/>
    </w:p>
    <w:p w14:paraId="2E655CE6" w14:textId="388E0741" w:rsidR="009B1A8F" w:rsidRPr="00B071D8" w:rsidRDefault="00A46273" w:rsidP="00A46273">
      <w:pPr>
        <w:spacing w:line="360" w:lineRule="auto"/>
        <w:ind w:firstLine="851"/>
        <w:jc w:val="both"/>
        <w:rPr>
          <w:rFonts w:eastAsia="Arial Unicode MS" w:cs="Calibri"/>
          <w:sz w:val="24"/>
          <w:szCs w:val="24"/>
        </w:rPr>
      </w:pPr>
      <w:r w:rsidRPr="00B071D8">
        <w:rPr>
          <w:rFonts w:eastAsia="Arial Unicode MS" w:cs="Calibri"/>
          <w:sz w:val="24"/>
          <w:szCs w:val="24"/>
        </w:rPr>
        <w:t>No exercício de 202</w:t>
      </w:r>
      <w:r w:rsidR="00126546" w:rsidRPr="00B071D8">
        <w:rPr>
          <w:rFonts w:eastAsia="Arial Unicode MS" w:cs="Calibri"/>
          <w:sz w:val="24"/>
          <w:szCs w:val="24"/>
        </w:rPr>
        <w:t>4</w:t>
      </w:r>
      <w:r w:rsidRPr="00B071D8">
        <w:rPr>
          <w:rFonts w:eastAsia="Arial Unicode MS" w:cs="Calibri"/>
          <w:sz w:val="24"/>
          <w:szCs w:val="24"/>
        </w:rPr>
        <w:t xml:space="preserve">, as Despesas com Pessoal </w:t>
      </w:r>
      <w:r w:rsidR="009B1A8F" w:rsidRPr="00B071D8">
        <w:rPr>
          <w:rFonts w:eastAsia="Arial Unicode MS" w:cs="Calibri"/>
          <w:sz w:val="24"/>
          <w:szCs w:val="24"/>
        </w:rPr>
        <w:t xml:space="preserve">estão limitadas ao máximo de </w:t>
      </w:r>
      <w:r w:rsidR="009B1A8F" w:rsidRPr="00226FEC">
        <w:rPr>
          <w:rFonts w:eastAsia="Arial Unicode MS" w:cs="Calibri"/>
          <w:b/>
          <w:color w:val="000000" w:themeColor="text1"/>
          <w:sz w:val="24"/>
          <w:szCs w:val="24"/>
        </w:rPr>
        <w:t>60,0%</w:t>
      </w:r>
      <w:r w:rsidR="009B1A8F" w:rsidRPr="00B071D8">
        <w:rPr>
          <w:rFonts w:eastAsia="Arial Unicode MS" w:cs="Calibri"/>
          <w:sz w:val="24"/>
          <w:szCs w:val="24"/>
        </w:rPr>
        <w:t xml:space="preserve"> </w:t>
      </w:r>
      <w:r w:rsidR="00DF4AB2" w:rsidRPr="00B071D8">
        <w:rPr>
          <w:rFonts w:eastAsia="Arial Unicode MS" w:cs="Calibri"/>
          <w:sz w:val="24"/>
          <w:szCs w:val="24"/>
        </w:rPr>
        <w:t>(</w:t>
      </w:r>
      <w:r w:rsidR="00B00F19" w:rsidRPr="00B071D8">
        <w:rPr>
          <w:rFonts w:eastAsia="Arial Unicode MS" w:cs="Calibri"/>
          <w:sz w:val="24"/>
          <w:szCs w:val="24"/>
        </w:rPr>
        <w:t>sessenta</w:t>
      </w:r>
      <w:r w:rsidR="00DF4AB2" w:rsidRPr="00B071D8">
        <w:rPr>
          <w:rFonts w:eastAsia="Arial Unicode MS" w:cs="Calibri"/>
          <w:sz w:val="24"/>
          <w:szCs w:val="24"/>
        </w:rPr>
        <w:t xml:space="preserve"> por cento) do total das Receitas Correntes</w:t>
      </w:r>
      <w:r w:rsidR="009B1A8F" w:rsidRPr="00B071D8">
        <w:rPr>
          <w:rFonts w:eastAsia="Arial Unicode MS" w:cs="Calibri"/>
          <w:sz w:val="24"/>
          <w:szCs w:val="24"/>
        </w:rPr>
        <w:t xml:space="preserve"> (</w:t>
      </w:r>
      <w:r w:rsidR="00DF4AB2" w:rsidRPr="00B071D8">
        <w:rPr>
          <w:rFonts w:eastAsia="Arial Unicode MS" w:cs="Calibri"/>
          <w:sz w:val="24"/>
          <w:szCs w:val="24"/>
        </w:rPr>
        <w:t>Receitas de Arrecadação</w:t>
      </w:r>
      <w:r w:rsidR="009B1A8F" w:rsidRPr="00B071D8">
        <w:rPr>
          <w:rFonts w:eastAsia="Arial Unicode MS" w:cs="Calibri"/>
          <w:sz w:val="24"/>
          <w:szCs w:val="24"/>
        </w:rPr>
        <w:t xml:space="preserve"> + </w:t>
      </w:r>
      <w:r w:rsidR="00DF4AB2" w:rsidRPr="00B071D8">
        <w:rPr>
          <w:rFonts w:eastAsia="Arial Unicode MS" w:cs="Calibri"/>
          <w:sz w:val="24"/>
          <w:szCs w:val="24"/>
        </w:rPr>
        <w:t>Aplicações Financeiras</w:t>
      </w:r>
      <w:r w:rsidR="009B1A8F" w:rsidRPr="00B071D8">
        <w:rPr>
          <w:rFonts w:eastAsia="Arial Unicode MS" w:cs="Calibri"/>
          <w:sz w:val="24"/>
          <w:szCs w:val="24"/>
        </w:rPr>
        <w:t xml:space="preserve"> + O</w:t>
      </w:r>
      <w:r w:rsidR="00DF4AB2" w:rsidRPr="00B071D8">
        <w:rPr>
          <w:rFonts w:eastAsia="Arial Unicode MS" w:cs="Calibri"/>
          <w:sz w:val="24"/>
          <w:szCs w:val="24"/>
        </w:rPr>
        <w:t>utras Receitas Correntes</w:t>
      </w:r>
      <w:r w:rsidR="009B1A8F" w:rsidRPr="00B071D8">
        <w:rPr>
          <w:rFonts w:eastAsia="Arial Unicode MS" w:cs="Calibri"/>
          <w:sz w:val="24"/>
          <w:szCs w:val="24"/>
        </w:rPr>
        <w:t xml:space="preserve"> + </w:t>
      </w:r>
      <w:r w:rsidR="00652E2A" w:rsidRPr="00B071D8">
        <w:rPr>
          <w:rFonts w:eastAsia="Arial Unicode MS" w:cs="Calibri"/>
          <w:sz w:val="24"/>
          <w:szCs w:val="24"/>
        </w:rPr>
        <w:t>Fundo de Apoio, no caso dos CAU-Básicos</w:t>
      </w:r>
      <w:r w:rsidR="009B1A8F" w:rsidRPr="00B071D8">
        <w:rPr>
          <w:rFonts w:eastAsia="Arial Unicode MS" w:cs="Calibri"/>
          <w:sz w:val="24"/>
          <w:szCs w:val="24"/>
        </w:rPr>
        <w:t xml:space="preserve">). </w:t>
      </w:r>
      <w:r w:rsidR="009B1A8F" w:rsidRPr="00B071D8">
        <w:rPr>
          <w:rFonts w:eastAsia="Arial Unicode MS" w:cs="Calibri"/>
          <w:b/>
          <w:bCs/>
          <w:sz w:val="24"/>
          <w:szCs w:val="24"/>
        </w:rPr>
        <w:t xml:space="preserve">É vedada a </w:t>
      </w:r>
      <w:r w:rsidR="001A3098" w:rsidRPr="00B071D8">
        <w:rPr>
          <w:rFonts w:eastAsia="Arial Unicode MS" w:cs="Calibri"/>
          <w:b/>
          <w:bCs/>
          <w:sz w:val="24"/>
          <w:szCs w:val="24"/>
        </w:rPr>
        <w:t>realização de Despesas com Pessoal acima deste limite.</w:t>
      </w:r>
      <w:r w:rsidR="001A3098" w:rsidRPr="00B071D8">
        <w:rPr>
          <w:rFonts w:eastAsia="Arial Unicode MS" w:cs="Calibri"/>
          <w:sz w:val="24"/>
          <w:szCs w:val="24"/>
        </w:rPr>
        <w:t xml:space="preserve">  </w:t>
      </w:r>
    </w:p>
    <w:p w14:paraId="7DC8525D" w14:textId="45F75F59" w:rsidR="00DF4AB2" w:rsidRDefault="00204999" w:rsidP="00204999">
      <w:pPr>
        <w:spacing w:line="360" w:lineRule="auto"/>
        <w:ind w:firstLine="851"/>
        <w:jc w:val="both"/>
        <w:rPr>
          <w:rFonts w:eastAsia="Arial Unicode MS" w:cs="Calibri"/>
          <w:color w:val="000000" w:themeColor="text1"/>
          <w:sz w:val="24"/>
          <w:szCs w:val="24"/>
          <w:lang w:eastAsia="pt-BR"/>
        </w:rPr>
      </w:pPr>
      <w:r w:rsidRPr="00B071D8">
        <w:rPr>
          <w:rFonts w:eastAsia="Arial Unicode MS" w:cs="Calibri"/>
          <w:sz w:val="24"/>
          <w:szCs w:val="24"/>
        </w:rPr>
        <w:t xml:space="preserve">No limite acima especificado, </w:t>
      </w:r>
      <w:r w:rsidRPr="00B071D8">
        <w:rPr>
          <w:rFonts w:eastAsia="Arial Unicode MS" w:cs="Calibri"/>
          <w:b/>
          <w:bCs/>
          <w:sz w:val="24"/>
          <w:szCs w:val="24"/>
        </w:rPr>
        <w:t>não são consideradas as despesas decorrentes de</w:t>
      </w:r>
      <w:r w:rsidRPr="00B071D8">
        <w:rPr>
          <w:rFonts w:eastAsia="Arial Unicode MS" w:cs="Calibri"/>
          <w:sz w:val="24"/>
          <w:szCs w:val="24"/>
        </w:rPr>
        <w:t>: auxílio transporte, auxílio alimentação, plano de saúde e demais benefícios concedidos pelo CAU/UF e CAU/BR a seus colaboradores, bem como aqueles originados de rescisões trabalhistas, tendo em vista não serem de natureza remuneratória e sim de natureza indenizatória (</w:t>
      </w:r>
      <w:hyperlink r:id="rId15" w:history="1">
        <w:r w:rsidRPr="00B071D8">
          <w:rPr>
            <w:rStyle w:val="Hyperlink"/>
            <w:rFonts w:eastAsia="Arial Unicode MS" w:cs="Calibri"/>
            <w:sz w:val="24"/>
            <w:szCs w:val="24"/>
          </w:rPr>
          <w:t xml:space="preserve">art. 18, </w:t>
        </w:r>
        <w:r w:rsidR="00DF4AB2" w:rsidRPr="00B071D8">
          <w:rPr>
            <w:rStyle w:val="Hyperlink"/>
            <w:rFonts w:eastAsia="Arial Unicode MS" w:cs="Calibri"/>
            <w:sz w:val="24"/>
            <w:szCs w:val="24"/>
            <w:lang w:eastAsia="pt-BR"/>
          </w:rPr>
          <w:t>inciso I, parágrafo 1º do art. 19 da Lei Complementar 101/2000 – Lei de Responsabilidade Fiscal</w:t>
        </w:r>
      </w:hyperlink>
      <w:r w:rsidR="00DF4AB2" w:rsidRPr="00B071D8">
        <w:rPr>
          <w:rFonts w:eastAsia="Arial Unicode MS" w:cs="Calibri"/>
          <w:color w:val="000000" w:themeColor="text1"/>
          <w:sz w:val="24"/>
          <w:szCs w:val="24"/>
          <w:lang w:eastAsia="pt-BR"/>
        </w:rPr>
        <w:t>).</w:t>
      </w:r>
    </w:p>
    <w:p w14:paraId="3E11B56B" w14:textId="77777777" w:rsidR="00B071D8" w:rsidRPr="00B071D8" w:rsidRDefault="00B071D8" w:rsidP="00204999">
      <w:pPr>
        <w:spacing w:line="360" w:lineRule="auto"/>
        <w:ind w:firstLine="851"/>
        <w:jc w:val="both"/>
        <w:rPr>
          <w:rFonts w:eastAsia="Arial Unicode MS" w:cs="Calibri"/>
          <w:sz w:val="24"/>
          <w:szCs w:val="24"/>
        </w:rPr>
      </w:pPr>
    </w:p>
    <w:p w14:paraId="2EB40E53" w14:textId="6BCEE82D" w:rsidR="00F121A6" w:rsidRPr="00B34F78" w:rsidRDefault="00F121A6" w:rsidP="00F121A6">
      <w:pPr>
        <w:pStyle w:val="Ttulo2"/>
        <w:ind w:left="851" w:firstLine="0"/>
        <w:rPr>
          <w:rFonts w:eastAsia="Arial Unicode MS"/>
          <w:color w:val="612141"/>
        </w:rPr>
      </w:pPr>
      <w:bookmarkStart w:id="49" w:name="_Toc147404339"/>
      <w:r w:rsidRPr="00B34F78">
        <w:rPr>
          <w:rFonts w:eastAsia="Arial Unicode MS"/>
          <w:color w:val="612141"/>
        </w:rPr>
        <w:t>Projetos Específicos</w:t>
      </w:r>
      <w:r w:rsidR="0017640C">
        <w:rPr>
          <w:rFonts w:eastAsia="Arial Unicode MS"/>
          <w:color w:val="612141"/>
        </w:rPr>
        <w:t xml:space="preserve"> / Estratégicos</w:t>
      </w:r>
      <w:bookmarkEnd w:id="49"/>
    </w:p>
    <w:p w14:paraId="7DC8525E" w14:textId="221C1521" w:rsidR="00EF2A79" w:rsidRPr="00E31404" w:rsidRDefault="006D7D9B" w:rsidP="00F121A6">
      <w:pPr>
        <w:spacing w:line="360" w:lineRule="auto"/>
        <w:ind w:firstLine="709"/>
        <w:jc w:val="both"/>
        <w:rPr>
          <w:rFonts w:eastAsia="Arial Unicode MS" w:cs="Calibri"/>
          <w:strike/>
          <w:sz w:val="24"/>
          <w:szCs w:val="24"/>
        </w:rPr>
      </w:pPr>
      <w:r w:rsidRPr="00E31404">
        <w:rPr>
          <w:rFonts w:eastAsia="Arial Unicode MS" w:cs="Calibri"/>
          <w:sz w:val="24"/>
          <w:szCs w:val="24"/>
        </w:rPr>
        <w:t>O CAU/BR e os CAU/UF poderão propor Projetos Específicos</w:t>
      </w:r>
      <w:r w:rsidR="00E31404" w:rsidRPr="00E31404">
        <w:rPr>
          <w:rFonts w:eastAsia="Arial Unicode MS" w:cs="Calibri"/>
          <w:sz w:val="24"/>
          <w:szCs w:val="24"/>
        </w:rPr>
        <w:t xml:space="preserve"> / Estratégicos</w:t>
      </w:r>
      <w:r w:rsidRPr="00E31404">
        <w:rPr>
          <w:rFonts w:eastAsia="Arial Unicode MS" w:cs="Calibri"/>
          <w:sz w:val="24"/>
          <w:szCs w:val="24"/>
        </w:rPr>
        <w:t xml:space="preserve">, que poderão incorporar </w:t>
      </w:r>
      <w:r w:rsidR="00DF4AB2" w:rsidRPr="00E31404">
        <w:rPr>
          <w:rFonts w:eastAsia="Arial Unicode MS" w:cs="Calibri"/>
          <w:sz w:val="24"/>
          <w:szCs w:val="24"/>
        </w:rPr>
        <w:t xml:space="preserve">recursos oriundos de </w:t>
      </w:r>
      <w:r w:rsidR="00EF2A79" w:rsidRPr="00E31404">
        <w:rPr>
          <w:rFonts w:eastAsia="Arial Unicode MS" w:cs="Calibri"/>
          <w:b/>
          <w:bCs/>
          <w:sz w:val="24"/>
          <w:szCs w:val="24"/>
        </w:rPr>
        <w:t>Sa</w:t>
      </w:r>
      <w:r w:rsidR="00DF4AB2" w:rsidRPr="00E31404">
        <w:rPr>
          <w:rFonts w:eastAsia="Arial Unicode MS" w:cs="Calibri"/>
          <w:b/>
          <w:bCs/>
          <w:sz w:val="24"/>
          <w:szCs w:val="24"/>
        </w:rPr>
        <w:t xml:space="preserve">ldos de </w:t>
      </w:r>
      <w:r w:rsidR="00EF2A79" w:rsidRPr="00E31404">
        <w:rPr>
          <w:rFonts w:eastAsia="Arial Unicode MS" w:cs="Calibri"/>
          <w:b/>
          <w:bCs/>
          <w:sz w:val="24"/>
          <w:szCs w:val="24"/>
        </w:rPr>
        <w:t>E</w:t>
      </w:r>
      <w:r w:rsidR="00DF4AB2" w:rsidRPr="00E31404">
        <w:rPr>
          <w:rFonts w:eastAsia="Arial Unicode MS" w:cs="Calibri"/>
          <w:b/>
          <w:bCs/>
          <w:sz w:val="24"/>
          <w:szCs w:val="24"/>
        </w:rPr>
        <w:t xml:space="preserve">xercícios </w:t>
      </w:r>
      <w:r w:rsidR="00EF2A79" w:rsidRPr="00E31404">
        <w:rPr>
          <w:rFonts w:eastAsia="Arial Unicode MS" w:cs="Calibri"/>
          <w:b/>
          <w:bCs/>
          <w:sz w:val="24"/>
          <w:szCs w:val="24"/>
        </w:rPr>
        <w:t>A</w:t>
      </w:r>
      <w:r w:rsidR="00DF4AB2" w:rsidRPr="00E31404">
        <w:rPr>
          <w:rFonts w:eastAsia="Arial Unicode MS" w:cs="Calibri"/>
          <w:b/>
          <w:bCs/>
          <w:sz w:val="24"/>
          <w:szCs w:val="24"/>
        </w:rPr>
        <w:t>nteriores</w:t>
      </w:r>
      <w:r w:rsidR="00DF4AB2" w:rsidRPr="00E31404">
        <w:rPr>
          <w:rFonts w:eastAsia="Arial Unicode MS" w:cs="Calibri"/>
          <w:sz w:val="24"/>
          <w:szCs w:val="24"/>
        </w:rPr>
        <w:t xml:space="preserve">, </w:t>
      </w:r>
      <w:r w:rsidRPr="00E31404">
        <w:rPr>
          <w:rFonts w:eastAsia="Arial Unicode MS" w:cs="Calibri"/>
          <w:sz w:val="24"/>
          <w:szCs w:val="24"/>
        </w:rPr>
        <w:t xml:space="preserve">nos termos da </w:t>
      </w:r>
      <w:r w:rsidR="00F90CAE" w:rsidRPr="00E31404">
        <w:rPr>
          <w:rFonts w:eastAsia="Arial Unicode MS" w:cs="Calibri"/>
          <w:color w:val="000000" w:themeColor="text1"/>
          <w:sz w:val="24"/>
          <w:szCs w:val="24"/>
        </w:rPr>
        <w:t>Resolução</w:t>
      </w:r>
      <w:r w:rsidR="00F90CAE" w:rsidRPr="00E31404">
        <w:rPr>
          <w:rFonts w:eastAsia="Arial Unicode MS" w:cs="Calibri"/>
          <w:color w:val="00B0F0"/>
          <w:sz w:val="24"/>
          <w:szCs w:val="24"/>
        </w:rPr>
        <w:t xml:space="preserve"> </w:t>
      </w:r>
      <w:hyperlink r:id="rId16" w:history="1">
        <w:r w:rsidR="00F90CAE" w:rsidRPr="00E31404">
          <w:rPr>
            <w:rStyle w:val="Hyperlink"/>
            <w:rFonts w:eastAsia="Arial Unicode MS" w:cs="Calibri"/>
            <w:sz w:val="24"/>
            <w:szCs w:val="24"/>
          </w:rPr>
          <w:t>nº 200/2020</w:t>
        </w:r>
      </w:hyperlink>
      <w:r w:rsidR="00140627" w:rsidRPr="00E31404">
        <w:rPr>
          <w:rStyle w:val="Hyperlink"/>
          <w:rFonts w:eastAsia="Arial Unicode MS" w:cs="Calibri"/>
          <w:color w:val="auto"/>
          <w:sz w:val="24"/>
          <w:szCs w:val="24"/>
          <w:u w:val="none"/>
        </w:rPr>
        <w:t>, artigo 9º:</w:t>
      </w:r>
    </w:p>
    <w:p w14:paraId="01327C07" w14:textId="77777777" w:rsidR="001810AD" w:rsidRPr="00E31404" w:rsidRDefault="00140627" w:rsidP="001810AD">
      <w:pPr>
        <w:ind w:left="2127"/>
        <w:jc w:val="both"/>
        <w:rPr>
          <w:rFonts w:eastAsia="Arial Unicode MS" w:cs="Calibri"/>
          <w:i/>
          <w:iCs/>
          <w:sz w:val="24"/>
          <w:szCs w:val="24"/>
          <w:lang w:eastAsia="pt-BR"/>
        </w:rPr>
      </w:pPr>
      <w:r w:rsidRPr="00E31404">
        <w:rPr>
          <w:rFonts w:eastAsia="Arial Unicode MS" w:cs="Calibri"/>
          <w:i/>
          <w:iCs/>
          <w:sz w:val="24"/>
          <w:szCs w:val="24"/>
          <w:lang w:eastAsia="pt-BR"/>
        </w:rPr>
        <w:t xml:space="preserve">“Art. 9º Fica autorizada a utilização de superávit financeiro acumulado até o exercício imediatamente anterior, apurado no balanço patrimonial, </w:t>
      </w:r>
      <w:r w:rsidRPr="00E31404">
        <w:rPr>
          <w:rFonts w:eastAsia="Arial Unicode MS" w:cs="Calibri"/>
          <w:b/>
          <w:bCs/>
          <w:i/>
          <w:iCs/>
          <w:sz w:val="24"/>
          <w:szCs w:val="24"/>
          <w:lang w:eastAsia="pt-BR"/>
        </w:rPr>
        <w:t>em despesas de capital e em projetos específicos</w:t>
      </w:r>
      <w:r w:rsidRPr="00E31404">
        <w:rPr>
          <w:rFonts w:eastAsia="Arial Unicode MS" w:cs="Calibri"/>
          <w:i/>
          <w:iCs/>
          <w:sz w:val="24"/>
          <w:szCs w:val="24"/>
          <w:lang w:eastAsia="pt-BR"/>
        </w:rPr>
        <w:t xml:space="preserve">, com seus respectivos planos de trabalho, de </w:t>
      </w:r>
      <w:r w:rsidRPr="00E31404">
        <w:rPr>
          <w:rFonts w:eastAsia="Arial Unicode MS" w:cs="Calibri"/>
          <w:b/>
          <w:bCs/>
          <w:i/>
          <w:iCs/>
          <w:sz w:val="24"/>
          <w:szCs w:val="24"/>
          <w:lang w:eastAsia="pt-BR"/>
        </w:rPr>
        <w:t>caráter não continuado</w:t>
      </w:r>
      <w:r w:rsidRPr="00E31404">
        <w:rPr>
          <w:rFonts w:eastAsia="Arial Unicode MS" w:cs="Calibri"/>
          <w:i/>
          <w:iCs/>
          <w:sz w:val="24"/>
          <w:szCs w:val="24"/>
          <w:lang w:eastAsia="pt-BR"/>
        </w:rPr>
        <w:t xml:space="preserve">, </w:t>
      </w:r>
      <w:r w:rsidRPr="00E31404">
        <w:rPr>
          <w:rFonts w:eastAsia="Arial Unicode MS" w:cs="Calibri"/>
          <w:b/>
          <w:bCs/>
          <w:i/>
          <w:iCs/>
          <w:sz w:val="24"/>
          <w:szCs w:val="24"/>
          <w:lang w:eastAsia="pt-BR"/>
        </w:rPr>
        <w:t>não configurado como atividade</w:t>
      </w:r>
      <w:r w:rsidRPr="00E31404">
        <w:rPr>
          <w:rFonts w:eastAsia="Arial Unicode MS" w:cs="Calibri"/>
          <w:i/>
          <w:iCs/>
          <w:sz w:val="24"/>
          <w:szCs w:val="24"/>
          <w:lang w:eastAsia="pt-BR"/>
        </w:rPr>
        <w:t>, em ações cuja realização seja suportada por despesas de natureza corrente.</w:t>
      </w:r>
    </w:p>
    <w:p w14:paraId="557CD65E" w14:textId="77777777" w:rsidR="001810AD" w:rsidRPr="00E31404" w:rsidRDefault="00140627" w:rsidP="001810AD">
      <w:pPr>
        <w:ind w:left="2127"/>
        <w:jc w:val="both"/>
        <w:rPr>
          <w:rFonts w:eastAsia="Arial Unicode MS" w:cs="Calibri"/>
          <w:i/>
          <w:iCs/>
          <w:sz w:val="24"/>
          <w:szCs w:val="24"/>
          <w:lang w:eastAsia="pt-BR"/>
        </w:rPr>
      </w:pPr>
      <w:r w:rsidRPr="00E31404">
        <w:rPr>
          <w:rFonts w:eastAsia="Arial Unicode MS" w:cs="Calibri"/>
          <w:i/>
          <w:iCs/>
          <w:sz w:val="24"/>
          <w:szCs w:val="24"/>
          <w:lang w:eastAsia="pt-BR"/>
        </w:rPr>
        <w:t xml:space="preserve">§ 1º Não obstante o disposto no § 2º do art. 43 da Lei nº 4.320, de 17 de março de 1964, considere superávit financeiro como a diferença positiva entre o ativo financeiro e o passivo financeiro, pelos princípios contábeis da prudência ou conservadorismo, </w:t>
      </w:r>
      <w:r w:rsidRPr="00E31404">
        <w:rPr>
          <w:rFonts w:eastAsia="Arial Unicode MS" w:cs="Calibri"/>
          <w:b/>
          <w:bCs/>
          <w:i/>
          <w:iCs/>
          <w:sz w:val="24"/>
          <w:szCs w:val="24"/>
          <w:lang w:eastAsia="pt-BR"/>
        </w:rPr>
        <w:t>o CAU considera apenas a parte do ativo financeiro relativa à disponibilidade financeira (liquidez imediata) para fins de cálculo daquele superávit</w:t>
      </w:r>
      <w:r w:rsidRPr="00E31404">
        <w:rPr>
          <w:rFonts w:eastAsia="Arial Unicode MS" w:cs="Calibri"/>
          <w:i/>
          <w:iCs/>
          <w:sz w:val="24"/>
          <w:szCs w:val="24"/>
          <w:lang w:eastAsia="pt-BR"/>
        </w:rPr>
        <w:t>.</w:t>
      </w:r>
    </w:p>
    <w:p w14:paraId="5B614B77" w14:textId="77777777" w:rsidR="001810AD" w:rsidRPr="00E31404" w:rsidRDefault="00140627" w:rsidP="001810AD">
      <w:pPr>
        <w:ind w:left="2127"/>
        <w:jc w:val="both"/>
        <w:rPr>
          <w:rFonts w:eastAsia="Arial Unicode MS" w:cs="Calibri"/>
          <w:i/>
          <w:iCs/>
          <w:sz w:val="24"/>
          <w:szCs w:val="24"/>
          <w:lang w:eastAsia="pt-BR"/>
        </w:rPr>
      </w:pPr>
      <w:r w:rsidRPr="00E31404">
        <w:rPr>
          <w:rFonts w:eastAsia="Arial Unicode MS" w:cs="Calibri"/>
          <w:i/>
          <w:iCs/>
          <w:sz w:val="24"/>
          <w:szCs w:val="24"/>
          <w:lang w:eastAsia="pt-BR"/>
        </w:rPr>
        <w:t xml:space="preserve">§ 2º A utilização de recursos do superávit financeiro deverá ser </w:t>
      </w:r>
      <w:r w:rsidRPr="00E31404">
        <w:rPr>
          <w:rFonts w:eastAsia="Arial Unicode MS" w:cs="Calibri"/>
          <w:b/>
          <w:bCs/>
          <w:i/>
          <w:iCs/>
          <w:sz w:val="24"/>
          <w:szCs w:val="24"/>
          <w:lang w:eastAsia="pt-BR"/>
        </w:rPr>
        <w:t>previamente aprovada pelas comissões de planejamento e finanças ou equivalentes e pelos plenários dos respectivos CAU/UF</w:t>
      </w:r>
      <w:r w:rsidRPr="00E31404">
        <w:rPr>
          <w:rFonts w:eastAsia="Arial Unicode MS" w:cs="Calibri"/>
          <w:i/>
          <w:iCs/>
          <w:sz w:val="24"/>
          <w:szCs w:val="24"/>
          <w:lang w:eastAsia="pt-BR"/>
        </w:rPr>
        <w:t>, sendo que na utilização em projetos específicos deverão ser observados critérios e percentuais de uso destes recursos, de responsabilidade de cada CAU/UF.</w:t>
      </w:r>
    </w:p>
    <w:p w14:paraId="715DA4E9" w14:textId="45AD3C7F" w:rsidR="00140627" w:rsidRPr="00B34F78" w:rsidRDefault="00140627" w:rsidP="001810AD">
      <w:pPr>
        <w:ind w:left="2127"/>
        <w:jc w:val="both"/>
        <w:rPr>
          <w:rFonts w:eastAsia="Arial Unicode MS" w:cs="Calibri"/>
          <w:i/>
          <w:iCs/>
          <w:sz w:val="24"/>
          <w:szCs w:val="24"/>
          <w:lang w:eastAsia="pt-BR"/>
        </w:rPr>
      </w:pPr>
      <w:r w:rsidRPr="00E31404">
        <w:rPr>
          <w:rFonts w:eastAsia="Arial Unicode MS" w:cs="Calibri"/>
          <w:i/>
          <w:iCs/>
          <w:sz w:val="24"/>
          <w:szCs w:val="24"/>
          <w:lang w:eastAsia="pt-BR"/>
        </w:rPr>
        <w:t xml:space="preserve">§ 3º </w:t>
      </w:r>
      <w:r w:rsidRPr="00E31404">
        <w:rPr>
          <w:rFonts w:eastAsia="Arial Unicode MS" w:cs="Calibri"/>
          <w:b/>
          <w:bCs/>
          <w:i/>
          <w:iCs/>
          <w:sz w:val="24"/>
          <w:szCs w:val="24"/>
          <w:lang w:eastAsia="pt-BR"/>
        </w:rPr>
        <w:t xml:space="preserve">É </w:t>
      </w:r>
      <w:r w:rsidR="00B81BE7" w:rsidRPr="00E31404">
        <w:rPr>
          <w:rFonts w:eastAsia="Arial Unicode MS" w:cs="Calibri"/>
          <w:b/>
          <w:bCs/>
          <w:i/>
          <w:iCs/>
          <w:sz w:val="24"/>
          <w:szCs w:val="24"/>
          <w:lang w:eastAsia="pt-BR"/>
        </w:rPr>
        <w:t>VEDADA</w:t>
      </w:r>
      <w:r w:rsidRPr="00E31404">
        <w:rPr>
          <w:rFonts w:eastAsia="Arial Unicode MS" w:cs="Calibri"/>
          <w:b/>
          <w:bCs/>
          <w:i/>
          <w:iCs/>
          <w:sz w:val="24"/>
          <w:szCs w:val="24"/>
          <w:lang w:eastAsia="pt-BR"/>
        </w:rPr>
        <w:t xml:space="preserve"> a utilização dos recursos do superávit financeiro para remuneração de pessoal efetivo e de ocupantes de empregos de livre provimento e demissão, bem como os encargos sociais inerentes</w:t>
      </w:r>
      <w:r w:rsidRPr="00E31404">
        <w:rPr>
          <w:rFonts w:eastAsia="Arial Unicode MS" w:cs="Calibri"/>
          <w:i/>
          <w:iCs/>
          <w:sz w:val="24"/>
          <w:szCs w:val="24"/>
          <w:lang w:eastAsia="pt-BR"/>
        </w:rPr>
        <w:t>.”</w:t>
      </w:r>
    </w:p>
    <w:p w14:paraId="19CA4356" w14:textId="68AA0888" w:rsidR="00140627" w:rsidRPr="00126546" w:rsidRDefault="00140627" w:rsidP="00F121A6">
      <w:pPr>
        <w:pStyle w:val="PargrafodaLista"/>
        <w:spacing w:line="360" w:lineRule="auto"/>
        <w:ind w:left="1701" w:hanging="141"/>
        <w:jc w:val="both"/>
        <w:rPr>
          <w:rFonts w:eastAsia="Arial Unicode MS" w:cs="Calibri"/>
          <w:i/>
          <w:iCs/>
          <w:sz w:val="24"/>
          <w:szCs w:val="24"/>
          <w:highlight w:val="lightGray"/>
        </w:rPr>
      </w:pPr>
    </w:p>
    <w:p w14:paraId="5E163873" w14:textId="77777777" w:rsidR="001F3D85" w:rsidRPr="00126546" w:rsidRDefault="001F3D85" w:rsidP="00F121A6">
      <w:pPr>
        <w:pStyle w:val="PargrafodaLista"/>
        <w:spacing w:line="360" w:lineRule="auto"/>
        <w:ind w:left="1701" w:hanging="141"/>
        <w:jc w:val="both"/>
        <w:rPr>
          <w:rFonts w:eastAsia="Arial Unicode MS" w:cs="Calibri"/>
          <w:i/>
          <w:iCs/>
          <w:sz w:val="24"/>
          <w:szCs w:val="24"/>
          <w:highlight w:val="lightGray"/>
        </w:rPr>
      </w:pPr>
    </w:p>
    <w:p w14:paraId="0E01B291" w14:textId="77777777" w:rsidR="00B81BE7" w:rsidRPr="00126546" w:rsidRDefault="00B81BE7">
      <w:pPr>
        <w:rPr>
          <w:rFonts w:eastAsia="Arial Unicode MS" w:cs="Calibri"/>
          <w:b/>
          <w:color w:val="612141"/>
          <w:sz w:val="32"/>
          <w:highlight w:val="lightGray"/>
          <w:lang w:eastAsia="pt-BR"/>
        </w:rPr>
      </w:pPr>
      <w:bookmarkStart w:id="50" w:name="_Toc487558913"/>
      <w:bookmarkStart w:id="51" w:name="_Toc487559014"/>
      <w:r w:rsidRPr="00126546">
        <w:rPr>
          <w:rFonts w:eastAsia="Arial Unicode MS"/>
          <w:color w:val="612141"/>
          <w:highlight w:val="lightGray"/>
        </w:rPr>
        <w:br w:type="page"/>
      </w:r>
    </w:p>
    <w:p w14:paraId="7DC85265" w14:textId="27ACAB22" w:rsidR="00DF4AB2" w:rsidRPr="004E1713" w:rsidRDefault="00A207ED" w:rsidP="00DF4AB2">
      <w:pPr>
        <w:pStyle w:val="Ttulo1"/>
        <w:ind w:left="0" w:firstLine="0"/>
        <w:jc w:val="both"/>
        <w:rPr>
          <w:rFonts w:eastAsia="Arial Unicode MS"/>
          <w:color w:val="612141"/>
        </w:rPr>
      </w:pPr>
      <w:bookmarkStart w:id="52" w:name="_Toc147404340"/>
      <w:r w:rsidRPr="004E1713">
        <w:rPr>
          <w:rFonts w:eastAsia="Arial Unicode MS"/>
          <w:color w:val="612141"/>
        </w:rPr>
        <w:t xml:space="preserve">ESTIMATIVAS PARA </w:t>
      </w:r>
      <w:r w:rsidR="00DF4AB2" w:rsidRPr="004E1713">
        <w:rPr>
          <w:rFonts w:eastAsia="Arial Unicode MS"/>
          <w:color w:val="612141"/>
        </w:rPr>
        <w:t xml:space="preserve">ELABORAÇÃO DO PLANO DE AÇÃO E DO ORÇAMENTO </w:t>
      </w:r>
      <w:bookmarkEnd w:id="50"/>
      <w:bookmarkEnd w:id="51"/>
      <w:r w:rsidR="00DF4AB2" w:rsidRPr="004E1713">
        <w:rPr>
          <w:rFonts w:eastAsia="Arial Unicode MS"/>
          <w:color w:val="612141"/>
        </w:rPr>
        <w:t>202</w:t>
      </w:r>
      <w:r w:rsidR="004E1713" w:rsidRPr="004E1713">
        <w:rPr>
          <w:rFonts w:eastAsia="Arial Unicode MS"/>
          <w:color w:val="612141"/>
        </w:rPr>
        <w:t>4</w:t>
      </w:r>
      <w:bookmarkEnd w:id="52"/>
    </w:p>
    <w:p w14:paraId="7DC85267" w14:textId="1D587FC1" w:rsidR="00DF4AB2" w:rsidRPr="004E1713" w:rsidRDefault="00DF4AB2" w:rsidP="000C33F1">
      <w:pPr>
        <w:spacing w:line="360" w:lineRule="auto"/>
        <w:ind w:firstLine="851"/>
        <w:jc w:val="both"/>
        <w:rPr>
          <w:rFonts w:eastAsia="Arial Unicode MS" w:cs="Calibri"/>
          <w:sz w:val="24"/>
          <w:szCs w:val="24"/>
        </w:rPr>
      </w:pPr>
      <w:r w:rsidRPr="004E1713">
        <w:rPr>
          <w:rFonts w:eastAsia="Arial Unicode MS" w:cs="Calibri"/>
          <w:sz w:val="24"/>
          <w:szCs w:val="24"/>
        </w:rPr>
        <w:t>O processo de planejamento</w:t>
      </w:r>
      <w:r w:rsidR="003B1946" w:rsidRPr="004E1713">
        <w:rPr>
          <w:rFonts w:eastAsia="Arial Unicode MS" w:cs="Calibri"/>
          <w:sz w:val="24"/>
          <w:szCs w:val="24"/>
        </w:rPr>
        <w:t xml:space="preserve"> tem como</w:t>
      </w:r>
      <w:r w:rsidRPr="004E1713">
        <w:rPr>
          <w:rFonts w:eastAsia="Arial Unicode MS" w:cs="Calibri"/>
          <w:sz w:val="24"/>
          <w:szCs w:val="24"/>
        </w:rPr>
        <w:t xml:space="preserve"> objetivo</w:t>
      </w:r>
      <w:r w:rsidR="003B1946" w:rsidRPr="004E1713">
        <w:rPr>
          <w:rFonts w:eastAsia="Arial Unicode MS" w:cs="Calibri"/>
          <w:sz w:val="24"/>
          <w:szCs w:val="24"/>
        </w:rPr>
        <w:t xml:space="preserve"> </w:t>
      </w:r>
      <w:r w:rsidRPr="004E1713">
        <w:rPr>
          <w:rFonts w:eastAsia="Arial Unicode MS" w:cs="Calibri"/>
          <w:sz w:val="24"/>
          <w:szCs w:val="24"/>
        </w:rPr>
        <w:t xml:space="preserve">implementar a estratégia definida para a entidade, </w:t>
      </w:r>
      <w:r w:rsidR="003B1946" w:rsidRPr="004E1713">
        <w:rPr>
          <w:rFonts w:eastAsia="Arial Unicode MS" w:cs="Calibri"/>
          <w:sz w:val="24"/>
          <w:szCs w:val="24"/>
        </w:rPr>
        <w:t xml:space="preserve">manifesta na </w:t>
      </w:r>
      <w:r w:rsidRPr="004E1713">
        <w:rPr>
          <w:rFonts w:eastAsia="Arial Unicode MS" w:cs="Calibri"/>
          <w:sz w:val="24"/>
          <w:szCs w:val="24"/>
        </w:rPr>
        <w:t xml:space="preserve">Missão </w:t>
      </w:r>
      <w:r w:rsidR="003B1946" w:rsidRPr="004E1713">
        <w:rPr>
          <w:rFonts w:eastAsia="Arial Unicode MS" w:cs="Calibri"/>
          <w:sz w:val="24"/>
          <w:szCs w:val="24"/>
        </w:rPr>
        <w:t>I</w:t>
      </w:r>
      <w:r w:rsidRPr="004E1713">
        <w:rPr>
          <w:rFonts w:eastAsia="Arial Unicode MS" w:cs="Calibri"/>
          <w:sz w:val="24"/>
          <w:szCs w:val="24"/>
        </w:rPr>
        <w:t xml:space="preserve">nstitucional e </w:t>
      </w:r>
      <w:r w:rsidR="003B1946" w:rsidRPr="004E1713">
        <w:rPr>
          <w:rFonts w:eastAsia="Arial Unicode MS" w:cs="Calibri"/>
          <w:sz w:val="24"/>
          <w:szCs w:val="24"/>
        </w:rPr>
        <w:t xml:space="preserve">na </w:t>
      </w:r>
      <w:r w:rsidRPr="004E1713">
        <w:rPr>
          <w:rFonts w:eastAsia="Arial Unicode MS" w:cs="Calibri"/>
          <w:sz w:val="24"/>
          <w:szCs w:val="24"/>
        </w:rPr>
        <w:t>Visão de Futuro.</w:t>
      </w:r>
      <w:r w:rsidR="000C33F1" w:rsidRPr="004E1713">
        <w:rPr>
          <w:rFonts w:eastAsia="Arial Unicode MS" w:cs="Calibri"/>
          <w:sz w:val="24"/>
          <w:szCs w:val="24"/>
        </w:rPr>
        <w:t xml:space="preserve"> Uma de suas etapas é o </w:t>
      </w:r>
      <w:r w:rsidRPr="004E1713">
        <w:rPr>
          <w:rFonts w:eastAsia="Arial Unicode MS" w:cs="Calibri"/>
          <w:sz w:val="24"/>
          <w:szCs w:val="24"/>
        </w:rPr>
        <w:t>Plano de Ação, instrumento que reflete e sistematiza a estratégia do CAU</w:t>
      </w:r>
      <w:r w:rsidR="000C33F1" w:rsidRPr="004E1713">
        <w:rPr>
          <w:rFonts w:eastAsia="Arial Unicode MS" w:cs="Calibri"/>
          <w:sz w:val="24"/>
          <w:szCs w:val="24"/>
        </w:rPr>
        <w:t xml:space="preserve">, </w:t>
      </w:r>
      <w:r w:rsidRPr="004E1713">
        <w:rPr>
          <w:rFonts w:eastAsia="Arial Unicode MS" w:cs="Calibri"/>
          <w:sz w:val="24"/>
          <w:szCs w:val="24"/>
        </w:rPr>
        <w:t xml:space="preserve">estruturado na forma de iniciativas estratégicas que são compreendidas por projetos e atividades. </w:t>
      </w:r>
    </w:p>
    <w:p w14:paraId="7DC85268" w14:textId="4FFD3A7B" w:rsidR="00DF4AB2" w:rsidRPr="004E1713" w:rsidRDefault="00DF4AB2" w:rsidP="00DF4AB2">
      <w:pPr>
        <w:spacing w:line="360" w:lineRule="auto"/>
        <w:ind w:firstLine="851"/>
        <w:jc w:val="both"/>
        <w:rPr>
          <w:rFonts w:eastAsia="Arial Unicode MS" w:cs="Calibri"/>
          <w:sz w:val="24"/>
          <w:szCs w:val="24"/>
        </w:rPr>
      </w:pPr>
      <w:r w:rsidRPr="004E1713">
        <w:rPr>
          <w:rFonts w:eastAsia="Arial Unicode MS" w:cs="Calibri"/>
          <w:sz w:val="24"/>
          <w:szCs w:val="24"/>
        </w:rPr>
        <w:t>A elaboração do Plano de Ação e do Orçamento 202</w:t>
      </w:r>
      <w:r w:rsidR="004E1713" w:rsidRPr="004E1713">
        <w:rPr>
          <w:rFonts w:eastAsia="Arial Unicode MS" w:cs="Calibri"/>
          <w:sz w:val="24"/>
          <w:szCs w:val="24"/>
        </w:rPr>
        <w:t>4</w:t>
      </w:r>
      <w:r w:rsidRPr="004E1713">
        <w:rPr>
          <w:rFonts w:eastAsia="Arial Unicode MS" w:cs="Calibri"/>
          <w:sz w:val="24"/>
          <w:szCs w:val="24"/>
        </w:rPr>
        <w:t xml:space="preserve"> deve </w:t>
      </w:r>
      <w:r w:rsidRPr="004E1713">
        <w:rPr>
          <w:rFonts w:eastAsia="Arial Unicode MS" w:cs="Calibri"/>
          <w:b/>
          <w:sz w:val="24"/>
          <w:szCs w:val="24"/>
        </w:rPr>
        <w:t>focar em resultados</w:t>
      </w:r>
      <w:r w:rsidRPr="004E1713">
        <w:rPr>
          <w:rFonts w:eastAsia="Arial Unicode MS" w:cs="Calibri"/>
          <w:sz w:val="24"/>
          <w:szCs w:val="24"/>
        </w:rPr>
        <w:t xml:space="preserve">, observando os princípios da </w:t>
      </w:r>
      <w:r w:rsidR="00FF017F" w:rsidRPr="004E1713">
        <w:rPr>
          <w:rFonts w:eastAsia="Arial Unicode MS" w:cs="Calibri"/>
          <w:b/>
          <w:bCs/>
          <w:sz w:val="24"/>
          <w:szCs w:val="24"/>
        </w:rPr>
        <w:t>coerência,</w:t>
      </w:r>
      <w:r w:rsidR="00FF017F" w:rsidRPr="004E1713">
        <w:rPr>
          <w:rFonts w:eastAsia="Arial Unicode MS" w:cs="Calibri"/>
          <w:sz w:val="24"/>
          <w:szCs w:val="24"/>
        </w:rPr>
        <w:t xml:space="preserve"> </w:t>
      </w:r>
      <w:r w:rsidRPr="004E1713">
        <w:rPr>
          <w:rFonts w:eastAsia="Arial Unicode MS" w:cs="Calibri"/>
          <w:b/>
          <w:sz w:val="24"/>
          <w:szCs w:val="24"/>
        </w:rPr>
        <w:t>transparência</w:t>
      </w:r>
      <w:r w:rsidRPr="004E1713">
        <w:rPr>
          <w:rFonts w:eastAsia="Arial Unicode MS" w:cs="Calibri"/>
          <w:sz w:val="24"/>
          <w:szCs w:val="24"/>
        </w:rPr>
        <w:t xml:space="preserve">, </w:t>
      </w:r>
      <w:r w:rsidRPr="004E1713">
        <w:rPr>
          <w:rFonts w:eastAsia="Arial Unicode MS" w:cs="Calibri"/>
          <w:b/>
          <w:sz w:val="24"/>
          <w:szCs w:val="24"/>
        </w:rPr>
        <w:t>simplicidade</w:t>
      </w:r>
      <w:r w:rsidRPr="004E1713">
        <w:rPr>
          <w:rFonts w:eastAsia="Arial Unicode MS" w:cs="Calibri"/>
          <w:sz w:val="24"/>
          <w:szCs w:val="24"/>
        </w:rPr>
        <w:t xml:space="preserve"> e </w:t>
      </w:r>
      <w:r w:rsidRPr="004E1713">
        <w:rPr>
          <w:rFonts w:eastAsia="Arial Unicode MS" w:cs="Calibri"/>
          <w:b/>
          <w:sz w:val="24"/>
          <w:szCs w:val="24"/>
        </w:rPr>
        <w:t>flexibilidade</w:t>
      </w:r>
      <w:r w:rsidRPr="004E1713">
        <w:rPr>
          <w:rFonts w:eastAsia="Arial Unicode MS" w:cs="Calibri"/>
          <w:sz w:val="24"/>
          <w:szCs w:val="24"/>
        </w:rPr>
        <w:t>, e considerando as seguintes premissas:</w:t>
      </w:r>
    </w:p>
    <w:p w14:paraId="7DC85269" w14:textId="77777777" w:rsidR="00DF4AB2" w:rsidRPr="004E1713" w:rsidRDefault="00EF2A79" w:rsidP="00DF4AB2">
      <w:pPr>
        <w:pStyle w:val="PargrafodaLista"/>
        <w:numPr>
          <w:ilvl w:val="0"/>
          <w:numId w:val="7"/>
        </w:numPr>
        <w:spacing w:line="360" w:lineRule="auto"/>
        <w:ind w:left="1134" w:hanging="283"/>
        <w:jc w:val="both"/>
        <w:rPr>
          <w:rFonts w:eastAsia="Arial Unicode MS" w:cs="Calibri"/>
          <w:sz w:val="24"/>
          <w:szCs w:val="24"/>
        </w:rPr>
      </w:pPr>
      <w:r w:rsidRPr="004E1713">
        <w:rPr>
          <w:rFonts w:eastAsia="Arial Unicode MS" w:cs="Calibri"/>
          <w:sz w:val="24"/>
          <w:szCs w:val="24"/>
        </w:rPr>
        <w:t>o</w:t>
      </w:r>
      <w:r w:rsidR="00DF4AB2" w:rsidRPr="004E1713">
        <w:rPr>
          <w:rFonts w:eastAsia="Arial Unicode MS" w:cs="Calibri"/>
          <w:sz w:val="24"/>
          <w:szCs w:val="24"/>
        </w:rPr>
        <w:t xml:space="preserve"> planejamento antecede e orienta a orçamentação;</w:t>
      </w:r>
    </w:p>
    <w:p w14:paraId="7DC8526C" w14:textId="16B92F7D" w:rsidR="00DF4AB2" w:rsidRPr="004E1713" w:rsidRDefault="00EF2A79" w:rsidP="00DF4AB2">
      <w:pPr>
        <w:pStyle w:val="PargrafodaLista"/>
        <w:numPr>
          <w:ilvl w:val="0"/>
          <w:numId w:val="7"/>
        </w:numPr>
        <w:spacing w:line="360" w:lineRule="auto"/>
        <w:ind w:left="1134" w:hanging="283"/>
        <w:jc w:val="both"/>
        <w:rPr>
          <w:rFonts w:eastAsia="Arial Unicode MS" w:cs="Calibri"/>
          <w:sz w:val="24"/>
          <w:szCs w:val="24"/>
        </w:rPr>
      </w:pPr>
      <w:r w:rsidRPr="004E1713">
        <w:rPr>
          <w:rFonts w:eastAsia="Arial Unicode MS" w:cs="Calibri"/>
          <w:sz w:val="24"/>
          <w:szCs w:val="24"/>
        </w:rPr>
        <w:t>o</w:t>
      </w:r>
      <w:r w:rsidR="00DF4AB2" w:rsidRPr="004E1713">
        <w:rPr>
          <w:rFonts w:eastAsia="Arial Unicode MS" w:cs="Calibri"/>
          <w:sz w:val="24"/>
          <w:szCs w:val="24"/>
        </w:rPr>
        <w:t>s processos de planejamento e orçamentação são integrados</w:t>
      </w:r>
      <w:r w:rsidR="000C33F1" w:rsidRPr="004E1713">
        <w:rPr>
          <w:rFonts w:eastAsia="Arial Unicode MS" w:cs="Calibri"/>
          <w:sz w:val="24"/>
          <w:szCs w:val="24"/>
        </w:rPr>
        <w:t xml:space="preserve"> </w:t>
      </w:r>
      <w:r w:rsidR="00DF4AB2" w:rsidRPr="004E1713">
        <w:rPr>
          <w:rFonts w:eastAsia="Arial Unicode MS" w:cs="Calibri"/>
          <w:sz w:val="24"/>
          <w:szCs w:val="24"/>
        </w:rPr>
        <w:t>e ocorrem em momentos distintos e sucessivos</w:t>
      </w:r>
      <w:r w:rsidR="000C33F1" w:rsidRPr="004E1713">
        <w:rPr>
          <w:rFonts w:eastAsia="Arial Unicode MS" w:cs="Calibri"/>
          <w:sz w:val="24"/>
          <w:szCs w:val="24"/>
        </w:rPr>
        <w:t xml:space="preserve">, iniciando pelo </w:t>
      </w:r>
      <w:r w:rsidR="00DF4AB2" w:rsidRPr="004E1713">
        <w:rPr>
          <w:rFonts w:eastAsia="Arial Unicode MS" w:cs="Calibri"/>
          <w:sz w:val="24"/>
          <w:szCs w:val="24"/>
        </w:rPr>
        <w:t>planejamento;</w:t>
      </w:r>
    </w:p>
    <w:p w14:paraId="6E10BC29" w14:textId="092CA608" w:rsidR="000C33F1" w:rsidRPr="004E1713" w:rsidRDefault="000C33F1" w:rsidP="000C33F1">
      <w:pPr>
        <w:pStyle w:val="PargrafodaLista"/>
        <w:numPr>
          <w:ilvl w:val="0"/>
          <w:numId w:val="7"/>
        </w:numPr>
        <w:spacing w:line="360" w:lineRule="auto"/>
        <w:ind w:left="1134" w:hanging="283"/>
        <w:jc w:val="both"/>
        <w:rPr>
          <w:rFonts w:eastAsia="Arial Unicode MS" w:cs="Calibri"/>
          <w:sz w:val="24"/>
          <w:szCs w:val="24"/>
        </w:rPr>
      </w:pPr>
      <w:r w:rsidRPr="004E1713">
        <w:rPr>
          <w:rFonts w:eastAsia="Arial Unicode MS" w:cs="Calibri"/>
          <w:sz w:val="24"/>
          <w:szCs w:val="24"/>
        </w:rPr>
        <w:t xml:space="preserve">o </w:t>
      </w:r>
      <w:r w:rsidRPr="004E1713">
        <w:rPr>
          <w:rFonts w:eastAsia="Arial Unicode MS" w:cs="Calibri"/>
          <w:b/>
          <w:bCs/>
          <w:sz w:val="24"/>
          <w:szCs w:val="24"/>
        </w:rPr>
        <w:t>equilíbrio orçamentário</w:t>
      </w:r>
      <w:r w:rsidRPr="004E1713">
        <w:rPr>
          <w:rFonts w:eastAsia="Arial Unicode MS" w:cs="Calibri"/>
          <w:sz w:val="24"/>
          <w:szCs w:val="24"/>
        </w:rPr>
        <w:t xml:space="preserve"> (despesas devem </w:t>
      </w:r>
      <w:r w:rsidR="00E31404">
        <w:rPr>
          <w:rFonts w:eastAsia="Arial Unicode MS" w:cs="Calibri"/>
          <w:sz w:val="24"/>
          <w:szCs w:val="24"/>
        </w:rPr>
        <w:t xml:space="preserve">ser </w:t>
      </w:r>
      <w:r w:rsidRPr="004E1713">
        <w:rPr>
          <w:rFonts w:eastAsia="Arial Unicode MS" w:cs="Calibri"/>
          <w:sz w:val="24"/>
          <w:szCs w:val="24"/>
        </w:rPr>
        <w:t xml:space="preserve">iguais a receitas); </w:t>
      </w:r>
    </w:p>
    <w:p w14:paraId="7DC8526D" w14:textId="673C413E" w:rsidR="00DF4AB2" w:rsidRPr="004E1713" w:rsidRDefault="00EF2A79" w:rsidP="00DF4AB2">
      <w:pPr>
        <w:pStyle w:val="PargrafodaLista"/>
        <w:numPr>
          <w:ilvl w:val="0"/>
          <w:numId w:val="7"/>
        </w:numPr>
        <w:spacing w:line="360" w:lineRule="auto"/>
        <w:ind w:left="1134" w:hanging="283"/>
        <w:jc w:val="both"/>
        <w:rPr>
          <w:rFonts w:eastAsia="Arial Unicode MS" w:cs="Calibri"/>
          <w:sz w:val="24"/>
          <w:szCs w:val="24"/>
        </w:rPr>
      </w:pPr>
      <w:r w:rsidRPr="004E1713">
        <w:rPr>
          <w:rFonts w:eastAsia="Arial Unicode MS" w:cs="Calibri"/>
          <w:sz w:val="24"/>
          <w:szCs w:val="24"/>
        </w:rPr>
        <w:t>a</w:t>
      </w:r>
      <w:r w:rsidR="00DF4AB2" w:rsidRPr="004E1713">
        <w:rPr>
          <w:rFonts w:eastAsia="Arial Unicode MS" w:cs="Calibri"/>
          <w:sz w:val="24"/>
          <w:szCs w:val="24"/>
        </w:rPr>
        <w:t xml:space="preserve"> formulação da estratégia de atuação</w:t>
      </w:r>
      <w:r w:rsidR="000C33F1" w:rsidRPr="004E1713">
        <w:rPr>
          <w:rFonts w:eastAsia="Arial Unicode MS" w:cs="Calibri"/>
          <w:sz w:val="24"/>
          <w:szCs w:val="24"/>
        </w:rPr>
        <w:t xml:space="preserve"> deve ser </w:t>
      </w:r>
      <w:r w:rsidR="00DF4AB2" w:rsidRPr="004E1713">
        <w:rPr>
          <w:rFonts w:eastAsia="Arial Unicode MS" w:cs="Calibri"/>
          <w:sz w:val="24"/>
          <w:szCs w:val="24"/>
        </w:rPr>
        <w:t>coerente com a realidade local e compatível com o Planejamento Estratégico do CAU</w:t>
      </w:r>
      <w:r w:rsidR="000C33F1" w:rsidRPr="004E1713">
        <w:rPr>
          <w:rFonts w:eastAsia="Arial Unicode MS" w:cs="Calibri"/>
          <w:sz w:val="24"/>
          <w:szCs w:val="24"/>
        </w:rPr>
        <w:t>;</w:t>
      </w:r>
    </w:p>
    <w:p w14:paraId="7DC8526E" w14:textId="2429C48E" w:rsidR="00DF4AB2" w:rsidRPr="004E1713" w:rsidRDefault="000C33F1" w:rsidP="00DF4AB2">
      <w:pPr>
        <w:pStyle w:val="PargrafodaLista"/>
        <w:numPr>
          <w:ilvl w:val="0"/>
          <w:numId w:val="7"/>
        </w:numPr>
        <w:spacing w:line="360" w:lineRule="auto"/>
        <w:ind w:left="1134" w:hanging="283"/>
        <w:jc w:val="both"/>
        <w:rPr>
          <w:rFonts w:eastAsia="Arial Unicode MS" w:cs="Calibri"/>
          <w:sz w:val="24"/>
          <w:szCs w:val="24"/>
        </w:rPr>
      </w:pPr>
      <w:r w:rsidRPr="004E1713">
        <w:rPr>
          <w:rFonts w:eastAsia="Arial Unicode MS" w:cs="Calibri"/>
          <w:sz w:val="24"/>
          <w:szCs w:val="24"/>
        </w:rPr>
        <w:t xml:space="preserve">a </w:t>
      </w:r>
      <w:r w:rsidR="00EF2A79" w:rsidRPr="004E1713">
        <w:rPr>
          <w:rFonts w:eastAsia="Arial Unicode MS" w:cs="Calibri"/>
          <w:sz w:val="24"/>
          <w:szCs w:val="24"/>
        </w:rPr>
        <w:t>a</w:t>
      </w:r>
      <w:r w:rsidR="00DF4AB2" w:rsidRPr="004E1713">
        <w:rPr>
          <w:rFonts w:eastAsia="Arial Unicode MS" w:cs="Calibri"/>
          <w:sz w:val="24"/>
          <w:szCs w:val="24"/>
        </w:rPr>
        <w:t>locação de recursos</w:t>
      </w:r>
      <w:r w:rsidRPr="004E1713">
        <w:rPr>
          <w:rFonts w:eastAsia="Arial Unicode MS" w:cs="Calibri"/>
          <w:sz w:val="24"/>
          <w:szCs w:val="24"/>
        </w:rPr>
        <w:t xml:space="preserve"> atende aos </w:t>
      </w:r>
      <w:r w:rsidR="00DF4AB2" w:rsidRPr="004E1713">
        <w:rPr>
          <w:rFonts w:eastAsia="Arial Unicode MS" w:cs="Calibri"/>
          <w:sz w:val="24"/>
          <w:szCs w:val="24"/>
        </w:rPr>
        <w:t xml:space="preserve">projetos estratégicos nacionais e </w:t>
      </w:r>
      <w:r w:rsidRPr="004E1713">
        <w:rPr>
          <w:rFonts w:eastAsia="Arial Unicode MS" w:cs="Calibri"/>
          <w:sz w:val="24"/>
          <w:szCs w:val="24"/>
        </w:rPr>
        <w:t>às</w:t>
      </w:r>
      <w:r w:rsidR="00DF4AB2" w:rsidRPr="004E1713">
        <w:rPr>
          <w:rFonts w:eastAsia="Arial Unicode MS" w:cs="Calibri"/>
          <w:sz w:val="24"/>
          <w:szCs w:val="24"/>
        </w:rPr>
        <w:t xml:space="preserve"> prioridades locais;</w:t>
      </w:r>
    </w:p>
    <w:p w14:paraId="7DC8526F" w14:textId="77777777" w:rsidR="00DF4AB2" w:rsidRPr="004E1713" w:rsidRDefault="00EF2A79" w:rsidP="00DF4AB2">
      <w:pPr>
        <w:pStyle w:val="PargrafodaLista"/>
        <w:numPr>
          <w:ilvl w:val="0"/>
          <w:numId w:val="7"/>
        </w:numPr>
        <w:spacing w:line="360" w:lineRule="auto"/>
        <w:ind w:left="1134" w:hanging="283"/>
        <w:jc w:val="both"/>
        <w:rPr>
          <w:rFonts w:eastAsia="Arial Unicode MS" w:cs="Calibri"/>
          <w:sz w:val="24"/>
          <w:szCs w:val="24"/>
        </w:rPr>
      </w:pPr>
      <w:r w:rsidRPr="004E1713">
        <w:rPr>
          <w:rFonts w:eastAsia="Arial Unicode MS" w:cs="Calibri"/>
          <w:sz w:val="24"/>
          <w:szCs w:val="24"/>
        </w:rPr>
        <w:t>a</w:t>
      </w:r>
      <w:r w:rsidR="00DF4AB2" w:rsidRPr="004E1713">
        <w:rPr>
          <w:rFonts w:eastAsia="Arial Unicode MS" w:cs="Calibri"/>
          <w:sz w:val="24"/>
          <w:szCs w:val="24"/>
        </w:rPr>
        <w:t>valiação sistemática de resultados para aperfeiçoar a atuação do Conselho, indicando medidas corretivas e preventivas, medindo a eficácia e efetividade da atuação do CAU;</w:t>
      </w:r>
      <w:r w:rsidRPr="004E1713">
        <w:rPr>
          <w:rFonts w:eastAsia="Arial Unicode MS" w:cs="Calibri"/>
          <w:sz w:val="24"/>
          <w:szCs w:val="24"/>
        </w:rPr>
        <w:t xml:space="preserve"> </w:t>
      </w:r>
    </w:p>
    <w:p w14:paraId="7DC85270" w14:textId="77777777" w:rsidR="00DF4AB2" w:rsidRPr="004E1713" w:rsidRDefault="00EF2A79" w:rsidP="00DF4AB2">
      <w:pPr>
        <w:pStyle w:val="PargrafodaLista"/>
        <w:numPr>
          <w:ilvl w:val="0"/>
          <w:numId w:val="7"/>
        </w:numPr>
        <w:spacing w:line="360" w:lineRule="auto"/>
        <w:ind w:left="1134" w:hanging="283"/>
        <w:jc w:val="both"/>
        <w:rPr>
          <w:rFonts w:eastAsia="Arial Unicode MS" w:cs="Calibri"/>
          <w:sz w:val="24"/>
          <w:szCs w:val="24"/>
        </w:rPr>
      </w:pPr>
      <w:r w:rsidRPr="004E1713">
        <w:rPr>
          <w:rFonts w:eastAsia="Arial Unicode MS" w:cs="Calibri"/>
          <w:sz w:val="24"/>
          <w:szCs w:val="24"/>
        </w:rPr>
        <w:t>a</w:t>
      </w:r>
      <w:r w:rsidR="00DF4AB2" w:rsidRPr="004E1713">
        <w:rPr>
          <w:rFonts w:eastAsia="Arial Unicode MS" w:cs="Calibri"/>
          <w:sz w:val="24"/>
          <w:szCs w:val="24"/>
        </w:rPr>
        <w:t>usteridade na destinação dos recursos orçamentários</w:t>
      </w:r>
      <w:r w:rsidRPr="004E1713">
        <w:rPr>
          <w:rFonts w:eastAsia="Arial Unicode MS" w:cs="Calibri"/>
          <w:sz w:val="24"/>
          <w:szCs w:val="24"/>
        </w:rPr>
        <w:t>; e</w:t>
      </w:r>
    </w:p>
    <w:p w14:paraId="7DC85271" w14:textId="77777777" w:rsidR="00DF4AB2" w:rsidRPr="004E1713" w:rsidRDefault="00EF2A79" w:rsidP="00DF4AB2">
      <w:pPr>
        <w:pStyle w:val="PargrafodaLista"/>
        <w:numPr>
          <w:ilvl w:val="0"/>
          <w:numId w:val="7"/>
        </w:numPr>
        <w:spacing w:line="360" w:lineRule="auto"/>
        <w:ind w:left="1134" w:hanging="283"/>
        <w:jc w:val="both"/>
        <w:rPr>
          <w:rFonts w:eastAsia="Arial Unicode MS" w:cs="Calibri"/>
          <w:sz w:val="24"/>
          <w:szCs w:val="24"/>
        </w:rPr>
      </w:pPr>
      <w:r w:rsidRPr="004E1713">
        <w:rPr>
          <w:rFonts w:eastAsia="Arial Unicode MS" w:cs="Calibri"/>
          <w:sz w:val="24"/>
          <w:szCs w:val="24"/>
        </w:rPr>
        <w:t>c</w:t>
      </w:r>
      <w:r w:rsidR="00DF4AB2" w:rsidRPr="004E1713">
        <w:rPr>
          <w:rFonts w:eastAsia="Arial Unicode MS" w:cs="Calibri"/>
          <w:sz w:val="24"/>
          <w:szCs w:val="24"/>
        </w:rPr>
        <w:t>ompartilhamento de ações e custos.</w:t>
      </w:r>
    </w:p>
    <w:p w14:paraId="33D2C60D" w14:textId="77777777" w:rsidR="004E3FD2" w:rsidRPr="008F7CE3" w:rsidRDefault="004E3FD2" w:rsidP="00C1577A">
      <w:pPr>
        <w:pStyle w:val="PargrafodaLista"/>
        <w:spacing w:after="0" w:line="360" w:lineRule="auto"/>
        <w:ind w:left="1134"/>
        <w:jc w:val="both"/>
        <w:rPr>
          <w:rFonts w:eastAsia="Arial Unicode MS" w:cs="Calibri"/>
          <w:sz w:val="24"/>
          <w:szCs w:val="24"/>
        </w:rPr>
      </w:pPr>
    </w:p>
    <w:p w14:paraId="7DC85273" w14:textId="624B8C8D" w:rsidR="00DF4AB2" w:rsidRPr="00800B1B" w:rsidRDefault="00DF4AB2" w:rsidP="00DF4AB2">
      <w:pPr>
        <w:pStyle w:val="Ttulo2"/>
        <w:ind w:left="851" w:firstLine="0"/>
        <w:rPr>
          <w:rFonts w:eastAsia="Arial Unicode MS"/>
          <w:color w:val="612141"/>
        </w:rPr>
      </w:pPr>
      <w:r w:rsidRPr="00800B1B">
        <w:rPr>
          <w:rFonts w:eastAsia="Arial Unicode MS"/>
          <w:color w:val="612141"/>
        </w:rPr>
        <w:t xml:space="preserve"> </w:t>
      </w:r>
      <w:bookmarkStart w:id="53" w:name="_Toc487558914"/>
      <w:bookmarkStart w:id="54" w:name="_Toc487559015"/>
      <w:bookmarkStart w:id="55" w:name="_Toc147404341"/>
      <w:r w:rsidRPr="00800B1B">
        <w:rPr>
          <w:rFonts w:eastAsia="Arial Unicode MS"/>
          <w:color w:val="612141"/>
        </w:rPr>
        <w:t>Cenário de Recursos</w:t>
      </w:r>
      <w:bookmarkEnd w:id="53"/>
      <w:bookmarkEnd w:id="54"/>
      <w:bookmarkEnd w:id="55"/>
      <w:r w:rsidR="003474C1" w:rsidRPr="00800B1B">
        <w:rPr>
          <w:rFonts w:eastAsia="Arial Unicode MS"/>
          <w:color w:val="612141"/>
        </w:rPr>
        <w:t xml:space="preserve"> </w:t>
      </w:r>
    </w:p>
    <w:p w14:paraId="7DC85274" w14:textId="24788B3E" w:rsidR="00DF4AB2" w:rsidRDefault="000C33F1" w:rsidP="00DF4AB2">
      <w:pPr>
        <w:pStyle w:val="SemEspaamento"/>
        <w:spacing w:line="360" w:lineRule="auto"/>
        <w:ind w:firstLine="851"/>
        <w:jc w:val="both"/>
        <w:rPr>
          <w:rFonts w:cs="Arial"/>
          <w:color w:val="000000" w:themeColor="text1"/>
          <w:sz w:val="24"/>
          <w:szCs w:val="24"/>
        </w:rPr>
      </w:pPr>
      <w:r>
        <w:rPr>
          <w:rFonts w:cs="Arial"/>
          <w:color w:val="000000" w:themeColor="text1"/>
          <w:sz w:val="24"/>
          <w:szCs w:val="24"/>
        </w:rPr>
        <w:t>O</w:t>
      </w:r>
      <w:r w:rsidR="00DF4AB2" w:rsidRPr="00ED1B2C">
        <w:rPr>
          <w:rFonts w:cs="Arial"/>
          <w:color w:val="000000" w:themeColor="text1"/>
          <w:sz w:val="24"/>
          <w:szCs w:val="24"/>
        </w:rPr>
        <w:t xml:space="preserve"> Cenário de Recursos do CAU é peça fundamental do processo de elaboraçã</w:t>
      </w:r>
      <w:r w:rsidR="00DF4AB2">
        <w:rPr>
          <w:rFonts w:cs="Arial"/>
          <w:color w:val="000000" w:themeColor="text1"/>
          <w:sz w:val="24"/>
          <w:szCs w:val="24"/>
        </w:rPr>
        <w:t xml:space="preserve">o do Plano de Ação e Orçamento, </w:t>
      </w:r>
      <w:r>
        <w:rPr>
          <w:rFonts w:cs="Arial"/>
          <w:color w:val="000000" w:themeColor="text1"/>
          <w:sz w:val="24"/>
          <w:szCs w:val="24"/>
        </w:rPr>
        <w:t xml:space="preserve">representando as estimativas de </w:t>
      </w:r>
      <w:r w:rsidR="00DF4AB2" w:rsidRPr="00ED1B2C">
        <w:rPr>
          <w:rFonts w:cs="Arial"/>
          <w:color w:val="000000" w:themeColor="text1"/>
          <w:sz w:val="24"/>
          <w:szCs w:val="24"/>
        </w:rPr>
        <w:t xml:space="preserve">disponibilidade de recursos financeiros para a execução dos projetos e atividades do Conselho em prol do desenvolvimento e fortalecimento da profissão e da </w:t>
      </w:r>
      <w:r w:rsidR="001E6CF7">
        <w:rPr>
          <w:rFonts w:cs="Arial"/>
          <w:color w:val="000000" w:themeColor="text1"/>
          <w:sz w:val="24"/>
          <w:szCs w:val="24"/>
        </w:rPr>
        <w:t>A</w:t>
      </w:r>
      <w:r w:rsidR="00DF4AB2" w:rsidRPr="00ED1B2C">
        <w:rPr>
          <w:rFonts w:cs="Arial"/>
          <w:color w:val="000000" w:themeColor="text1"/>
          <w:sz w:val="24"/>
          <w:szCs w:val="24"/>
        </w:rPr>
        <w:t xml:space="preserve">rquitetura e </w:t>
      </w:r>
      <w:r w:rsidR="001E6CF7">
        <w:rPr>
          <w:rFonts w:cs="Arial"/>
          <w:color w:val="000000" w:themeColor="text1"/>
          <w:sz w:val="24"/>
          <w:szCs w:val="24"/>
        </w:rPr>
        <w:t>U</w:t>
      </w:r>
      <w:r w:rsidR="00DF4AB2" w:rsidRPr="00ED1B2C">
        <w:rPr>
          <w:rFonts w:cs="Arial"/>
          <w:color w:val="000000" w:themeColor="text1"/>
          <w:sz w:val="24"/>
          <w:szCs w:val="24"/>
        </w:rPr>
        <w:t>rbanismo</w:t>
      </w:r>
      <w:r w:rsidR="001E6CF7">
        <w:rPr>
          <w:rFonts w:cs="Arial"/>
          <w:color w:val="000000" w:themeColor="text1"/>
          <w:sz w:val="24"/>
          <w:szCs w:val="24"/>
        </w:rPr>
        <w:t xml:space="preserve"> e </w:t>
      </w:r>
      <w:r w:rsidR="00DF4AB2" w:rsidRPr="00ED1B2C">
        <w:rPr>
          <w:rFonts w:cs="Arial"/>
          <w:color w:val="000000" w:themeColor="text1"/>
          <w:sz w:val="24"/>
          <w:szCs w:val="24"/>
        </w:rPr>
        <w:t>orientando as decisões de gastos em investimentos e custeio</w:t>
      </w:r>
      <w:r w:rsidR="00DF4AB2">
        <w:rPr>
          <w:rFonts w:cs="Arial"/>
          <w:color w:val="000000" w:themeColor="text1"/>
          <w:sz w:val="24"/>
          <w:szCs w:val="24"/>
        </w:rPr>
        <w:t>s</w:t>
      </w:r>
      <w:r w:rsidR="00DF4AB2" w:rsidRPr="00ED1B2C">
        <w:rPr>
          <w:rFonts w:cs="Arial"/>
          <w:color w:val="000000" w:themeColor="text1"/>
          <w:sz w:val="24"/>
          <w:szCs w:val="24"/>
        </w:rPr>
        <w:t>.</w:t>
      </w:r>
    </w:p>
    <w:p w14:paraId="7DC85276" w14:textId="77777777" w:rsidR="00DF4AB2" w:rsidRPr="00814913" w:rsidRDefault="00DF4AB2" w:rsidP="00DF4AB2">
      <w:pPr>
        <w:pStyle w:val="SemEspaamento"/>
        <w:spacing w:line="360" w:lineRule="auto"/>
        <w:ind w:left="426" w:firstLine="425"/>
        <w:jc w:val="both"/>
        <w:rPr>
          <w:rFonts w:eastAsia="Calibri" w:cs="Arial"/>
          <w:b/>
          <w:sz w:val="24"/>
          <w:szCs w:val="24"/>
        </w:rPr>
      </w:pPr>
      <w:r w:rsidRPr="00814913">
        <w:rPr>
          <w:rFonts w:eastAsia="Calibri" w:cs="Arial"/>
          <w:b/>
          <w:bCs/>
          <w:sz w:val="24"/>
          <w:szCs w:val="24"/>
        </w:rPr>
        <w:t xml:space="preserve">O Cenário de Recursos Orçamentários do </w:t>
      </w:r>
      <w:r w:rsidRPr="001E6CF7">
        <w:rPr>
          <w:rFonts w:eastAsia="Calibri" w:cs="Arial"/>
          <w:b/>
          <w:bCs/>
          <w:sz w:val="24"/>
          <w:szCs w:val="24"/>
          <w:u w:val="single"/>
        </w:rPr>
        <w:t xml:space="preserve">CAU/BR </w:t>
      </w:r>
      <w:r w:rsidRPr="00814913">
        <w:rPr>
          <w:rFonts w:eastAsia="Calibri" w:cs="Arial"/>
          <w:b/>
          <w:bCs/>
          <w:sz w:val="24"/>
          <w:szCs w:val="24"/>
        </w:rPr>
        <w:t>é composto de:</w:t>
      </w:r>
    </w:p>
    <w:p w14:paraId="7DC85277" w14:textId="77777777" w:rsidR="00DF4AB2" w:rsidRPr="00D15BA6" w:rsidRDefault="00DF4AB2" w:rsidP="00DF4AB2">
      <w:pPr>
        <w:spacing w:before="100" w:beforeAutospacing="1" w:after="100" w:afterAutospacing="1" w:line="360" w:lineRule="auto"/>
        <w:ind w:left="568" w:firstLine="283"/>
        <w:jc w:val="both"/>
        <w:rPr>
          <w:rFonts w:eastAsia="Calibri" w:cs="Arial"/>
          <w:b/>
          <w:sz w:val="24"/>
          <w:szCs w:val="24"/>
        </w:rPr>
      </w:pPr>
      <w:r w:rsidRPr="00D15BA6">
        <w:rPr>
          <w:rFonts w:eastAsia="Calibri" w:cs="Arial"/>
          <w:b/>
          <w:sz w:val="24"/>
          <w:szCs w:val="24"/>
        </w:rPr>
        <w:t>RECEITAS CORRENTES:</w:t>
      </w:r>
    </w:p>
    <w:p w14:paraId="7DC85278" w14:textId="4CEC482D" w:rsidR="00DF4AB2" w:rsidRPr="00163397" w:rsidRDefault="00DF4AB2" w:rsidP="00DF4AB2">
      <w:pPr>
        <w:numPr>
          <w:ilvl w:val="0"/>
          <w:numId w:val="1"/>
        </w:numPr>
        <w:tabs>
          <w:tab w:val="left" w:pos="1134"/>
        </w:tabs>
        <w:spacing w:before="100" w:beforeAutospacing="1" w:after="100" w:afterAutospacing="1" w:line="360" w:lineRule="auto"/>
        <w:ind w:left="1134" w:hanging="283"/>
        <w:jc w:val="both"/>
        <w:rPr>
          <w:rFonts w:eastAsia="Calibri" w:cs="Arial"/>
          <w:sz w:val="24"/>
          <w:szCs w:val="24"/>
        </w:rPr>
      </w:pPr>
      <w:r w:rsidRPr="00163397">
        <w:rPr>
          <w:rFonts w:eastAsia="Calibri" w:cs="Arial"/>
          <w:sz w:val="24"/>
          <w:szCs w:val="24"/>
        </w:rPr>
        <w:t>receitas (20</w:t>
      </w:r>
      <w:r w:rsidR="00963614">
        <w:rPr>
          <w:rFonts w:eastAsia="Calibri" w:cs="Arial"/>
          <w:sz w:val="24"/>
          <w:szCs w:val="24"/>
        </w:rPr>
        <w:t>,0</w:t>
      </w:r>
      <w:r w:rsidRPr="00163397">
        <w:rPr>
          <w:rFonts w:eastAsia="Calibri" w:cs="Arial"/>
          <w:sz w:val="24"/>
          <w:szCs w:val="24"/>
        </w:rPr>
        <w:t>%) das arrecadações com anuidades (PF e PJ), RRT, taxa e multas</w:t>
      </w:r>
      <w:r w:rsidR="001E6CF7">
        <w:rPr>
          <w:rFonts w:eastAsia="Calibri" w:cs="Arial"/>
          <w:sz w:val="24"/>
          <w:szCs w:val="24"/>
        </w:rPr>
        <w:t xml:space="preserve"> (</w:t>
      </w:r>
      <w:r w:rsidRPr="00163397">
        <w:rPr>
          <w:rFonts w:eastAsia="Calibri" w:cs="Arial"/>
          <w:sz w:val="24"/>
          <w:szCs w:val="24"/>
        </w:rPr>
        <w:t>sobre obrigações dos profissionais com o Conselho pagas com atraso</w:t>
      </w:r>
      <w:r w:rsidR="001E6CF7">
        <w:rPr>
          <w:rFonts w:eastAsia="Calibri" w:cs="Arial"/>
          <w:sz w:val="24"/>
          <w:szCs w:val="24"/>
        </w:rPr>
        <w:t>)</w:t>
      </w:r>
      <w:r w:rsidRPr="00163397">
        <w:rPr>
          <w:rFonts w:eastAsia="Calibri" w:cs="Arial"/>
          <w:sz w:val="24"/>
          <w:szCs w:val="24"/>
        </w:rPr>
        <w:t>;</w:t>
      </w:r>
    </w:p>
    <w:p w14:paraId="7DC85279" w14:textId="77777777" w:rsidR="00DF4AB2" w:rsidRPr="00163397" w:rsidRDefault="00DF4AB2" w:rsidP="00DF4AB2">
      <w:pPr>
        <w:numPr>
          <w:ilvl w:val="0"/>
          <w:numId w:val="1"/>
        </w:numPr>
        <w:tabs>
          <w:tab w:val="left" w:pos="1134"/>
        </w:tabs>
        <w:spacing w:before="100" w:beforeAutospacing="1" w:after="100" w:afterAutospacing="1" w:line="360" w:lineRule="auto"/>
        <w:ind w:left="1134" w:hanging="283"/>
        <w:jc w:val="both"/>
        <w:rPr>
          <w:rFonts w:eastAsia="Calibri" w:cs="Arial"/>
          <w:sz w:val="24"/>
          <w:szCs w:val="24"/>
        </w:rPr>
      </w:pPr>
      <w:r w:rsidRPr="00163397">
        <w:rPr>
          <w:rFonts w:eastAsia="Calibri" w:cs="Arial"/>
          <w:sz w:val="24"/>
          <w:szCs w:val="24"/>
        </w:rPr>
        <w:t>receitas de aplicações financeiras; e</w:t>
      </w:r>
    </w:p>
    <w:p w14:paraId="7DC8527A" w14:textId="77777777" w:rsidR="00DF4AB2" w:rsidRPr="00163397" w:rsidRDefault="00DF4AB2" w:rsidP="00DF4AB2">
      <w:pPr>
        <w:numPr>
          <w:ilvl w:val="0"/>
          <w:numId w:val="1"/>
        </w:numPr>
        <w:tabs>
          <w:tab w:val="left" w:pos="1134"/>
        </w:tabs>
        <w:spacing w:before="100" w:beforeAutospacing="1" w:after="100" w:afterAutospacing="1" w:line="360" w:lineRule="auto"/>
        <w:ind w:left="1134" w:hanging="283"/>
        <w:jc w:val="both"/>
        <w:rPr>
          <w:rFonts w:eastAsia="Calibri" w:cs="Arial"/>
          <w:sz w:val="24"/>
          <w:szCs w:val="24"/>
        </w:rPr>
      </w:pPr>
      <w:r w:rsidRPr="00163397">
        <w:rPr>
          <w:rFonts w:eastAsia="Calibri" w:cs="Arial"/>
          <w:sz w:val="24"/>
          <w:szCs w:val="24"/>
        </w:rPr>
        <w:t>outras receitas correntes.</w:t>
      </w:r>
    </w:p>
    <w:p w14:paraId="7DC8527B" w14:textId="77777777" w:rsidR="00DF4AB2" w:rsidRPr="00163397" w:rsidRDefault="00DF4AB2" w:rsidP="00DF4AB2">
      <w:pPr>
        <w:tabs>
          <w:tab w:val="left" w:pos="1276"/>
        </w:tabs>
        <w:spacing w:before="100" w:beforeAutospacing="1" w:after="100" w:afterAutospacing="1" w:line="360" w:lineRule="auto"/>
        <w:ind w:firstLine="851"/>
        <w:jc w:val="both"/>
        <w:rPr>
          <w:rFonts w:eastAsia="Calibri" w:cs="Arial"/>
          <w:b/>
          <w:sz w:val="24"/>
          <w:szCs w:val="24"/>
        </w:rPr>
      </w:pPr>
      <w:r w:rsidRPr="00163397">
        <w:rPr>
          <w:rFonts w:eastAsia="Calibri" w:cs="Arial"/>
          <w:b/>
          <w:sz w:val="24"/>
          <w:szCs w:val="24"/>
        </w:rPr>
        <w:t>RECEITAS DE CAPITAL</w:t>
      </w:r>
      <w:r w:rsidR="00EF2A79" w:rsidRPr="00163397">
        <w:rPr>
          <w:rFonts w:eastAsia="Calibri" w:cs="Arial"/>
          <w:b/>
          <w:sz w:val="24"/>
          <w:szCs w:val="24"/>
        </w:rPr>
        <w:t>:</w:t>
      </w:r>
    </w:p>
    <w:p w14:paraId="7DC8527C" w14:textId="77777777" w:rsidR="00DF4AB2" w:rsidRPr="00163397" w:rsidRDefault="00DF4AB2" w:rsidP="00DF4AB2">
      <w:pPr>
        <w:numPr>
          <w:ilvl w:val="0"/>
          <w:numId w:val="3"/>
        </w:numPr>
        <w:tabs>
          <w:tab w:val="left" w:pos="1418"/>
        </w:tabs>
        <w:spacing w:before="100" w:beforeAutospacing="1" w:after="100" w:afterAutospacing="1" w:line="360" w:lineRule="auto"/>
        <w:ind w:left="1134" w:hanging="283"/>
        <w:jc w:val="both"/>
        <w:rPr>
          <w:rFonts w:eastAsia="Calibri" w:cs="Arial"/>
          <w:sz w:val="24"/>
          <w:szCs w:val="24"/>
        </w:rPr>
      </w:pPr>
      <w:r w:rsidRPr="00163397">
        <w:rPr>
          <w:rFonts w:eastAsia="Calibri" w:cs="Arial"/>
          <w:sz w:val="24"/>
          <w:szCs w:val="24"/>
        </w:rPr>
        <w:t>receitas de exercícios anteriores (superávit financeiro); e</w:t>
      </w:r>
    </w:p>
    <w:p w14:paraId="158E302B" w14:textId="722CE694" w:rsidR="008F6EC8" w:rsidRPr="00163397" w:rsidRDefault="00DF4AB2" w:rsidP="00F63C29">
      <w:pPr>
        <w:numPr>
          <w:ilvl w:val="0"/>
          <w:numId w:val="3"/>
        </w:numPr>
        <w:tabs>
          <w:tab w:val="left" w:pos="1418"/>
        </w:tabs>
        <w:spacing w:before="100" w:beforeAutospacing="1" w:after="0" w:line="360" w:lineRule="auto"/>
        <w:ind w:left="1134" w:hanging="283"/>
        <w:jc w:val="both"/>
        <w:rPr>
          <w:rFonts w:eastAsia="Calibri" w:cs="Arial"/>
          <w:sz w:val="24"/>
          <w:szCs w:val="24"/>
        </w:rPr>
      </w:pPr>
      <w:r w:rsidRPr="00163397">
        <w:rPr>
          <w:rFonts w:eastAsia="Calibri" w:cs="Arial"/>
          <w:sz w:val="24"/>
          <w:szCs w:val="24"/>
        </w:rPr>
        <w:t>outras receitas de capital.</w:t>
      </w:r>
    </w:p>
    <w:p w14:paraId="3F96BC31" w14:textId="77777777" w:rsidR="00F63C29" w:rsidRPr="00F63C29" w:rsidRDefault="00F63C29" w:rsidP="00F63C29">
      <w:pPr>
        <w:tabs>
          <w:tab w:val="left" w:pos="1418"/>
        </w:tabs>
        <w:spacing w:after="0" w:line="360" w:lineRule="auto"/>
        <w:jc w:val="both"/>
        <w:rPr>
          <w:rFonts w:eastAsia="Calibri" w:cs="Arial"/>
          <w:sz w:val="24"/>
          <w:szCs w:val="24"/>
        </w:rPr>
      </w:pPr>
    </w:p>
    <w:p w14:paraId="7DC8527F" w14:textId="77777777" w:rsidR="00DF4AB2" w:rsidRPr="00814913" w:rsidRDefault="00DF4AB2" w:rsidP="00DF4AB2">
      <w:pPr>
        <w:pStyle w:val="SemEspaamento"/>
        <w:spacing w:line="360" w:lineRule="auto"/>
        <w:ind w:left="1134" w:hanging="283"/>
        <w:jc w:val="both"/>
        <w:rPr>
          <w:rFonts w:eastAsia="Calibri" w:cs="Arial"/>
          <w:b/>
          <w:sz w:val="24"/>
          <w:szCs w:val="24"/>
        </w:rPr>
      </w:pPr>
      <w:r w:rsidRPr="00814913">
        <w:rPr>
          <w:rFonts w:eastAsia="Calibri" w:cs="Arial"/>
          <w:b/>
          <w:bCs/>
          <w:sz w:val="24"/>
          <w:szCs w:val="24"/>
        </w:rPr>
        <w:t xml:space="preserve">O Cenário de Recursos Orçamentários do </w:t>
      </w:r>
      <w:r w:rsidRPr="001E6CF7">
        <w:rPr>
          <w:rFonts w:eastAsia="Calibri" w:cs="Arial"/>
          <w:b/>
          <w:bCs/>
          <w:sz w:val="24"/>
          <w:szCs w:val="24"/>
          <w:u w:val="single"/>
        </w:rPr>
        <w:t>CAU/UF</w:t>
      </w:r>
      <w:r w:rsidRPr="00814913">
        <w:rPr>
          <w:rFonts w:eastAsia="Calibri" w:cs="Arial"/>
          <w:b/>
          <w:bCs/>
          <w:sz w:val="24"/>
          <w:szCs w:val="24"/>
        </w:rPr>
        <w:t xml:space="preserve"> é composto de:</w:t>
      </w:r>
    </w:p>
    <w:p w14:paraId="7DC85280" w14:textId="77777777" w:rsidR="00DF4AB2" w:rsidRPr="00EF2A79" w:rsidRDefault="00DF4AB2" w:rsidP="00DF4AB2">
      <w:pPr>
        <w:spacing w:before="100" w:beforeAutospacing="1" w:after="100" w:afterAutospacing="1" w:line="360" w:lineRule="auto"/>
        <w:ind w:left="1134" w:hanging="283"/>
        <w:jc w:val="both"/>
        <w:rPr>
          <w:rFonts w:eastAsia="Calibri" w:cs="Arial"/>
          <w:b/>
          <w:bCs/>
          <w:sz w:val="24"/>
          <w:szCs w:val="24"/>
        </w:rPr>
      </w:pPr>
      <w:r w:rsidRPr="00EF2A79">
        <w:rPr>
          <w:rFonts w:eastAsia="Calibri" w:cs="Arial"/>
          <w:b/>
          <w:bCs/>
          <w:sz w:val="24"/>
          <w:szCs w:val="24"/>
        </w:rPr>
        <w:t>RECEITAS CORRENTES</w:t>
      </w:r>
      <w:r w:rsidR="00EF2A79">
        <w:rPr>
          <w:rFonts w:eastAsia="Calibri" w:cs="Arial"/>
          <w:b/>
          <w:bCs/>
          <w:sz w:val="24"/>
          <w:szCs w:val="24"/>
        </w:rPr>
        <w:t>:</w:t>
      </w:r>
    </w:p>
    <w:p w14:paraId="7DC85281" w14:textId="348B4BF3" w:rsidR="00DF4AB2" w:rsidRPr="00E91FAE" w:rsidRDefault="00DF4AB2" w:rsidP="00DF4AB2">
      <w:pPr>
        <w:numPr>
          <w:ilvl w:val="0"/>
          <w:numId w:val="1"/>
        </w:numPr>
        <w:tabs>
          <w:tab w:val="left" w:pos="1418"/>
        </w:tabs>
        <w:spacing w:before="100" w:beforeAutospacing="1" w:after="100" w:afterAutospacing="1" w:line="360" w:lineRule="auto"/>
        <w:ind w:left="1134" w:hanging="283"/>
        <w:jc w:val="both"/>
        <w:rPr>
          <w:rFonts w:eastAsia="Calibri" w:cs="Arial"/>
          <w:sz w:val="24"/>
          <w:szCs w:val="24"/>
        </w:rPr>
      </w:pPr>
      <w:r w:rsidRPr="00E91FAE">
        <w:rPr>
          <w:rFonts w:eastAsia="Calibri" w:cs="Arial"/>
          <w:sz w:val="24"/>
          <w:szCs w:val="24"/>
        </w:rPr>
        <w:t>receitas (80</w:t>
      </w:r>
      <w:r w:rsidR="00963614">
        <w:rPr>
          <w:rFonts w:eastAsia="Calibri" w:cs="Arial"/>
          <w:sz w:val="24"/>
          <w:szCs w:val="24"/>
        </w:rPr>
        <w:t>,0</w:t>
      </w:r>
      <w:r w:rsidRPr="00E91FAE">
        <w:rPr>
          <w:rFonts w:eastAsia="Calibri" w:cs="Arial"/>
          <w:sz w:val="24"/>
          <w:szCs w:val="24"/>
        </w:rPr>
        <w:t>%) das arrecadações com anuidades (PF e PJ), RRT e taxas e multas</w:t>
      </w:r>
      <w:r w:rsidR="001E6CF7">
        <w:rPr>
          <w:rFonts w:eastAsia="Calibri" w:cs="Arial"/>
          <w:sz w:val="24"/>
          <w:szCs w:val="24"/>
        </w:rPr>
        <w:t xml:space="preserve"> (</w:t>
      </w:r>
      <w:r w:rsidRPr="00E91FAE">
        <w:rPr>
          <w:rFonts w:eastAsia="Calibri" w:cs="Arial"/>
          <w:sz w:val="24"/>
          <w:szCs w:val="24"/>
        </w:rPr>
        <w:t>sobre as obrigações dos profissionais, com o Conselho, pagas com atraso</w:t>
      </w:r>
      <w:r w:rsidR="001E6CF7">
        <w:rPr>
          <w:rFonts w:eastAsia="Calibri" w:cs="Arial"/>
          <w:sz w:val="24"/>
          <w:szCs w:val="24"/>
        </w:rPr>
        <w:t>)</w:t>
      </w:r>
      <w:r w:rsidRPr="00E91FAE">
        <w:rPr>
          <w:rFonts w:eastAsia="Calibri" w:cs="Arial"/>
          <w:sz w:val="24"/>
          <w:szCs w:val="24"/>
        </w:rPr>
        <w:t>;</w:t>
      </w:r>
    </w:p>
    <w:p w14:paraId="7DC85282" w14:textId="77777777" w:rsidR="00DF4AB2" w:rsidRPr="00E91FAE" w:rsidRDefault="00DF4AB2" w:rsidP="00DF4AB2">
      <w:pPr>
        <w:numPr>
          <w:ilvl w:val="0"/>
          <w:numId w:val="1"/>
        </w:numPr>
        <w:tabs>
          <w:tab w:val="left" w:pos="1418"/>
        </w:tabs>
        <w:spacing w:before="100" w:beforeAutospacing="1" w:after="100" w:afterAutospacing="1" w:line="360" w:lineRule="auto"/>
        <w:ind w:left="1134" w:hanging="283"/>
        <w:jc w:val="both"/>
        <w:rPr>
          <w:rFonts w:eastAsia="Calibri" w:cs="Arial"/>
          <w:sz w:val="24"/>
          <w:szCs w:val="24"/>
        </w:rPr>
      </w:pPr>
      <w:r w:rsidRPr="00E91FAE">
        <w:rPr>
          <w:rFonts w:eastAsia="Calibri" w:cs="Arial"/>
          <w:sz w:val="24"/>
          <w:szCs w:val="24"/>
        </w:rPr>
        <w:t>receitas de aplicações financeiras;</w:t>
      </w:r>
    </w:p>
    <w:p w14:paraId="7DC85283" w14:textId="30B093BB" w:rsidR="00DF4AB2" w:rsidRPr="00E91FAE" w:rsidRDefault="00DF4AB2" w:rsidP="00DF4AB2">
      <w:pPr>
        <w:numPr>
          <w:ilvl w:val="0"/>
          <w:numId w:val="1"/>
        </w:numPr>
        <w:tabs>
          <w:tab w:val="left" w:pos="1418"/>
        </w:tabs>
        <w:spacing w:before="100" w:beforeAutospacing="1" w:after="100" w:afterAutospacing="1" w:line="360" w:lineRule="auto"/>
        <w:ind w:left="1134" w:hanging="283"/>
        <w:jc w:val="both"/>
        <w:rPr>
          <w:rFonts w:eastAsia="Calibri" w:cs="Arial"/>
          <w:sz w:val="24"/>
          <w:szCs w:val="24"/>
        </w:rPr>
      </w:pPr>
      <w:r w:rsidRPr="00E91FAE">
        <w:rPr>
          <w:rFonts w:eastAsia="Calibri" w:cs="Arial"/>
          <w:sz w:val="24"/>
          <w:szCs w:val="24"/>
        </w:rPr>
        <w:t>receitas do Fundo de Apoio Financeiro aos CAU/UF (somente para os CAU/UF</w:t>
      </w:r>
      <w:r w:rsidR="001E6CF7">
        <w:rPr>
          <w:rFonts w:eastAsia="Calibri" w:cs="Arial"/>
          <w:sz w:val="24"/>
          <w:szCs w:val="24"/>
        </w:rPr>
        <w:t xml:space="preserve"> enquadrados como </w:t>
      </w:r>
      <w:r w:rsidRPr="00E91FAE">
        <w:rPr>
          <w:rFonts w:eastAsia="Calibri" w:cs="Arial"/>
          <w:sz w:val="24"/>
          <w:szCs w:val="24"/>
        </w:rPr>
        <w:t>CAU Básico</w:t>
      </w:r>
      <w:r w:rsidR="006D1489">
        <w:rPr>
          <w:rFonts w:eastAsia="Calibri" w:cs="Arial"/>
          <w:sz w:val="24"/>
          <w:szCs w:val="24"/>
        </w:rPr>
        <w:t xml:space="preserve"> e CAU em transição</w:t>
      </w:r>
      <w:r w:rsidRPr="00E91FAE">
        <w:rPr>
          <w:rFonts w:eastAsia="Calibri" w:cs="Arial"/>
          <w:sz w:val="24"/>
          <w:szCs w:val="24"/>
        </w:rPr>
        <w:t>); e</w:t>
      </w:r>
    </w:p>
    <w:p w14:paraId="7DC85284" w14:textId="51419F82" w:rsidR="00DF4AB2" w:rsidRDefault="00DF4AB2" w:rsidP="00DF4AB2">
      <w:pPr>
        <w:numPr>
          <w:ilvl w:val="0"/>
          <w:numId w:val="1"/>
        </w:numPr>
        <w:tabs>
          <w:tab w:val="left" w:pos="1418"/>
        </w:tabs>
        <w:spacing w:before="100" w:beforeAutospacing="1" w:after="100" w:afterAutospacing="1" w:line="360" w:lineRule="auto"/>
        <w:ind w:left="1134" w:hanging="283"/>
        <w:jc w:val="both"/>
        <w:rPr>
          <w:rFonts w:eastAsia="Calibri" w:cs="Arial"/>
          <w:sz w:val="24"/>
          <w:szCs w:val="24"/>
        </w:rPr>
      </w:pPr>
      <w:r w:rsidRPr="00E91FAE">
        <w:rPr>
          <w:rFonts w:eastAsia="Calibri" w:cs="Arial"/>
          <w:sz w:val="24"/>
          <w:szCs w:val="24"/>
        </w:rPr>
        <w:t>outras receitas</w:t>
      </w:r>
      <w:r w:rsidR="001E6CF7">
        <w:rPr>
          <w:rFonts w:eastAsia="Calibri" w:cs="Arial"/>
          <w:sz w:val="24"/>
          <w:szCs w:val="24"/>
        </w:rPr>
        <w:t xml:space="preserve"> correntes</w:t>
      </w:r>
      <w:r w:rsidRPr="00E91FAE">
        <w:rPr>
          <w:rFonts w:eastAsia="Calibri" w:cs="Arial"/>
          <w:sz w:val="24"/>
          <w:szCs w:val="24"/>
        </w:rPr>
        <w:t>.</w:t>
      </w:r>
    </w:p>
    <w:p w14:paraId="7DC85285" w14:textId="3804BF35" w:rsidR="00DF4AB2" w:rsidRPr="00EF2A79" w:rsidRDefault="00DF4AB2" w:rsidP="00DF4AB2">
      <w:pPr>
        <w:tabs>
          <w:tab w:val="left" w:pos="1418"/>
        </w:tabs>
        <w:spacing w:before="100" w:beforeAutospacing="1" w:after="100" w:afterAutospacing="1" w:line="360" w:lineRule="auto"/>
        <w:ind w:left="1134" w:hanging="283"/>
        <w:jc w:val="both"/>
        <w:rPr>
          <w:rFonts w:eastAsia="Calibri" w:cs="Arial"/>
          <w:b/>
          <w:bCs/>
          <w:sz w:val="24"/>
          <w:szCs w:val="24"/>
        </w:rPr>
      </w:pPr>
      <w:r w:rsidRPr="00EF2A79">
        <w:rPr>
          <w:rFonts w:eastAsia="Calibri" w:cs="Arial"/>
          <w:b/>
          <w:bCs/>
          <w:sz w:val="24"/>
          <w:szCs w:val="24"/>
        </w:rPr>
        <w:t>RECEITAS DE CAPITAL</w:t>
      </w:r>
      <w:r w:rsidR="00EF2A79">
        <w:rPr>
          <w:rFonts w:eastAsia="Calibri" w:cs="Arial"/>
          <w:b/>
          <w:bCs/>
          <w:sz w:val="24"/>
          <w:szCs w:val="24"/>
        </w:rPr>
        <w:t>:</w:t>
      </w:r>
    </w:p>
    <w:p w14:paraId="7DC85286" w14:textId="77777777" w:rsidR="00DF4AB2" w:rsidRDefault="00DF4AB2" w:rsidP="00DF4AB2">
      <w:pPr>
        <w:pStyle w:val="PargrafodaLista"/>
        <w:numPr>
          <w:ilvl w:val="0"/>
          <w:numId w:val="3"/>
        </w:numPr>
        <w:tabs>
          <w:tab w:val="left" w:pos="1418"/>
        </w:tabs>
        <w:spacing w:before="100" w:beforeAutospacing="1" w:after="100" w:afterAutospacing="1" w:line="360" w:lineRule="auto"/>
        <w:ind w:left="1134" w:hanging="283"/>
        <w:jc w:val="both"/>
        <w:rPr>
          <w:rFonts w:eastAsia="Calibri" w:cs="Arial"/>
          <w:sz w:val="24"/>
          <w:szCs w:val="24"/>
        </w:rPr>
      </w:pPr>
      <w:r>
        <w:rPr>
          <w:rFonts w:eastAsia="Calibri" w:cs="Arial"/>
          <w:sz w:val="24"/>
          <w:szCs w:val="24"/>
        </w:rPr>
        <w:t>r</w:t>
      </w:r>
      <w:r w:rsidRPr="000F1502">
        <w:rPr>
          <w:rFonts w:eastAsia="Calibri" w:cs="Arial"/>
          <w:sz w:val="24"/>
          <w:szCs w:val="24"/>
        </w:rPr>
        <w:t>eceitas de exercícios anteriores (superávit financeiro); e</w:t>
      </w:r>
    </w:p>
    <w:p w14:paraId="7DC85287" w14:textId="77777777" w:rsidR="00DF4AB2" w:rsidRDefault="00DF4AB2" w:rsidP="00DF4AB2">
      <w:pPr>
        <w:pStyle w:val="PargrafodaLista"/>
        <w:numPr>
          <w:ilvl w:val="0"/>
          <w:numId w:val="3"/>
        </w:numPr>
        <w:tabs>
          <w:tab w:val="left" w:pos="1418"/>
        </w:tabs>
        <w:spacing w:before="100" w:beforeAutospacing="1" w:after="100" w:afterAutospacing="1" w:line="360" w:lineRule="auto"/>
        <w:ind w:left="1134" w:hanging="283"/>
        <w:jc w:val="both"/>
        <w:rPr>
          <w:rFonts w:eastAsia="Calibri" w:cs="Arial"/>
          <w:sz w:val="24"/>
          <w:szCs w:val="24"/>
        </w:rPr>
      </w:pPr>
      <w:r>
        <w:rPr>
          <w:rFonts w:eastAsia="Calibri" w:cs="Arial"/>
          <w:sz w:val="24"/>
          <w:szCs w:val="24"/>
        </w:rPr>
        <w:t>o</w:t>
      </w:r>
      <w:r w:rsidRPr="00ED1B2C">
        <w:rPr>
          <w:rFonts w:eastAsia="Calibri" w:cs="Arial"/>
          <w:sz w:val="24"/>
          <w:szCs w:val="24"/>
        </w:rPr>
        <w:t>utras receitas de capital.</w:t>
      </w:r>
    </w:p>
    <w:p w14:paraId="7DC85288" w14:textId="77777777" w:rsidR="00DF4AB2" w:rsidRPr="00ED1B2C" w:rsidRDefault="00DF4AB2" w:rsidP="005D2618">
      <w:pPr>
        <w:pStyle w:val="PargrafodaLista"/>
        <w:tabs>
          <w:tab w:val="left" w:pos="1418"/>
        </w:tabs>
        <w:spacing w:after="0" w:line="360" w:lineRule="auto"/>
        <w:ind w:left="1211"/>
        <w:jc w:val="both"/>
        <w:rPr>
          <w:rFonts w:eastAsia="Calibri" w:cs="Arial"/>
          <w:sz w:val="24"/>
          <w:szCs w:val="24"/>
        </w:rPr>
      </w:pPr>
    </w:p>
    <w:p w14:paraId="7DC85289" w14:textId="0CDAF232" w:rsidR="00DF4AB2" w:rsidRPr="00800B1B" w:rsidRDefault="00666471" w:rsidP="00CC6FA0">
      <w:pPr>
        <w:pStyle w:val="Ttulo3"/>
        <w:ind w:left="851" w:firstLine="0"/>
        <w:rPr>
          <w:rFonts w:eastAsia="Arial Unicode MS"/>
          <w:color w:val="612141"/>
        </w:rPr>
      </w:pPr>
      <w:bookmarkStart w:id="56" w:name="_Toc487558915"/>
      <w:bookmarkStart w:id="57" w:name="_Toc487559016"/>
      <w:bookmarkStart w:id="58" w:name="_Toc147404342"/>
      <w:r>
        <w:rPr>
          <w:rFonts w:eastAsia="Arial Unicode MS"/>
          <w:color w:val="612141"/>
        </w:rPr>
        <w:t>Projeção dos Quantitativos de Profissionais, Empresas e RRT</w:t>
      </w:r>
      <w:bookmarkEnd w:id="56"/>
      <w:bookmarkEnd w:id="57"/>
      <w:bookmarkEnd w:id="58"/>
    </w:p>
    <w:p w14:paraId="7DC8528A" w14:textId="4A014024" w:rsidR="00DF4AB2" w:rsidRDefault="00532DB8" w:rsidP="00C65A75">
      <w:pPr>
        <w:spacing w:line="360" w:lineRule="auto"/>
        <w:ind w:firstLine="851"/>
        <w:jc w:val="both"/>
        <w:rPr>
          <w:rFonts w:eastAsia="Arial Unicode MS" w:cs="Calibri"/>
          <w:color w:val="000000" w:themeColor="text1"/>
          <w:sz w:val="24"/>
          <w:szCs w:val="24"/>
        </w:rPr>
      </w:pPr>
      <w:r w:rsidRPr="006D1489">
        <w:rPr>
          <w:rFonts w:eastAsia="Arial Unicode MS" w:cs="Calibri"/>
          <w:sz w:val="24"/>
          <w:szCs w:val="24"/>
        </w:rPr>
        <w:t xml:space="preserve">Considerando </w:t>
      </w:r>
      <w:r w:rsidR="00BE322E" w:rsidRPr="006D1489">
        <w:rPr>
          <w:rFonts w:eastAsia="Arial Unicode MS" w:cs="Calibri"/>
          <w:sz w:val="24"/>
          <w:szCs w:val="24"/>
        </w:rPr>
        <w:t>a</w:t>
      </w:r>
      <w:r w:rsidR="006D1489">
        <w:rPr>
          <w:rFonts w:eastAsia="Arial Unicode MS" w:cs="Calibri"/>
          <w:sz w:val="24"/>
          <w:szCs w:val="24"/>
        </w:rPr>
        <w:t xml:space="preserve"> retomada do desempenho</w:t>
      </w:r>
      <w:r w:rsidR="00EA12D9" w:rsidRPr="006D1489">
        <w:rPr>
          <w:rFonts w:eastAsia="Arial Unicode MS" w:cs="Calibri"/>
          <w:sz w:val="24"/>
          <w:szCs w:val="24"/>
        </w:rPr>
        <w:t xml:space="preserve"> da construção civil, diante</w:t>
      </w:r>
      <w:r w:rsidR="00C65A75" w:rsidRPr="006D1489">
        <w:rPr>
          <w:rFonts w:eastAsia="Arial Unicode MS" w:cs="Calibri"/>
          <w:sz w:val="24"/>
          <w:szCs w:val="24"/>
        </w:rPr>
        <w:t xml:space="preserve"> </w:t>
      </w:r>
      <w:r w:rsidR="008119B7" w:rsidRPr="006D1489">
        <w:rPr>
          <w:rFonts w:eastAsia="Arial Unicode MS" w:cs="Calibri"/>
          <w:color w:val="000000" w:themeColor="text1"/>
          <w:sz w:val="24"/>
          <w:szCs w:val="24"/>
        </w:rPr>
        <w:t xml:space="preserve">a um cenário </w:t>
      </w:r>
      <w:r w:rsidR="006D1489">
        <w:rPr>
          <w:rFonts w:eastAsia="Arial Unicode MS" w:cs="Calibri"/>
          <w:color w:val="000000" w:themeColor="text1"/>
          <w:sz w:val="24"/>
          <w:szCs w:val="24"/>
        </w:rPr>
        <w:t xml:space="preserve">instável </w:t>
      </w:r>
      <w:r w:rsidR="00B47B37" w:rsidRPr="006D1489">
        <w:rPr>
          <w:rFonts w:eastAsia="Arial Unicode MS" w:cs="Calibri"/>
          <w:color w:val="000000" w:themeColor="text1"/>
          <w:sz w:val="24"/>
          <w:szCs w:val="24"/>
        </w:rPr>
        <w:t>na economia global</w:t>
      </w:r>
      <w:r w:rsidR="007C30F9" w:rsidRPr="006D1489">
        <w:rPr>
          <w:rFonts w:eastAsia="Arial Unicode MS" w:cs="Calibri"/>
          <w:color w:val="000000" w:themeColor="text1"/>
          <w:sz w:val="24"/>
          <w:szCs w:val="24"/>
        </w:rPr>
        <w:t>, inflação, altas taxas de juros</w:t>
      </w:r>
      <w:r w:rsidR="00DA5CAA" w:rsidRPr="006D1489">
        <w:rPr>
          <w:rFonts w:eastAsia="Arial Unicode MS" w:cs="Calibri"/>
          <w:color w:val="000000" w:themeColor="text1"/>
          <w:sz w:val="24"/>
          <w:szCs w:val="24"/>
        </w:rPr>
        <w:t xml:space="preserve"> </w:t>
      </w:r>
      <w:r w:rsidR="00B47B37" w:rsidRPr="006D1489">
        <w:rPr>
          <w:rFonts w:eastAsia="Arial Unicode MS" w:cs="Calibri"/>
          <w:color w:val="000000" w:themeColor="text1"/>
          <w:sz w:val="24"/>
          <w:szCs w:val="24"/>
        </w:rPr>
        <w:t xml:space="preserve">e gargalos nas cadeias de produção após o impacto da pandemia, </w:t>
      </w:r>
      <w:r w:rsidR="00DF4AB2" w:rsidRPr="006D1489">
        <w:rPr>
          <w:rFonts w:eastAsia="Arial Unicode MS" w:cs="Calibri"/>
          <w:color w:val="000000" w:themeColor="text1"/>
          <w:sz w:val="24"/>
          <w:szCs w:val="24"/>
        </w:rPr>
        <w:t xml:space="preserve">os índices de crescimento se apresentam </w:t>
      </w:r>
      <w:r w:rsidR="00B363EA" w:rsidRPr="006D1489">
        <w:rPr>
          <w:rFonts w:eastAsia="Arial Unicode MS" w:cs="Calibri"/>
          <w:color w:val="000000" w:themeColor="text1"/>
          <w:sz w:val="24"/>
          <w:szCs w:val="24"/>
        </w:rPr>
        <w:t xml:space="preserve">com </w:t>
      </w:r>
      <w:r w:rsidR="00DF4AB2" w:rsidRPr="006D1489">
        <w:rPr>
          <w:rFonts w:eastAsia="Arial Unicode MS" w:cs="Calibri"/>
          <w:color w:val="000000" w:themeColor="text1"/>
          <w:sz w:val="24"/>
          <w:szCs w:val="24"/>
        </w:rPr>
        <w:t>variações</w:t>
      </w:r>
      <w:r w:rsidR="00B363EA" w:rsidRPr="006D1489">
        <w:rPr>
          <w:rFonts w:eastAsia="Arial Unicode MS" w:cs="Calibri"/>
          <w:color w:val="000000" w:themeColor="text1"/>
          <w:sz w:val="24"/>
          <w:szCs w:val="24"/>
        </w:rPr>
        <w:t xml:space="preserve"> conservadoras.</w:t>
      </w:r>
      <w:r w:rsidR="002352AD">
        <w:rPr>
          <w:rFonts w:eastAsia="Arial Unicode MS" w:cs="Calibri"/>
          <w:color w:val="000000" w:themeColor="text1"/>
          <w:sz w:val="24"/>
          <w:szCs w:val="24"/>
        </w:rPr>
        <w:t xml:space="preserve"> </w:t>
      </w:r>
    </w:p>
    <w:p w14:paraId="6707A0F3" w14:textId="29DB59D7" w:rsidR="001E6CF7" w:rsidRDefault="001E6CF7" w:rsidP="0076077D">
      <w:pPr>
        <w:spacing w:line="360" w:lineRule="auto"/>
        <w:ind w:firstLine="851"/>
        <w:jc w:val="both"/>
        <w:rPr>
          <w:sz w:val="24"/>
          <w:szCs w:val="24"/>
        </w:rPr>
      </w:pPr>
      <w:r>
        <w:rPr>
          <w:rFonts w:eastAsia="Arial Unicode MS" w:cs="Calibri"/>
          <w:color w:val="000000" w:themeColor="text1"/>
          <w:sz w:val="24"/>
          <w:szCs w:val="24"/>
        </w:rPr>
        <w:t xml:space="preserve">Utilizamos, como parâmetro, as estimativas para </w:t>
      </w:r>
      <w:r w:rsidR="0076077D" w:rsidRPr="001E6CF7">
        <w:rPr>
          <w:rFonts w:eastAsia="Arial Unicode MS" w:cs="Calibri"/>
          <w:color w:val="000000" w:themeColor="text1"/>
          <w:sz w:val="24"/>
          <w:szCs w:val="24"/>
        </w:rPr>
        <w:t>o INPC (Índice Nacional de Preços ao Consumidor)</w:t>
      </w:r>
      <w:r>
        <w:rPr>
          <w:rFonts w:eastAsia="Arial Unicode MS" w:cs="Calibri"/>
          <w:color w:val="000000" w:themeColor="text1"/>
          <w:sz w:val="24"/>
          <w:szCs w:val="24"/>
        </w:rPr>
        <w:t xml:space="preserve"> </w:t>
      </w:r>
      <w:r w:rsidR="0076077D" w:rsidRPr="001E6CF7">
        <w:rPr>
          <w:sz w:val="24"/>
          <w:szCs w:val="24"/>
        </w:rPr>
        <w:t>referente</w:t>
      </w:r>
      <w:r>
        <w:rPr>
          <w:sz w:val="24"/>
          <w:szCs w:val="24"/>
        </w:rPr>
        <w:t>s</w:t>
      </w:r>
      <w:r w:rsidR="0076077D" w:rsidRPr="001E6CF7">
        <w:rPr>
          <w:sz w:val="24"/>
          <w:szCs w:val="24"/>
        </w:rPr>
        <w:t xml:space="preserve"> ao período compreendido entre o mês de dezembro</w:t>
      </w:r>
      <w:r w:rsidR="006D1489">
        <w:rPr>
          <w:sz w:val="24"/>
          <w:szCs w:val="24"/>
        </w:rPr>
        <w:t xml:space="preserve"> 2022</w:t>
      </w:r>
      <w:r w:rsidR="0076077D" w:rsidRPr="001E6CF7">
        <w:rPr>
          <w:sz w:val="24"/>
          <w:szCs w:val="24"/>
        </w:rPr>
        <w:t xml:space="preserve"> </w:t>
      </w:r>
      <w:r w:rsidR="006D1489">
        <w:rPr>
          <w:sz w:val="24"/>
          <w:szCs w:val="24"/>
        </w:rPr>
        <w:t>a</w:t>
      </w:r>
      <w:r w:rsidR="0076077D" w:rsidRPr="001E6CF7">
        <w:rPr>
          <w:sz w:val="24"/>
          <w:szCs w:val="24"/>
        </w:rPr>
        <w:t xml:space="preserve"> novembro </w:t>
      </w:r>
      <w:r w:rsidR="006D1489">
        <w:rPr>
          <w:sz w:val="24"/>
          <w:szCs w:val="24"/>
        </w:rPr>
        <w:t xml:space="preserve"> 2023, </w:t>
      </w:r>
      <w:r w:rsidR="0076077D" w:rsidRPr="001E6CF7">
        <w:rPr>
          <w:rFonts w:eastAsia="Arial Unicode MS" w:cs="Calibri"/>
          <w:color w:val="000000" w:themeColor="text1"/>
          <w:sz w:val="24"/>
          <w:szCs w:val="24"/>
        </w:rPr>
        <w:t xml:space="preserve">conforme a </w:t>
      </w:r>
      <w:hyperlink r:id="rId17" w:history="1">
        <w:r w:rsidR="00086D54" w:rsidRPr="001E6CF7">
          <w:rPr>
            <w:rStyle w:val="Hyperlink"/>
            <w:rFonts w:eastAsia="Arial Unicode MS" w:cs="Calibri"/>
            <w:sz w:val="24"/>
            <w:szCs w:val="24"/>
          </w:rPr>
          <w:t>Lei</w:t>
        </w:r>
        <w:r w:rsidR="00451270" w:rsidRPr="001E6CF7">
          <w:rPr>
            <w:rStyle w:val="Hyperlink"/>
            <w:rFonts w:eastAsia="Arial Unicode MS" w:cs="Calibri"/>
            <w:sz w:val="24"/>
            <w:szCs w:val="24"/>
          </w:rPr>
          <w:t xml:space="preserve"> nº 12.378</w:t>
        </w:r>
      </w:hyperlink>
      <w:r w:rsidR="00451270" w:rsidRPr="001E6CF7">
        <w:rPr>
          <w:rFonts w:eastAsia="Arial Unicode MS" w:cs="Calibri"/>
          <w:color w:val="000000" w:themeColor="text1"/>
          <w:sz w:val="24"/>
          <w:szCs w:val="24"/>
        </w:rPr>
        <w:t xml:space="preserve">, de 31 de dezembro de 2010, </w:t>
      </w:r>
      <w:r w:rsidR="00086D54" w:rsidRPr="001E6CF7">
        <w:rPr>
          <w:rFonts w:eastAsia="Arial Unicode MS" w:cs="Calibri"/>
          <w:color w:val="000000" w:themeColor="text1"/>
          <w:sz w:val="24"/>
          <w:szCs w:val="24"/>
        </w:rPr>
        <w:t>art.4</w:t>
      </w:r>
      <w:r w:rsidR="002E7D94">
        <w:rPr>
          <w:rFonts w:eastAsia="Arial Unicode MS" w:cs="Calibri"/>
          <w:color w:val="000000" w:themeColor="text1"/>
          <w:sz w:val="24"/>
          <w:szCs w:val="24"/>
        </w:rPr>
        <w:t>2</w:t>
      </w:r>
      <w:r>
        <w:rPr>
          <w:rStyle w:val="Refdenotaderodap"/>
          <w:rFonts w:eastAsia="Arial Unicode MS" w:cs="Calibri"/>
          <w:color w:val="000000" w:themeColor="text1"/>
          <w:sz w:val="24"/>
          <w:szCs w:val="24"/>
        </w:rPr>
        <w:footnoteReference w:id="1"/>
      </w:r>
      <w:r w:rsidR="00451270" w:rsidRPr="001E6CF7">
        <w:rPr>
          <w:sz w:val="24"/>
          <w:szCs w:val="24"/>
        </w:rPr>
        <w:t xml:space="preserve"> </w:t>
      </w:r>
      <w:r w:rsidR="002E7D94">
        <w:rPr>
          <w:sz w:val="24"/>
          <w:szCs w:val="24"/>
        </w:rPr>
        <w:t>e Resolução nº 3, de 15 de dezembro de 2011.</w:t>
      </w:r>
    </w:p>
    <w:p w14:paraId="7A036010" w14:textId="6FCE3C68" w:rsidR="0076077D" w:rsidRPr="00855F9D" w:rsidRDefault="0076077D" w:rsidP="0076077D">
      <w:pPr>
        <w:spacing w:line="360" w:lineRule="auto"/>
        <w:ind w:firstLine="851"/>
        <w:jc w:val="both"/>
        <w:rPr>
          <w:rFonts w:eastAsia="Arial Unicode MS" w:cs="Calibri"/>
          <w:sz w:val="24"/>
          <w:szCs w:val="24"/>
        </w:rPr>
      </w:pPr>
      <w:r w:rsidRPr="001E6CF7">
        <w:rPr>
          <w:rFonts w:eastAsia="Arial Unicode MS" w:cs="Calibri"/>
          <w:color w:val="000000" w:themeColor="text1"/>
          <w:sz w:val="24"/>
          <w:szCs w:val="24"/>
        </w:rPr>
        <w:t xml:space="preserve">Nesse contexto e, observando a política atual, o CAU adotou o </w:t>
      </w:r>
      <w:r w:rsidRPr="001E6CF7">
        <w:rPr>
          <w:rFonts w:eastAsia="Arial Unicode MS" w:cs="Calibri"/>
          <w:b/>
          <w:color w:val="000000" w:themeColor="text1"/>
          <w:sz w:val="24"/>
          <w:szCs w:val="24"/>
        </w:rPr>
        <w:t>índice do INPC</w:t>
      </w:r>
      <w:r w:rsidRPr="001E6CF7">
        <w:rPr>
          <w:rFonts w:eastAsia="Arial Unicode MS" w:cs="Calibri"/>
          <w:color w:val="000000" w:themeColor="text1"/>
          <w:sz w:val="24"/>
          <w:szCs w:val="24"/>
        </w:rPr>
        <w:t xml:space="preserve"> observando a </w:t>
      </w:r>
      <w:r w:rsidR="006D1489">
        <w:rPr>
          <w:rFonts w:eastAsia="Arial Unicode MS" w:cs="Calibri"/>
          <w:color w:val="000000" w:themeColor="text1"/>
          <w:sz w:val="24"/>
          <w:szCs w:val="24"/>
        </w:rPr>
        <w:t>projeção</w:t>
      </w:r>
      <w:r w:rsidRPr="001E6CF7">
        <w:rPr>
          <w:rFonts w:eastAsia="Arial Unicode MS" w:cs="Calibri"/>
          <w:color w:val="000000" w:themeColor="text1"/>
          <w:sz w:val="24"/>
          <w:szCs w:val="24"/>
        </w:rPr>
        <w:t xml:space="preserve"> </w:t>
      </w:r>
      <w:r w:rsidRPr="00855F9D">
        <w:rPr>
          <w:rFonts w:eastAsia="Arial Unicode MS" w:cs="Calibri"/>
          <w:sz w:val="24"/>
          <w:szCs w:val="24"/>
        </w:rPr>
        <w:t>de</w:t>
      </w:r>
      <w:r w:rsidRPr="00855F9D">
        <w:rPr>
          <w:rFonts w:eastAsia="Arial Unicode MS" w:cs="Calibri"/>
          <w:b/>
          <w:sz w:val="24"/>
          <w:szCs w:val="24"/>
        </w:rPr>
        <w:t xml:space="preserve"> </w:t>
      </w:r>
      <w:r w:rsidR="00126546" w:rsidRPr="00855F9D">
        <w:rPr>
          <w:rFonts w:eastAsia="Arial Unicode MS" w:cs="Calibri"/>
          <w:b/>
          <w:sz w:val="24"/>
          <w:szCs w:val="24"/>
          <w:shd w:val="clear" w:color="auto" w:fill="FFFFFF" w:themeFill="background1"/>
        </w:rPr>
        <w:t>4</w:t>
      </w:r>
      <w:r w:rsidRPr="00855F9D">
        <w:rPr>
          <w:rFonts w:eastAsia="Arial Unicode MS" w:cs="Calibri"/>
          <w:b/>
          <w:sz w:val="24"/>
          <w:szCs w:val="24"/>
          <w:shd w:val="clear" w:color="auto" w:fill="FFFFFF" w:themeFill="background1"/>
        </w:rPr>
        <w:t>,</w:t>
      </w:r>
      <w:r w:rsidR="00126546" w:rsidRPr="00855F9D">
        <w:rPr>
          <w:rFonts w:eastAsia="Arial Unicode MS" w:cs="Calibri"/>
          <w:b/>
          <w:sz w:val="24"/>
          <w:szCs w:val="24"/>
          <w:shd w:val="clear" w:color="auto" w:fill="FFFFFF" w:themeFill="background1"/>
        </w:rPr>
        <w:t>0</w:t>
      </w:r>
      <w:r w:rsidRPr="00855F9D">
        <w:rPr>
          <w:rFonts w:eastAsia="Arial Unicode MS" w:cs="Calibri"/>
          <w:b/>
          <w:sz w:val="24"/>
          <w:szCs w:val="24"/>
          <w:shd w:val="clear" w:color="auto" w:fill="FFFFFF" w:themeFill="background1"/>
        </w:rPr>
        <w:t>%</w:t>
      </w:r>
      <w:r w:rsidRPr="00855F9D">
        <w:rPr>
          <w:rFonts w:eastAsia="Arial Unicode MS" w:cs="Calibri"/>
          <w:sz w:val="24"/>
          <w:szCs w:val="24"/>
        </w:rPr>
        <w:t xml:space="preserve"> para corrigir os valores de anuidades, RRT e demais taxas que vierem a ser cobradas pelo Conselho no exercício de 202</w:t>
      </w:r>
      <w:r w:rsidR="00126546" w:rsidRPr="00855F9D">
        <w:rPr>
          <w:rFonts w:eastAsia="Arial Unicode MS" w:cs="Calibri"/>
          <w:sz w:val="24"/>
          <w:szCs w:val="24"/>
        </w:rPr>
        <w:t>4</w:t>
      </w:r>
      <w:r w:rsidRPr="00855F9D">
        <w:rPr>
          <w:rFonts w:eastAsia="Arial Unicode MS" w:cs="Calibri"/>
          <w:sz w:val="24"/>
          <w:szCs w:val="24"/>
        </w:rPr>
        <w:t>.</w:t>
      </w:r>
      <w:r w:rsidR="001F3D85" w:rsidRPr="00855F9D">
        <w:rPr>
          <w:rFonts w:eastAsia="Arial Unicode MS" w:cs="Calibri"/>
          <w:sz w:val="24"/>
          <w:szCs w:val="24"/>
        </w:rPr>
        <w:t xml:space="preserve"> </w:t>
      </w:r>
    </w:p>
    <w:p w14:paraId="4A7A3BC7" w14:textId="2B615538" w:rsidR="00A60A9F" w:rsidRPr="00855F9D" w:rsidRDefault="00A60A9F" w:rsidP="0076077D">
      <w:pPr>
        <w:spacing w:line="360" w:lineRule="auto"/>
        <w:ind w:firstLine="851"/>
        <w:jc w:val="both"/>
        <w:rPr>
          <w:rFonts w:eastAsia="Arial Unicode MS" w:cs="Calibri"/>
          <w:sz w:val="24"/>
          <w:szCs w:val="24"/>
        </w:rPr>
      </w:pPr>
      <w:r w:rsidRPr="00855F9D">
        <w:rPr>
          <w:rFonts w:eastAsia="Arial Unicode MS" w:cs="Calibri"/>
          <w:sz w:val="24"/>
          <w:szCs w:val="24"/>
        </w:rPr>
        <w:t>Vale ressaltar que</w:t>
      </w:r>
      <w:r w:rsidR="001E6CF7" w:rsidRPr="00855F9D">
        <w:rPr>
          <w:rFonts w:eastAsia="Arial Unicode MS" w:cs="Calibri"/>
          <w:sz w:val="24"/>
          <w:szCs w:val="24"/>
        </w:rPr>
        <w:t xml:space="preserve"> todas as projeções, quantitativas e financeiras, </w:t>
      </w:r>
      <w:r w:rsidR="00496F90" w:rsidRPr="00855F9D">
        <w:rPr>
          <w:rFonts w:eastAsia="Arial Unicode MS" w:cs="Calibri"/>
          <w:sz w:val="24"/>
          <w:szCs w:val="24"/>
        </w:rPr>
        <w:t>constantes n</w:t>
      </w:r>
      <w:r w:rsidR="001E6CF7" w:rsidRPr="00855F9D">
        <w:rPr>
          <w:rFonts w:eastAsia="Arial Unicode MS" w:cs="Calibri"/>
          <w:sz w:val="24"/>
          <w:szCs w:val="24"/>
        </w:rPr>
        <w:t>os anexos</w:t>
      </w:r>
      <w:r w:rsidR="00496F90" w:rsidRPr="00855F9D">
        <w:rPr>
          <w:rFonts w:eastAsia="Arial Unicode MS" w:cs="Calibri"/>
          <w:sz w:val="24"/>
          <w:szCs w:val="24"/>
        </w:rPr>
        <w:t xml:space="preserve"> e aprovadas na 1</w:t>
      </w:r>
      <w:r w:rsidR="00266DC2" w:rsidRPr="00855F9D">
        <w:rPr>
          <w:rFonts w:eastAsia="Arial Unicode MS" w:cs="Calibri"/>
          <w:sz w:val="24"/>
          <w:szCs w:val="24"/>
        </w:rPr>
        <w:t>40</w:t>
      </w:r>
      <w:r w:rsidR="00496F90" w:rsidRPr="00855F9D">
        <w:rPr>
          <w:rFonts w:eastAsia="Arial Unicode MS" w:cs="Calibri"/>
          <w:sz w:val="24"/>
          <w:szCs w:val="24"/>
        </w:rPr>
        <w:t>ª Reunião Plenária do CAU/BR</w:t>
      </w:r>
      <w:r w:rsidR="001E6CF7" w:rsidRPr="00855F9D">
        <w:rPr>
          <w:rFonts w:eastAsia="Arial Unicode MS" w:cs="Calibri"/>
          <w:sz w:val="24"/>
          <w:szCs w:val="24"/>
        </w:rPr>
        <w:t xml:space="preserve">, foram previamente analisadas e validadas pelos CAU/UF. </w:t>
      </w:r>
      <w:r w:rsidR="00496F90" w:rsidRPr="00855F9D">
        <w:rPr>
          <w:rFonts w:eastAsia="Arial Unicode MS" w:cs="Calibri"/>
          <w:sz w:val="24"/>
          <w:szCs w:val="24"/>
        </w:rPr>
        <w:t xml:space="preserve">A cada CAU/UF foi franqueada a oportunidade de, com AUTONOMIA e RESPONSABILIDADE, estimar receitas dentro de suas reais perspectivas de arrecadação, considerando os diferentes cenários locais. </w:t>
      </w:r>
      <w:r w:rsidR="006D1489" w:rsidRPr="00855F9D">
        <w:rPr>
          <w:rFonts w:eastAsia="Arial Unicode MS" w:cs="Calibri"/>
          <w:sz w:val="24"/>
          <w:szCs w:val="24"/>
        </w:rPr>
        <w:t>A</w:t>
      </w:r>
      <w:r w:rsidR="00496F90" w:rsidRPr="00855F9D">
        <w:rPr>
          <w:rFonts w:eastAsia="Arial Unicode MS" w:cs="Calibri"/>
          <w:sz w:val="24"/>
          <w:szCs w:val="24"/>
        </w:rPr>
        <w:t xml:space="preserve">s solicitações de </w:t>
      </w:r>
      <w:r w:rsidRPr="00855F9D">
        <w:rPr>
          <w:rFonts w:eastAsia="Arial Unicode MS" w:cs="Calibri"/>
          <w:sz w:val="24"/>
          <w:szCs w:val="24"/>
        </w:rPr>
        <w:t xml:space="preserve">ajustes </w:t>
      </w:r>
      <w:r w:rsidR="006D1489" w:rsidRPr="00855F9D">
        <w:rPr>
          <w:rFonts w:eastAsia="Arial Unicode MS" w:cs="Calibri"/>
          <w:sz w:val="24"/>
          <w:szCs w:val="24"/>
        </w:rPr>
        <w:t xml:space="preserve">feitas pelos CAU/AM, DF, GO, PR, PE, PI, RN, RO e SP, </w:t>
      </w:r>
      <w:r w:rsidR="00496F90" w:rsidRPr="00855F9D">
        <w:rPr>
          <w:rFonts w:eastAsia="Arial Unicode MS" w:cs="Calibri"/>
          <w:sz w:val="24"/>
          <w:szCs w:val="24"/>
        </w:rPr>
        <w:t xml:space="preserve">foram acatadas pela Gerência de Planejamento. </w:t>
      </w:r>
    </w:p>
    <w:p w14:paraId="7DC8528F" w14:textId="494FB712" w:rsidR="00DF4AB2" w:rsidRDefault="00DF4AB2" w:rsidP="007820E4">
      <w:pPr>
        <w:spacing w:line="360" w:lineRule="auto"/>
        <w:ind w:firstLine="851"/>
        <w:jc w:val="both"/>
        <w:rPr>
          <w:rFonts w:eastAsia="Arial Unicode MS" w:cs="Calibri"/>
          <w:color w:val="000000" w:themeColor="text1"/>
          <w:sz w:val="24"/>
          <w:szCs w:val="24"/>
        </w:rPr>
      </w:pPr>
      <w:r w:rsidRPr="00855F9D">
        <w:rPr>
          <w:rFonts w:eastAsia="Arial Unicode MS" w:cs="Calibri"/>
          <w:sz w:val="24"/>
          <w:szCs w:val="24"/>
        </w:rPr>
        <w:t xml:space="preserve">Os valores </w:t>
      </w:r>
      <w:r w:rsidR="00496F90" w:rsidRPr="00855F9D">
        <w:rPr>
          <w:rFonts w:eastAsia="Arial Unicode MS" w:cs="Calibri"/>
          <w:sz w:val="24"/>
          <w:szCs w:val="24"/>
        </w:rPr>
        <w:t xml:space="preserve">de Anuidade e RRT </w:t>
      </w:r>
      <w:r w:rsidRPr="00855F9D">
        <w:rPr>
          <w:rFonts w:eastAsia="Arial Unicode MS" w:cs="Calibri"/>
          <w:sz w:val="24"/>
          <w:szCs w:val="24"/>
        </w:rPr>
        <w:t>previstos para 202</w:t>
      </w:r>
      <w:r w:rsidR="00126546" w:rsidRPr="00855F9D">
        <w:rPr>
          <w:rFonts w:eastAsia="Arial Unicode MS" w:cs="Calibri"/>
          <w:sz w:val="24"/>
          <w:szCs w:val="24"/>
        </w:rPr>
        <w:t>4</w:t>
      </w:r>
      <w:r w:rsidRPr="00855F9D">
        <w:rPr>
          <w:rFonts w:eastAsia="Arial Unicode MS" w:cs="Calibri"/>
          <w:sz w:val="24"/>
          <w:szCs w:val="24"/>
        </w:rPr>
        <w:t xml:space="preserve"> a </w:t>
      </w:r>
      <w:r w:rsidRPr="003C2FC6">
        <w:rPr>
          <w:rFonts w:eastAsia="Arial Unicode MS" w:cs="Calibri"/>
          <w:sz w:val="24"/>
          <w:szCs w:val="24"/>
        </w:rPr>
        <w:t xml:space="preserve">serem utilizados pelo CAU </w:t>
      </w:r>
      <w:r w:rsidRPr="00B20A5D">
        <w:rPr>
          <w:rFonts w:eastAsia="Arial Unicode MS" w:cs="Calibri"/>
          <w:color w:val="000000" w:themeColor="text1"/>
          <w:sz w:val="24"/>
          <w:szCs w:val="24"/>
        </w:rPr>
        <w:t>na projeção de suas receitas, estão apresentados no Quadro 0</w:t>
      </w:r>
      <w:r w:rsidR="001F3D85">
        <w:rPr>
          <w:rFonts w:eastAsia="Arial Unicode MS" w:cs="Calibri"/>
          <w:color w:val="000000" w:themeColor="text1"/>
          <w:sz w:val="24"/>
          <w:szCs w:val="24"/>
        </w:rPr>
        <w:t>1</w:t>
      </w:r>
      <w:r w:rsidRPr="00B20A5D">
        <w:rPr>
          <w:rFonts w:eastAsia="Arial Unicode MS" w:cs="Calibri"/>
          <w:color w:val="000000" w:themeColor="text1"/>
          <w:sz w:val="24"/>
          <w:szCs w:val="24"/>
        </w:rPr>
        <w:t>:</w:t>
      </w:r>
    </w:p>
    <w:p w14:paraId="7DD3193B" w14:textId="6427F23A" w:rsidR="00532DB8" w:rsidRDefault="00073350" w:rsidP="002054DA">
      <w:pPr>
        <w:pStyle w:val="Ttulo5"/>
        <w:ind w:right="-1"/>
        <w:rPr>
          <w:rStyle w:val="TtulodoLivro"/>
          <w:b/>
          <w:bCs w:val="0"/>
          <w:i w:val="0"/>
          <w:iCs w:val="0"/>
          <w:color w:val="auto"/>
          <w:spacing w:val="0"/>
        </w:rPr>
      </w:pPr>
      <w:bookmarkStart w:id="59" w:name="_Toc83716307"/>
      <w:r w:rsidRPr="00613F26">
        <w:rPr>
          <w:rStyle w:val="TtulodoLivro"/>
          <w:b/>
          <w:bCs w:val="0"/>
          <w:i w:val="0"/>
          <w:iCs w:val="0"/>
          <w:color w:val="auto"/>
          <w:spacing w:val="0"/>
        </w:rPr>
        <w:t xml:space="preserve">Quadro </w:t>
      </w:r>
      <w:r w:rsidR="00BA0A88" w:rsidRPr="00613F26">
        <w:rPr>
          <w:rStyle w:val="TtulodoLivro"/>
          <w:b/>
          <w:bCs w:val="0"/>
          <w:i w:val="0"/>
          <w:iCs w:val="0"/>
          <w:color w:val="auto"/>
          <w:spacing w:val="0"/>
        </w:rPr>
        <w:t>1</w:t>
      </w:r>
      <w:r w:rsidRPr="00613F26">
        <w:rPr>
          <w:rStyle w:val="TtulodoLivro"/>
          <w:b/>
          <w:bCs w:val="0"/>
          <w:i w:val="0"/>
          <w:iCs w:val="0"/>
          <w:color w:val="auto"/>
          <w:spacing w:val="0"/>
        </w:rPr>
        <w:t xml:space="preserve"> –</w:t>
      </w:r>
      <w:r w:rsidR="00527515" w:rsidRPr="00613F26">
        <w:rPr>
          <w:rStyle w:val="TtulodoLivro"/>
          <w:b/>
          <w:bCs w:val="0"/>
          <w:i w:val="0"/>
          <w:iCs w:val="0"/>
          <w:color w:val="auto"/>
          <w:spacing w:val="0"/>
        </w:rPr>
        <w:t xml:space="preserve"> Valor de a</w:t>
      </w:r>
      <w:r w:rsidR="003D3D0A" w:rsidRPr="00613F26">
        <w:rPr>
          <w:rStyle w:val="TtulodoLivro"/>
          <w:b/>
          <w:bCs w:val="0"/>
          <w:i w:val="0"/>
          <w:iCs w:val="0"/>
          <w:color w:val="auto"/>
          <w:spacing w:val="0"/>
        </w:rPr>
        <w:t xml:space="preserve">nuidade e RRT - </w:t>
      </w:r>
      <w:r w:rsidR="00870AEF" w:rsidRPr="00613F26">
        <w:rPr>
          <w:rStyle w:val="TtulodoLivro"/>
          <w:b/>
          <w:bCs w:val="0"/>
          <w:i w:val="0"/>
          <w:iCs w:val="0"/>
          <w:color w:val="auto"/>
          <w:spacing w:val="0"/>
        </w:rPr>
        <w:t>Rep</w:t>
      </w:r>
      <w:r w:rsidR="003D3D0A" w:rsidRPr="00613F26">
        <w:rPr>
          <w:rStyle w:val="TtulodoLivro"/>
          <w:b/>
          <w:bCs w:val="0"/>
          <w:i w:val="0"/>
          <w:iCs w:val="0"/>
          <w:color w:val="auto"/>
          <w:spacing w:val="0"/>
        </w:rPr>
        <w:t xml:space="preserve">rogramação </w:t>
      </w:r>
      <w:r w:rsidR="003D3D0A" w:rsidRPr="00855F9D">
        <w:rPr>
          <w:rStyle w:val="TtulodoLivro"/>
          <w:b/>
          <w:bCs w:val="0"/>
          <w:i w:val="0"/>
          <w:iCs w:val="0"/>
          <w:color w:val="auto"/>
          <w:spacing w:val="0"/>
        </w:rPr>
        <w:t>202</w:t>
      </w:r>
      <w:r w:rsidR="00126546" w:rsidRPr="00855F9D">
        <w:rPr>
          <w:rStyle w:val="TtulodoLivro"/>
          <w:b/>
          <w:bCs w:val="0"/>
          <w:i w:val="0"/>
          <w:iCs w:val="0"/>
          <w:color w:val="auto"/>
          <w:spacing w:val="0"/>
        </w:rPr>
        <w:t>3</w:t>
      </w:r>
      <w:r w:rsidR="00527515" w:rsidRPr="00855F9D">
        <w:rPr>
          <w:rStyle w:val="TtulodoLivro"/>
          <w:b/>
          <w:bCs w:val="0"/>
          <w:i w:val="0"/>
          <w:iCs w:val="0"/>
          <w:color w:val="auto"/>
          <w:spacing w:val="0"/>
        </w:rPr>
        <w:t xml:space="preserve"> X</w:t>
      </w:r>
      <w:r w:rsidR="000A0ED2" w:rsidRPr="00855F9D">
        <w:rPr>
          <w:rStyle w:val="TtulodoLivro"/>
          <w:b/>
          <w:bCs w:val="0"/>
          <w:i w:val="0"/>
          <w:iCs w:val="0"/>
          <w:color w:val="auto"/>
          <w:spacing w:val="0"/>
        </w:rPr>
        <w:t xml:space="preserve"> </w:t>
      </w:r>
      <w:r w:rsidR="00870AEF" w:rsidRPr="00855F9D">
        <w:rPr>
          <w:rStyle w:val="TtulodoLivro"/>
          <w:b/>
          <w:bCs w:val="0"/>
          <w:i w:val="0"/>
          <w:iCs w:val="0"/>
          <w:color w:val="auto"/>
          <w:spacing w:val="0"/>
        </w:rPr>
        <w:t>P</w:t>
      </w:r>
      <w:r w:rsidR="00BA5607" w:rsidRPr="00855F9D">
        <w:rPr>
          <w:rStyle w:val="TtulodoLivro"/>
          <w:b/>
          <w:bCs w:val="0"/>
          <w:i w:val="0"/>
          <w:iCs w:val="0"/>
          <w:color w:val="auto"/>
          <w:spacing w:val="0"/>
        </w:rPr>
        <w:t xml:space="preserve">rogramação </w:t>
      </w:r>
      <w:r w:rsidR="002D75E1" w:rsidRPr="00855F9D">
        <w:rPr>
          <w:rStyle w:val="TtulodoLivro"/>
          <w:b/>
          <w:bCs w:val="0"/>
          <w:i w:val="0"/>
          <w:iCs w:val="0"/>
          <w:color w:val="auto"/>
          <w:spacing w:val="0"/>
        </w:rPr>
        <w:t>20</w:t>
      </w:r>
      <w:r w:rsidR="00BE0534" w:rsidRPr="00855F9D">
        <w:rPr>
          <w:rStyle w:val="TtulodoLivro"/>
          <w:b/>
          <w:bCs w:val="0"/>
          <w:i w:val="0"/>
          <w:iCs w:val="0"/>
          <w:color w:val="auto"/>
          <w:spacing w:val="0"/>
        </w:rPr>
        <w:t>2</w:t>
      </w:r>
      <w:bookmarkEnd w:id="59"/>
      <w:r w:rsidR="00126546" w:rsidRPr="00855F9D">
        <w:rPr>
          <w:rStyle w:val="TtulodoLivro"/>
          <w:b/>
          <w:bCs w:val="0"/>
          <w:i w:val="0"/>
          <w:iCs w:val="0"/>
          <w:color w:val="auto"/>
          <w:spacing w:val="0"/>
        </w:rPr>
        <w:t>4</w:t>
      </w:r>
    </w:p>
    <w:p w14:paraId="7AFB4CB9" w14:textId="5DF86D5E" w:rsidR="000557C3" w:rsidRDefault="00126546" w:rsidP="002054DA">
      <w:pPr>
        <w:jc w:val="right"/>
        <w:rPr>
          <w:rStyle w:val="TtulodoLivro"/>
          <w:b w:val="0"/>
          <w:bCs w:val="0"/>
          <w:i w:val="0"/>
          <w:iCs w:val="0"/>
          <w:color w:val="1F3864" w:themeColor="accent5" w:themeShade="80"/>
          <w:spacing w:val="0"/>
        </w:rPr>
      </w:pPr>
      <w:r w:rsidRPr="00126546">
        <w:rPr>
          <w:noProof/>
          <w:lang w:eastAsia="pt-BR"/>
        </w:rPr>
        <w:drawing>
          <wp:inline distT="0" distB="0" distL="0" distR="0" wp14:anchorId="1E8894FA" wp14:editId="41AFACB9">
            <wp:extent cx="4471114" cy="1554171"/>
            <wp:effectExtent l="0" t="0" r="5715"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7791" cy="1563444"/>
                    </a:xfrm>
                    <a:prstGeom prst="rect">
                      <a:avLst/>
                    </a:prstGeom>
                  </pic:spPr>
                </pic:pic>
              </a:graphicData>
            </a:graphic>
          </wp:inline>
        </w:drawing>
      </w:r>
    </w:p>
    <w:p w14:paraId="2D86ABAA" w14:textId="77777777" w:rsidR="00496F90" w:rsidRDefault="002D75E1" w:rsidP="00496F90">
      <w:pPr>
        <w:jc w:val="both"/>
        <w:rPr>
          <w:rStyle w:val="TtulodoLivro"/>
          <w:bCs w:val="0"/>
          <w:i w:val="0"/>
          <w:iCs w:val="0"/>
          <w:color w:val="1F3864" w:themeColor="accent5" w:themeShade="80"/>
          <w:spacing w:val="0"/>
        </w:rPr>
      </w:pPr>
      <w:r w:rsidRPr="00705D7A">
        <w:rPr>
          <w:rStyle w:val="TtulodoLivro"/>
          <w:bCs w:val="0"/>
          <w:i w:val="0"/>
          <w:iCs w:val="0"/>
          <w:color w:val="1F3864" w:themeColor="accent5" w:themeShade="80"/>
          <w:spacing w:val="0"/>
        </w:rPr>
        <w:t xml:space="preserve"> </w:t>
      </w:r>
      <w:r w:rsidR="00496F90">
        <w:rPr>
          <w:rStyle w:val="TtulodoLivro"/>
          <w:bCs w:val="0"/>
          <w:i w:val="0"/>
          <w:iCs w:val="0"/>
          <w:color w:val="1F3864" w:themeColor="accent5" w:themeShade="80"/>
          <w:spacing w:val="0"/>
        </w:rPr>
        <w:tab/>
      </w:r>
    </w:p>
    <w:p w14:paraId="1C133EF5" w14:textId="0250E132" w:rsidR="00496F90" w:rsidRPr="006D1489" w:rsidRDefault="00DF4AB2" w:rsidP="00496F90">
      <w:pPr>
        <w:tabs>
          <w:tab w:val="num" w:pos="1440"/>
          <w:tab w:val="num" w:pos="2160"/>
        </w:tabs>
        <w:spacing w:line="360" w:lineRule="auto"/>
        <w:ind w:firstLine="851"/>
        <w:jc w:val="both"/>
        <w:rPr>
          <w:rFonts w:eastAsia="Arial Unicode MS" w:cs="Calibri"/>
          <w:sz w:val="24"/>
          <w:szCs w:val="24"/>
        </w:rPr>
      </w:pPr>
      <w:r w:rsidRPr="004C3E1D">
        <w:rPr>
          <w:rFonts w:eastAsia="Arial Unicode MS" w:cs="Calibri"/>
          <w:color w:val="000000" w:themeColor="text1"/>
          <w:sz w:val="24"/>
          <w:szCs w:val="24"/>
        </w:rPr>
        <w:t xml:space="preserve">As </w:t>
      </w:r>
      <w:r w:rsidRPr="00496F90">
        <w:rPr>
          <w:rFonts w:eastAsia="Arial Unicode MS" w:cs="Calibri"/>
          <w:color w:val="000000" w:themeColor="text1"/>
          <w:sz w:val="24"/>
          <w:szCs w:val="24"/>
        </w:rPr>
        <w:t>metas executadas de profissionais ativos</w:t>
      </w:r>
      <w:r w:rsidR="00496F90">
        <w:rPr>
          <w:rFonts w:eastAsia="Arial Unicode MS" w:cs="Calibri"/>
          <w:color w:val="000000" w:themeColor="text1"/>
          <w:sz w:val="24"/>
          <w:szCs w:val="24"/>
        </w:rPr>
        <w:t>, d</w:t>
      </w:r>
      <w:r w:rsidRPr="00496F90">
        <w:rPr>
          <w:rFonts w:eastAsia="Arial Unicode MS" w:cs="Calibri"/>
          <w:color w:val="000000" w:themeColor="text1"/>
          <w:sz w:val="24"/>
          <w:szCs w:val="24"/>
        </w:rPr>
        <w:t xml:space="preserve">isponíveis no </w:t>
      </w:r>
      <w:r w:rsidR="005D7F3A" w:rsidRPr="00496F90">
        <w:rPr>
          <w:rFonts w:eastAsia="Arial Unicode MS" w:cs="Calibri"/>
          <w:color w:val="000000" w:themeColor="text1"/>
          <w:sz w:val="24"/>
          <w:szCs w:val="24"/>
        </w:rPr>
        <w:t>Relatório IGEO (Repositório)</w:t>
      </w:r>
      <w:r w:rsidRPr="00496F90">
        <w:rPr>
          <w:rFonts w:eastAsia="Arial Unicode MS" w:cs="Calibri"/>
          <w:color w:val="000000" w:themeColor="text1"/>
          <w:sz w:val="24"/>
          <w:szCs w:val="24"/>
        </w:rPr>
        <w:t xml:space="preserve"> em </w:t>
      </w:r>
      <w:r w:rsidR="00133DE5" w:rsidRPr="00496F90">
        <w:rPr>
          <w:rFonts w:eastAsia="Arial Unicode MS" w:cs="Calibri"/>
          <w:color w:val="000000" w:themeColor="text1"/>
          <w:sz w:val="24"/>
          <w:szCs w:val="24"/>
        </w:rPr>
        <w:t>31</w:t>
      </w:r>
      <w:r w:rsidRPr="00496F90">
        <w:rPr>
          <w:rFonts w:eastAsia="Arial Unicode MS" w:cs="Calibri"/>
          <w:color w:val="000000" w:themeColor="text1"/>
          <w:sz w:val="24"/>
          <w:szCs w:val="24"/>
        </w:rPr>
        <w:t>/0</w:t>
      </w:r>
      <w:r w:rsidR="00133DE5" w:rsidRPr="00496F90">
        <w:rPr>
          <w:rFonts w:eastAsia="Arial Unicode MS" w:cs="Calibri"/>
          <w:color w:val="000000" w:themeColor="text1"/>
          <w:sz w:val="24"/>
          <w:szCs w:val="24"/>
        </w:rPr>
        <w:t>7</w:t>
      </w:r>
      <w:r w:rsidRPr="00496F90">
        <w:rPr>
          <w:rFonts w:eastAsia="Arial Unicode MS" w:cs="Calibri"/>
          <w:color w:val="000000" w:themeColor="text1"/>
          <w:sz w:val="24"/>
          <w:szCs w:val="24"/>
        </w:rPr>
        <w:t>/</w:t>
      </w:r>
      <w:r w:rsidRPr="006D1489">
        <w:rPr>
          <w:rFonts w:eastAsia="Arial Unicode MS" w:cs="Calibri"/>
          <w:sz w:val="24"/>
          <w:szCs w:val="24"/>
        </w:rPr>
        <w:t>20</w:t>
      </w:r>
      <w:r w:rsidR="00021AB6" w:rsidRPr="006D1489">
        <w:rPr>
          <w:rFonts w:eastAsia="Arial Unicode MS" w:cs="Calibri"/>
          <w:sz w:val="24"/>
          <w:szCs w:val="24"/>
        </w:rPr>
        <w:t>2</w:t>
      </w:r>
      <w:r w:rsidR="00126546" w:rsidRPr="006D1489">
        <w:rPr>
          <w:rFonts w:eastAsia="Arial Unicode MS" w:cs="Calibri"/>
          <w:sz w:val="24"/>
          <w:szCs w:val="24"/>
        </w:rPr>
        <w:t>3</w:t>
      </w:r>
      <w:r w:rsidRPr="006D1489">
        <w:rPr>
          <w:rFonts w:eastAsia="Arial Unicode MS" w:cs="Calibri"/>
          <w:sz w:val="24"/>
          <w:szCs w:val="24"/>
        </w:rPr>
        <w:t>, apontam para um atingimento de</w:t>
      </w:r>
      <w:r w:rsidR="00B05426" w:rsidRPr="006D1489">
        <w:rPr>
          <w:rFonts w:eastAsia="Arial Unicode MS" w:cs="Calibri"/>
          <w:sz w:val="24"/>
          <w:szCs w:val="24"/>
        </w:rPr>
        <w:t xml:space="preserve"> </w:t>
      </w:r>
      <w:r w:rsidRPr="00274E2D">
        <w:rPr>
          <w:rFonts w:eastAsia="Arial Unicode MS" w:cs="Calibri"/>
          <w:sz w:val="24"/>
          <w:szCs w:val="24"/>
        </w:rPr>
        <w:t>9</w:t>
      </w:r>
      <w:r w:rsidR="00274E2D" w:rsidRPr="00274E2D">
        <w:rPr>
          <w:rFonts w:eastAsia="Arial Unicode MS" w:cs="Calibri"/>
          <w:sz w:val="24"/>
          <w:szCs w:val="24"/>
        </w:rPr>
        <w:t>7</w:t>
      </w:r>
      <w:r w:rsidR="004B27E0" w:rsidRPr="00274E2D">
        <w:rPr>
          <w:rFonts w:eastAsia="Arial Unicode MS" w:cs="Calibri"/>
          <w:sz w:val="24"/>
          <w:szCs w:val="24"/>
        </w:rPr>
        <w:t>,</w:t>
      </w:r>
      <w:r w:rsidR="00274E2D" w:rsidRPr="00274E2D">
        <w:rPr>
          <w:rFonts w:eastAsia="Arial Unicode MS" w:cs="Calibri"/>
          <w:sz w:val="24"/>
          <w:szCs w:val="24"/>
        </w:rPr>
        <w:t>3</w:t>
      </w:r>
      <w:r w:rsidRPr="006D1489">
        <w:rPr>
          <w:rFonts w:eastAsia="Arial Unicode MS" w:cs="Calibri"/>
          <w:sz w:val="24"/>
          <w:szCs w:val="24"/>
        </w:rPr>
        <w:t xml:space="preserve">% das metas previstas na </w:t>
      </w:r>
      <w:r w:rsidR="00814913" w:rsidRPr="006D1489">
        <w:rPr>
          <w:rFonts w:eastAsia="Arial Unicode MS" w:cs="Calibri"/>
          <w:sz w:val="24"/>
          <w:szCs w:val="24"/>
        </w:rPr>
        <w:t>r</w:t>
      </w:r>
      <w:r w:rsidRPr="006D1489">
        <w:rPr>
          <w:rFonts w:eastAsia="Arial Unicode MS" w:cs="Calibri"/>
          <w:sz w:val="24"/>
          <w:szCs w:val="24"/>
        </w:rPr>
        <w:t>eprogramação</w:t>
      </w:r>
      <w:r w:rsidR="004B27E0" w:rsidRPr="006D1489">
        <w:rPr>
          <w:rFonts w:eastAsia="Arial Unicode MS" w:cs="Calibri"/>
          <w:sz w:val="24"/>
          <w:szCs w:val="24"/>
        </w:rPr>
        <w:t xml:space="preserve"> 202</w:t>
      </w:r>
      <w:r w:rsidR="00323F4A" w:rsidRPr="006D1489">
        <w:rPr>
          <w:rFonts w:eastAsia="Arial Unicode MS" w:cs="Calibri"/>
          <w:sz w:val="24"/>
          <w:szCs w:val="24"/>
        </w:rPr>
        <w:t>3</w:t>
      </w:r>
      <w:r w:rsidRPr="006D1489">
        <w:rPr>
          <w:rFonts w:eastAsia="Arial Unicode MS" w:cs="Calibri"/>
          <w:sz w:val="24"/>
          <w:szCs w:val="24"/>
        </w:rPr>
        <w:t xml:space="preserve">. </w:t>
      </w:r>
    </w:p>
    <w:p w14:paraId="27255C84" w14:textId="73DBF408" w:rsidR="00475128" w:rsidRPr="00855F9D" w:rsidRDefault="00496F90" w:rsidP="00496F90">
      <w:pPr>
        <w:tabs>
          <w:tab w:val="num" w:pos="1440"/>
          <w:tab w:val="num" w:pos="2160"/>
        </w:tabs>
        <w:spacing w:line="360" w:lineRule="auto"/>
        <w:ind w:firstLine="851"/>
        <w:jc w:val="both"/>
        <w:rPr>
          <w:rFonts w:eastAsia="Arial Unicode MS" w:cs="Calibri"/>
          <w:sz w:val="24"/>
          <w:szCs w:val="24"/>
        </w:rPr>
      </w:pPr>
      <w:r w:rsidRPr="006D1489">
        <w:rPr>
          <w:rFonts w:eastAsia="Arial Unicode MS" w:cs="Calibri"/>
          <w:sz w:val="24"/>
          <w:szCs w:val="24"/>
        </w:rPr>
        <w:t xml:space="preserve">Para as </w:t>
      </w:r>
      <w:r w:rsidR="00DF4AB2" w:rsidRPr="006D1489">
        <w:rPr>
          <w:rFonts w:eastAsia="Arial Unicode MS" w:cs="Calibri"/>
          <w:sz w:val="24"/>
          <w:szCs w:val="24"/>
        </w:rPr>
        <w:t>estimativas de 202</w:t>
      </w:r>
      <w:r w:rsidR="00870DEE" w:rsidRPr="006D1489">
        <w:rPr>
          <w:rFonts w:eastAsia="Arial Unicode MS" w:cs="Calibri"/>
          <w:sz w:val="24"/>
          <w:szCs w:val="24"/>
        </w:rPr>
        <w:t>4</w:t>
      </w:r>
      <w:r w:rsidRPr="006D1489">
        <w:rPr>
          <w:rFonts w:eastAsia="Arial Unicode MS" w:cs="Calibri"/>
          <w:sz w:val="24"/>
          <w:szCs w:val="24"/>
        </w:rPr>
        <w:t xml:space="preserve"> </w:t>
      </w:r>
      <w:r w:rsidR="00DF4AB2" w:rsidRPr="00496F90">
        <w:rPr>
          <w:rFonts w:eastAsia="Arial Unicode MS" w:cs="Calibri"/>
          <w:color w:val="000000" w:themeColor="text1"/>
          <w:sz w:val="24"/>
          <w:szCs w:val="24"/>
        </w:rPr>
        <w:t>foi considerada a seguinte premissa:</w:t>
      </w:r>
      <w:r w:rsidR="009A4F52" w:rsidRPr="00496F90">
        <w:rPr>
          <w:rFonts w:eastAsia="Arial Unicode MS" w:cs="Calibri"/>
          <w:color w:val="000000" w:themeColor="text1"/>
          <w:sz w:val="24"/>
          <w:szCs w:val="24"/>
        </w:rPr>
        <w:t xml:space="preserve"> a quantidade de ativos (posição em </w:t>
      </w:r>
      <w:r w:rsidR="00133DE5" w:rsidRPr="00496F90">
        <w:rPr>
          <w:rFonts w:eastAsia="Arial Unicode MS" w:cs="Calibri"/>
          <w:color w:val="000000" w:themeColor="text1"/>
          <w:sz w:val="24"/>
          <w:szCs w:val="24"/>
        </w:rPr>
        <w:t>31</w:t>
      </w:r>
      <w:r w:rsidR="009A4F52" w:rsidRPr="00496F90">
        <w:rPr>
          <w:rFonts w:eastAsia="Arial Unicode MS" w:cs="Calibri"/>
          <w:color w:val="000000" w:themeColor="text1"/>
          <w:sz w:val="24"/>
          <w:szCs w:val="24"/>
        </w:rPr>
        <w:t>/0</w:t>
      </w:r>
      <w:r w:rsidR="00133DE5" w:rsidRPr="00496F90">
        <w:rPr>
          <w:rFonts w:eastAsia="Arial Unicode MS" w:cs="Calibri"/>
          <w:color w:val="000000" w:themeColor="text1"/>
          <w:sz w:val="24"/>
          <w:szCs w:val="24"/>
        </w:rPr>
        <w:t>7</w:t>
      </w:r>
      <w:r w:rsidR="009A4F52" w:rsidRPr="00496F90">
        <w:rPr>
          <w:rFonts w:eastAsia="Arial Unicode MS" w:cs="Calibri"/>
          <w:color w:val="000000" w:themeColor="text1"/>
          <w:sz w:val="24"/>
          <w:szCs w:val="24"/>
        </w:rPr>
        <w:t>)</w:t>
      </w:r>
      <w:r>
        <w:rPr>
          <w:rFonts w:eastAsia="Arial Unicode MS" w:cs="Calibri"/>
          <w:color w:val="000000" w:themeColor="text1"/>
          <w:sz w:val="24"/>
          <w:szCs w:val="24"/>
        </w:rPr>
        <w:t xml:space="preserve"> somada com a quantidade </w:t>
      </w:r>
      <w:r w:rsidRPr="00855F9D">
        <w:rPr>
          <w:rFonts w:eastAsia="Arial Unicode MS" w:cs="Calibri"/>
          <w:sz w:val="24"/>
          <w:szCs w:val="24"/>
        </w:rPr>
        <w:t xml:space="preserve">de </w:t>
      </w:r>
      <w:r w:rsidR="009A4F52" w:rsidRPr="00855F9D">
        <w:rPr>
          <w:rFonts w:eastAsia="Arial Unicode MS" w:cs="Calibri"/>
          <w:sz w:val="24"/>
          <w:szCs w:val="24"/>
        </w:rPr>
        <w:t>Novos Egressos (u</w:t>
      </w:r>
      <w:r w:rsidR="00957A2D" w:rsidRPr="00855F9D">
        <w:rPr>
          <w:rFonts w:eastAsia="Arial Unicode MS" w:cs="Calibri"/>
          <w:sz w:val="24"/>
          <w:szCs w:val="24"/>
        </w:rPr>
        <w:t>tilizou-se até 80</w:t>
      </w:r>
      <w:r w:rsidR="00963614" w:rsidRPr="00855F9D">
        <w:rPr>
          <w:rFonts w:eastAsia="Arial Unicode MS" w:cs="Calibri"/>
          <w:sz w:val="24"/>
          <w:szCs w:val="24"/>
        </w:rPr>
        <w:t>,0</w:t>
      </w:r>
      <w:r w:rsidR="00957A2D" w:rsidRPr="00855F9D">
        <w:rPr>
          <w:rFonts w:eastAsia="Arial Unicode MS" w:cs="Calibri"/>
          <w:sz w:val="24"/>
          <w:szCs w:val="24"/>
        </w:rPr>
        <w:t>% do valor das médias dos egressos registrados nos períodos de 20</w:t>
      </w:r>
      <w:r w:rsidR="00785678" w:rsidRPr="00855F9D">
        <w:rPr>
          <w:rFonts w:eastAsia="Arial Unicode MS" w:cs="Calibri"/>
          <w:sz w:val="24"/>
          <w:szCs w:val="24"/>
        </w:rPr>
        <w:t>20</w:t>
      </w:r>
      <w:r w:rsidR="00957A2D" w:rsidRPr="00855F9D">
        <w:rPr>
          <w:rFonts w:eastAsia="Arial Unicode MS" w:cs="Calibri"/>
          <w:sz w:val="24"/>
          <w:szCs w:val="24"/>
        </w:rPr>
        <w:t>-202</w:t>
      </w:r>
      <w:r w:rsidR="00785678" w:rsidRPr="00855F9D">
        <w:rPr>
          <w:rFonts w:eastAsia="Arial Unicode MS" w:cs="Calibri"/>
          <w:sz w:val="24"/>
          <w:szCs w:val="24"/>
        </w:rPr>
        <w:t>2</w:t>
      </w:r>
      <w:r w:rsidR="00274E2D" w:rsidRPr="00855F9D">
        <w:rPr>
          <w:rFonts w:eastAsia="Arial Unicode MS" w:cs="Calibri"/>
          <w:sz w:val="24"/>
          <w:szCs w:val="24"/>
        </w:rPr>
        <w:t>)</w:t>
      </w:r>
      <w:r w:rsidR="00EF2BCD" w:rsidRPr="00855F9D">
        <w:rPr>
          <w:rFonts w:eastAsia="Arial Unicode MS" w:cs="Calibri"/>
          <w:sz w:val="24"/>
          <w:szCs w:val="24"/>
        </w:rPr>
        <w:t xml:space="preserve">. </w:t>
      </w:r>
    </w:p>
    <w:p w14:paraId="2FBC5AD3" w14:textId="1EB26A38" w:rsidR="00475128" w:rsidRPr="00855F9D" w:rsidRDefault="003C2FC6" w:rsidP="00496F90">
      <w:pPr>
        <w:tabs>
          <w:tab w:val="num" w:pos="1440"/>
          <w:tab w:val="num" w:pos="2160"/>
        </w:tabs>
        <w:spacing w:line="360" w:lineRule="auto"/>
        <w:ind w:firstLine="851"/>
        <w:jc w:val="both"/>
        <w:rPr>
          <w:rFonts w:eastAsia="Arial Unicode MS" w:cs="Calibri"/>
          <w:sz w:val="24"/>
          <w:szCs w:val="24"/>
        </w:rPr>
      </w:pPr>
      <w:r w:rsidRPr="00855F9D">
        <w:rPr>
          <w:rFonts w:eastAsia="Arial Unicode MS" w:cs="Calibri"/>
          <w:sz w:val="24"/>
          <w:szCs w:val="24"/>
        </w:rPr>
        <w:t>D</w:t>
      </w:r>
      <w:r w:rsidR="00DF4AB2" w:rsidRPr="00855F9D">
        <w:rPr>
          <w:rFonts w:eastAsia="Arial Unicode MS" w:cs="Calibri"/>
          <w:sz w:val="24"/>
          <w:szCs w:val="24"/>
        </w:rPr>
        <w:t>essa forma a quantidade de arquitetos e urbanistas ativos</w:t>
      </w:r>
      <w:r w:rsidR="004B27E0" w:rsidRPr="00855F9D">
        <w:rPr>
          <w:rFonts w:eastAsia="Arial Unicode MS" w:cs="Calibri"/>
          <w:sz w:val="24"/>
          <w:szCs w:val="24"/>
        </w:rPr>
        <w:t xml:space="preserve"> projetadas para</w:t>
      </w:r>
      <w:r w:rsidR="00DF4AB2" w:rsidRPr="00855F9D">
        <w:rPr>
          <w:rFonts w:eastAsia="Arial Unicode MS" w:cs="Calibri"/>
          <w:sz w:val="24"/>
          <w:szCs w:val="24"/>
        </w:rPr>
        <w:t xml:space="preserve"> </w:t>
      </w:r>
      <w:r w:rsidR="004B27E0" w:rsidRPr="00855F9D">
        <w:rPr>
          <w:rFonts w:eastAsia="Arial Unicode MS" w:cs="Calibri"/>
          <w:sz w:val="24"/>
          <w:szCs w:val="24"/>
        </w:rPr>
        <w:t>202</w:t>
      </w:r>
      <w:r w:rsidR="00274E2D" w:rsidRPr="00855F9D">
        <w:rPr>
          <w:rFonts w:eastAsia="Arial Unicode MS" w:cs="Calibri"/>
          <w:sz w:val="24"/>
          <w:szCs w:val="24"/>
        </w:rPr>
        <w:t>4</w:t>
      </w:r>
      <w:r w:rsidR="00DF4AB2" w:rsidRPr="00855F9D">
        <w:rPr>
          <w:rFonts w:eastAsia="Arial Unicode MS" w:cs="Calibri"/>
          <w:sz w:val="24"/>
          <w:szCs w:val="24"/>
        </w:rPr>
        <w:t xml:space="preserve"> é de </w:t>
      </w:r>
      <w:r w:rsidR="00957A2D" w:rsidRPr="00855F9D">
        <w:rPr>
          <w:rFonts w:eastAsia="Arial Unicode MS" w:cs="Calibri"/>
          <w:sz w:val="24"/>
          <w:szCs w:val="24"/>
        </w:rPr>
        <w:t>2</w:t>
      </w:r>
      <w:r w:rsidR="00274E2D" w:rsidRPr="00855F9D">
        <w:rPr>
          <w:rFonts w:eastAsia="Arial Unicode MS" w:cs="Calibri"/>
          <w:sz w:val="24"/>
          <w:szCs w:val="24"/>
        </w:rPr>
        <w:t>3</w:t>
      </w:r>
      <w:r w:rsidR="00AF200C" w:rsidRPr="00855F9D">
        <w:rPr>
          <w:rFonts w:eastAsia="Arial Unicode MS" w:cs="Calibri"/>
          <w:sz w:val="24"/>
          <w:szCs w:val="24"/>
        </w:rPr>
        <w:t>8</w:t>
      </w:r>
      <w:r w:rsidR="00544DD6" w:rsidRPr="00855F9D">
        <w:rPr>
          <w:rFonts w:eastAsia="Arial Unicode MS" w:cs="Calibri"/>
          <w:sz w:val="24"/>
          <w:szCs w:val="24"/>
        </w:rPr>
        <w:t>.</w:t>
      </w:r>
      <w:r w:rsidR="00AF200C" w:rsidRPr="00855F9D">
        <w:rPr>
          <w:rFonts w:eastAsia="Arial Unicode MS" w:cs="Calibri"/>
          <w:sz w:val="24"/>
          <w:szCs w:val="24"/>
        </w:rPr>
        <w:t>303</w:t>
      </w:r>
      <w:r w:rsidR="00475128" w:rsidRPr="00855F9D">
        <w:rPr>
          <w:rFonts w:eastAsia="Arial Unicode MS" w:cs="Calibri"/>
          <w:sz w:val="24"/>
          <w:szCs w:val="24"/>
        </w:rPr>
        <w:t>,</w:t>
      </w:r>
      <w:r w:rsidR="00DF4AB2" w:rsidRPr="00855F9D">
        <w:rPr>
          <w:rFonts w:eastAsia="Arial Unicode MS" w:cs="Calibri"/>
          <w:sz w:val="24"/>
          <w:szCs w:val="24"/>
        </w:rPr>
        <w:t xml:space="preserve"> com uma inadimplência média </w:t>
      </w:r>
      <w:r w:rsidR="004C3E1D" w:rsidRPr="00855F9D">
        <w:rPr>
          <w:rFonts w:eastAsia="Arial Unicode MS" w:cs="Calibri"/>
          <w:sz w:val="24"/>
          <w:szCs w:val="24"/>
        </w:rPr>
        <w:t xml:space="preserve">prevista </w:t>
      </w:r>
      <w:r w:rsidR="00DF4AB2" w:rsidRPr="00855F9D">
        <w:rPr>
          <w:rFonts w:eastAsia="Arial Unicode MS" w:cs="Calibri"/>
          <w:sz w:val="24"/>
          <w:szCs w:val="24"/>
        </w:rPr>
        <w:t xml:space="preserve">de </w:t>
      </w:r>
      <w:r w:rsidR="00785678" w:rsidRPr="00855F9D">
        <w:rPr>
          <w:rFonts w:eastAsia="Arial Unicode MS" w:cs="Calibri"/>
          <w:sz w:val="24"/>
          <w:szCs w:val="24"/>
        </w:rPr>
        <w:t>31,2</w:t>
      </w:r>
      <w:r w:rsidR="00957A2D" w:rsidRPr="00855F9D">
        <w:rPr>
          <w:rFonts w:eastAsia="Arial Unicode MS" w:cs="Calibri"/>
          <w:sz w:val="24"/>
          <w:szCs w:val="24"/>
        </w:rPr>
        <w:t>%</w:t>
      </w:r>
      <w:r w:rsidR="00475128" w:rsidRPr="00855F9D">
        <w:rPr>
          <w:rFonts w:eastAsia="Arial Unicode MS" w:cs="Calibri"/>
          <w:sz w:val="24"/>
          <w:szCs w:val="24"/>
        </w:rPr>
        <w:t xml:space="preserve"> (</w:t>
      </w:r>
      <w:r w:rsidR="00957A2D" w:rsidRPr="00855F9D">
        <w:rPr>
          <w:rFonts w:eastAsia="Arial Unicode MS" w:cs="Calibri"/>
          <w:sz w:val="24"/>
          <w:szCs w:val="24"/>
        </w:rPr>
        <w:t>1</w:t>
      </w:r>
      <w:r w:rsidR="00544DD6" w:rsidRPr="00855F9D">
        <w:rPr>
          <w:rFonts w:eastAsia="Arial Unicode MS" w:cs="Calibri"/>
          <w:sz w:val="24"/>
          <w:szCs w:val="24"/>
        </w:rPr>
        <w:t>5</w:t>
      </w:r>
      <w:r w:rsidR="00785678" w:rsidRPr="00855F9D">
        <w:rPr>
          <w:rFonts w:eastAsia="Arial Unicode MS" w:cs="Calibri"/>
          <w:sz w:val="24"/>
          <w:szCs w:val="24"/>
        </w:rPr>
        <w:t>2</w:t>
      </w:r>
      <w:r w:rsidR="00544DD6" w:rsidRPr="00855F9D">
        <w:rPr>
          <w:rFonts w:eastAsia="Arial Unicode MS" w:cs="Calibri"/>
          <w:sz w:val="24"/>
          <w:szCs w:val="24"/>
        </w:rPr>
        <w:t>.</w:t>
      </w:r>
      <w:r w:rsidR="00785678" w:rsidRPr="00855F9D">
        <w:rPr>
          <w:rFonts w:eastAsia="Arial Unicode MS" w:cs="Calibri"/>
          <w:sz w:val="24"/>
          <w:szCs w:val="24"/>
        </w:rPr>
        <w:t>365</w:t>
      </w:r>
      <w:r w:rsidR="00DF4AB2" w:rsidRPr="00855F9D">
        <w:rPr>
          <w:rFonts w:eastAsia="Arial Unicode MS" w:cs="Calibri"/>
          <w:sz w:val="24"/>
          <w:szCs w:val="24"/>
        </w:rPr>
        <w:t xml:space="preserve"> arquitetos e urbanistas</w:t>
      </w:r>
      <w:r w:rsidR="00274E2D" w:rsidRPr="00855F9D">
        <w:rPr>
          <w:rFonts w:eastAsia="Arial Unicode MS" w:cs="Calibri"/>
          <w:sz w:val="24"/>
          <w:szCs w:val="24"/>
        </w:rPr>
        <w:t xml:space="preserve"> pagantes</w:t>
      </w:r>
      <w:r w:rsidR="00475128" w:rsidRPr="00855F9D">
        <w:rPr>
          <w:rFonts w:eastAsia="Arial Unicode MS" w:cs="Calibri"/>
          <w:sz w:val="24"/>
          <w:szCs w:val="24"/>
        </w:rPr>
        <w:t>)</w:t>
      </w:r>
      <w:r w:rsidR="00DF4AB2" w:rsidRPr="00855F9D">
        <w:rPr>
          <w:rFonts w:eastAsia="Arial Unicode MS" w:cs="Calibri"/>
          <w:sz w:val="24"/>
          <w:szCs w:val="24"/>
        </w:rPr>
        <w:t xml:space="preserve">. </w:t>
      </w:r>
    </w:p>
    <w:p w14:paraId="7DC852A0" w14:textId="20B3E09B" w:rsidR="00DF4AB2" w:rsidRPr="00855F9D" w:rsidRDefault="00DF4AB2" w:rsidP="00496F90">
      <w:pPr>
        <w:tabs>
          <w:tab w:val="num" w:pos="1440"/>
          <w:tab w:val="num" w:pos="2160"/>
        </w:tabs>
        <w:spacing w:line="360" w:lineRule="auto"/>
        <w:ind w:firstLine="851"/>
        <w:jc w:val="both"/>
        <w:rPr>
          <w:rFonts w:eastAsia="Arial Unicode MS" w:cs="Calibri"/>
          <w:sz w:val="24"/>
          <w:szCs w:val="24"/>
        </w:rPr>
      </w:pPr>
      <w:r w:rsidRPr="00855F9D">
        <w:rPr>
          <w:rFonts w:eastAsia="Arial Unicode MS" w:cs="Calibri"/>
          <w:sz w:val="24"/>
          <w:szCs w:val="24"/>
        </w:rPr>
        <w:t xml:space="preserve">Importante mencionar que as informações de arquitetos e urbanistas, registrados no </w:t>
      </w:r>
      <w:r w:rsidR="003F54F8" w:rsidRPr="00855F9D">
        <w:rPr>
          <w:rFonts w:eastAsia="Arial Unicode MS" w:cs="Calibri"/>
          <w:sz w:val="24"/>
          <w:szCs w:val="24"/>
        </w:rPr>
        <w:t>SICCAU</w:t>
      </w:r>
      <w:r w:rsidRPr="00855F9D">
        <w:rPr>
          <w:rFonts w:eastAsia="Arial Unicode MS" w:cs="Calibri"/>
          <w:sz w:val="24"/>
          <w:szCs w:val="24"/>
        </w:rPr>
        <w:t xml:space="preserve">, decorrem do esforço empreendido pelo Conselho para conhecer a real quantidade de profissionais existente no país, mediante </w:t>
      </w:r>
      <w:r w:rsidR="004C3E1D" w:rsidRPr="00855F9D">
        <w:rPr>
          <w:rFonts w:eastAsia="Arial Unicode MS" w:cs="Calibri"/>
          <w:sz w:val="24"/>
          <w:szCs w:val="24"/>
        </w:rPr>
        <w:t>ações de</w:t>
      </w:r>
      <w:r w:rsidRPr="00855F9D">
        <w:rPr>
          <w:rFonts w:eastAsia="Arial Unicode MS" w:cs="Calibri"/>
          <w:sz w:val="24"/>
          <w:szCs w:val="24"/>
        </w:rPr>
        <w:t xml:space="preserve"> recadastramento e de Fiscalização já implementadas pelos CAU/UF. </w:t>
      </w:r>
    </w:p>
    <w:p w14:paraId="3FEDFDAA" w14:textId="4031FB92" w:rsidR="00475128" w:rsidRPr="00855F9D" w:rsidRDefault="00DF4AB2" w:rsidP="0037094A">
      <w:pPr>
        <w:tabs>
          <w:tab w:val="num" w:pos="1440"/>
          <w:tab w:val="num" w:pos="2160"/>
        </w:tabs>
        <w:spacing w:line="360" w:lineRule="auto"/>
        <w:ind w:firstLine="851"/>
        <w:jc w:val="both"/>
        <w:rPr>
          <w:rFonts w:eastAsia="Arial Unicode MS" w:cs="Calibri"/>
          <w:sz w:val="24"/>
          <w:szCs w:val="24"/>
        </w:rPr>
      </w:pPr>
      <w:r w:rsidRPr="00855F9D">
        <w:rPr>
          <w:rFonts w:eastAsia="Arial Unicode MS" w:cs="Calibri"/>
          <w:sz w:val="24"/>
          <w:szCs w:val="24"/>
        </w:rPr>
        <w:t>As metas executadas de empresas ativas</w:t>
      </w:r>
      <w:r w:rsidR="00E20A2B" w:rsidRPr="00855F9D">
        <w:rPr>
          <w:rFonts w:eastAsia="Arial Unicode MS" w:cs="Calibri"/>
          <w:sz w:val="24"/>
          <w:szCs w:val="24"/>
        </w:rPr>
        <w:t xml:space="preserve"> </w:t>
      </w:r>
      <w:r w:rsidRPr="00855F9D">
        <w:rPr>
          <w:rFonts w:eastAsia="Arial Unicode MS" w:cs="Calibri"/>
          <w:sz w:val="24"/>
          <w:szCs w:val="24"/>
        </w:rPr>
        <w:t xml:space="preserve">de arquitetura e urbanismo disponíveis </w:t>
      </w:r>
      <w:r w:rsidR="00B05426" w:rsidRPr="00855F9D">
        <w:rPr>
          <w:rFonts w:eastAsia="Arial Unicode MS" w:cs="Calibri"/>
          <w:sz w:val="24"/>
          <w:szCs w:val="24"/>
        </w:rPr>
        <w:t xml:space="preserve">Relatório IGEO (Repositório), em </w:t>
      </w:r>
      <w:r w:rsidR="00327ADB" w:rsidRPr="00855F9D">
        <w:rPr>
          <w:rFonts w:eastAsia="Arial Unicode MS" w:cs="Calibri"/>
          <w:sz w:val="24"/>
          <w:szCs w:val="24"/>
        </w:rPr>
        <w:t>31</w:t>
      </w:r>
      <w:r w:rsidR="00B05426" w:rsidRPr="00855F9D">
        <w:rPr>
          <w:rFonts w:eastAsia="Arial Unicode MS" w:cs="Calibri"/>
          <w:sz w:val="24"/>
          <w:szCs w:val="24"/>
        </w:rPr>
        <w:t>/0</w:t>
      </w:r>
      <w:r w:rsidR="00327ADB" w:rsidRPr="00855F9D">
        <w:rPr>
          <w:rFonts w:eastAsia="Arial Unicode MS" w:cs="Calibri"/>
          <w:sz w:val="24"/>
          <w:szCs w:val="24"/>
        </w:rPr>
        <w:t>7</w:t>
      </w:r>
      <w:r w:rsidR="00B05426" w:rsidRPr="00855F9D">
        <w:rPr>
          <w:rFonts w:eastAsia="Arial Unicode MS" w:cs="Calibri"/>
          <w:sz w:val="24"/>
          <w:szCs w:val="24"/>
        </w:rPr>
        <w:t>/202</w:t>
      </w:r>
      <w:r w:rsidR="00785678" w:rsidRPr="00855F9D">
        <w:rPr>
          <w:rFonts w:eastAsia="Arial Unicode MS" w:cs="Calibri"/>
          <w:sz w:val="24"/>
          <w:szCs w:val="24"/>
        </w:rPr>
        <w:t>3</w:t>
      </w:r>
      <w:r w:rsidRPr="00855F9D">
        <w:rPr>
          <w:rFonts w:eastAsia="Arial Unicode MS" w:cs="Calibri"/>
          <w:sz w:val="24"/>
          <w:szCs w:val="24"/>
        </w:rPr>
        <w:t xml:space="preserve">, apontam para um atingimento de </w:t>
      </w:r>
      <w:r w:rsidR="003B5119" w:rsidRPr="00855F9D">
        <w:rPr>
          <w:rFonts w:eastAsia="Arial Unicode MS" w:cs="Calibri"/>
          <w:sz w:val="24"/>
          <w:szCs w:val="24"/>
        </w:rPr>
        <w:t>96,</w:t>
      </w:r>
      <w:r w:rsidR="004358BA" w:rsidRPr="00855F9D">
        <w:rPr>
          <w:rFonts w:eastAsia="Arial Unicode MS" w:cs="Calibri"/>
          <w:sz w:val="24"/>
          <w:szCs w:val="24"/>
        </w:rPr>
        <w:t>9</w:t>
      </w:r>
      <w:r w:rsidRPr="00855F9D">
        <w:rPr>
          <w:rFonts w:eastAsia="Arial Unicode MS" w:cs="Calibri"/>
          <w:sz w:val="24"/>
          <w:szCs w:val="24"/>
        </w:rPr>
        <w:t xml:space="preserve">% das metas previstas na reprogramação, ou seja, o atingimento </w:t>
      </w:r>
      <w:r w:rsidR="003F54F8" w:rsidRPr="00855F9D">
        <w:rPr>
          <w:rFonts w:eastAsia="Arial Unicode MS" w:cs="Calibri"/>
          <w:sz w:val="24"/>
          <w:szCs w:val="24"/>
        </w:rPr>
        <w:t xml:space="preserve">encontra-se </w:t>
      </w:r>
      <w:r w:rsidR="007D1870" w:rsidRPr="00855F9D">
        <w:rPr>
          <w:rFonts w:eastAsia="Arial Unicode MS" w:cs="Calibri"/>
          <w:sz w:val="24"/>
          <w:szCs w:val="24"/>
        </w:rPr>
        <w:t>próximo ao previsto</w:t>
      </w:r>
      <w:r w:rsidR="00674F9B" w:rsidRPr="00855F9D">
        <w:rPr>
          <w:rFonts w:eastAsia="Arial Unicode MS" w:cs="Calibri"/>
          <w:sz w:val="24"/>
          <w:szCs w:val="24"/>
        </w:rPr>
        <w:t xml:space="preserve"> na reprogramação</w:t>
      </w:r>
      <w:r w:rsidR="007D1870" w:rsidRPr="00855F9D">
        <w:rPr>
          <w:rFonts w:eastAsia="Arial Unicode MS" w:cs="Calibri"/>
          <w:sz w:val="24"/>
          <w:szCs w:val="24"/>
        </w:rPr>
        <w:t xml:space="preserve"> 202</w:t>
      </w:r>
      <w:r w:rsidR="00785678" w:rsidRPr="00855F9D">
        <w:rPr>
          <w:rFonts w:eastAsia="Arial Unicode MS" w:cs="Calibri"/>
          <w:sz w:val="24"/>
          <w:szCs w:val="24"/>
        </w:rPr>
        <w:t>3</w:t>
      </w:r>
      <w:r w:rsidR="00674F9B" w:rsidRPr="00855F9D">
        <w:rPr>
          <w:rFonts w:eastAsia="Arial Unicode MS" w:cs="Calibri"/>
          <w:sz w:val="24"/>
          <w:szCs w:val="24"/>
        </w:rPr>
        <w:t xml:space="preserve">. </w:t>
      </w:r>
    </w:p>
    <w:p w14:paraId="7DC852A1" w14:textId="179B70CD" w:rsidR="00DF4AB2" w:rsidRPr="00855F9D" w:rsidRDefault="00F2394D" w:rsidP="0037094A">
      <w:pPr>
        <w:tabs>
          <w:tab w:val="num" w:pos="1440"/>
          <w:tab w:val="num" w:pos="2160"/>
        </w:tabs>
        <w:spacing w:line="360" w:lineRule="auto"/>
        <w:ind w:firstLine="851"/>
        <w:jc w:val="both"/>
        <w:rPr>
          <w:rFonts w:eastAsia="Arial Unicode MS" w:cs="Calibri"/>
          <w:sz w:val="24"/>
          <w:szCs w:val="24"/>
        </w:rPr>
      </w:pPr>
      <w:r w:rsidRPr="00855F9D">
        <w:rPr>
          <w:rFonts w:eastAsia="Arial Unicode MS" w:cs="Calibri"/>
          <w:sz w:val="24"/>
          <w:szCs w:val="24"/>
        </w:rPr>
        <w:t>P</w:t>
      </w:r>
      <w:r w:rsidR="00DF4AB2" w:rsidRPr="00855F9D">
        <w:rPr>
          <w:rFonts w:eastAsia="Arial Unicode MS" w:cs="Calibri"/>
          <w:sz w:val="24"/>
          <w:szCs w:val="24"/>
        </w:rPr>
        <w:t>ara as estimativas de 202</w:t>
      </w:r>
      <w:r w:rsidR="00785678" w:rsidRPr="00855F9D">
        <w:rPr>
          <w:rFonts w:eastAsia="Arial Unicode MS" w:cs="Calibri"/>
          <w:sz w:val="24"/>
          <w:szCs w:val="24"/>
        </w:rPr>
        <w:t>4</w:t>
      </w:r>
      <w:r w:rsidR="00DF4AB2" w:rsidRPr="00855F9D">
        <w:rPr>
          <w:rFonts w:eastAsia="Arial Unicode MS" w:cs="Calibri"/>
          <w:sz w:val="24"/>
          <w:szCs w:val="24"/>
        </w:rPr>
        <w:t>,</w:t>
      </w:r>
      <w:r w:rsidR="001E71EA" w:rsidRPr="00855F9D">
        <w:rPr>
          <w:rFonts w:eastAsia="Arial Unicode MS" w:cs="Calibri"/>
          <w:sz w:val="24"/>
          <w:szCs w:val="24"/>
        </w:rPr>
        <w:t xml:space="preserve"> fo</w:t>
      </w:r>
      <w:r w:rsidR="00475128" w:rsidRPr="00855F9D">
        <w:rPr>
          <w:rFonts w:eastAsia="Arial Unicode MS" w:cs="Calibri"/>
          <w:sz w:val="24"/>
          <w:szCs w:val="24"/>
        </w:rPr>
        <w:t xml:space="preserve">ram </w:t>
      </w:r>
      <w:r w:rsidR="001E71EA" w:rsidRPr="00855F9D">
        <w:rPr>
          <w:rFonts w:eastAsia="Arial Unicode MS" w:cs="Calibri"/>
          <w:sz w:val="24"/>
          <w:szCs w:val="24"/>
        </w:rPr>
        <w:t>considerada</w:t>
      </w:r>
      <w:r w:rsidR="00475128" w:rsidRPr="00855F9D">
        <w:rPr>
          <w:rFonts w:eastAsia="Arial Unicode MS" w:cs="Calibri"/>
          <w:sz w:val="24"/>
          <w:szCs w:val="24"/>
        </w:rPr>
        <w:t>s</w:t>
      </w:r>
      <w:r w:rsidR="001E71EA" w:rsidRPr="00855F9D">
        <w:rPr>
          <w:rFonts w:eastAsia="Arial Unicode MS" w:cs="Calibri"/>
          <w:sz w:val="24"/>
          <w:szCs w:val="24"/>
        </w:rPr>
        <w:t xml:space="preserve"> </w:t>
      </w:r>
      <w:r w:rsidR="007D1870" w:rsidRPr="00855F9D">
        <w:rPr>
          <w:rFonts w:eastAsia="Arial Unicode MS" w:cs="Calibri"/>
          <w:sz w:val="24"/>
          <w:szCs w:val="24"/>
        </w:rPr>
        <w:t>Empresas Projetadas até 31/12/2</w:t>
      </w:r>
      <w:r w:rsidR="00785678" w:rsidRPr="00855F9D">
        <w:rPr>
          <w:rFonts w:eastAsia="Arial Unicode MS" w:cs="Calibri"/>
          <w:sz w:val="24"/>
          <w:szCs w:val="24"/>
        </w:rPr>
        <w:t>023</w:t>
      </w:r>
      <w:r w:rsidR="007D1870" w:rsidRPr="00855F9D">
        <w:rPr>
          <w:rFonts w:eastAsia="Arial Unicode MS" w:cs="Calibri"/>
          <w:sz w:val="24"/>
          <w:szCs w:val="24"/>
        </w:rPr>
        <w:t xml:space="preserve"> + Novas Empresas</w:t>
      </w:r>
      <w:r w:rsidR="0037094A" w:rsidRPr="00855F9D">
        <w:rPr>
          <w:rFonts w:eastAsia="Arial Unicode MS" w:cs="Calibri"/>
          <w:sz w:val="24"/>
          <w:szCs w:val="24"/>
        </w:rPr>
        <w:t xml:space="preserve">, totalizando </w:t>
      </w:r>
      <w:r w:rsidR="0083343F" w:rsidRPr="00855F9D">
        <w:rPr>
          <w:rFonts w:eastAsia="Arial Unicode MS" w:cs="Calibri"/>
          <w:sz w:val="24"/>
          <w:szCs w:val="24"/>
        </w:rPr>
        <w:t>3</w:t>
      </w:r>
      <w:r w:rsidR="00785678" w:rsidRPr="00855F9D">
        <w:rPr>
          <w:rFonts w:eastAsia="Arial Unicode MS" w:cs="Calibri"/>
          <w:sz w:val="24"/>
          <w:szCs w:val="24"/>
        </w:rPr>
        <w:t>4</w:t>
      </w:r>
      <w:r w:rsidR="0083343F" w:rsidRPr="00855F9D">
        <w:rPr>
          <w:rFonts w:eastAsia="Arial Unicode MS" w:cs="Calibri"/>
          <w:sz w:val="24"/>
          <w:szCs w:val="24"/>
        </w:rPr>
        <w:t>.</w:t>
      </w:r>
      <w:r w:rsidR="00785678" w:rsidRPr="00855F9D">
        <w:rPr>
          <w:rFonts w:eastAsia="Arial Unicode MS" w:cs="Calibri"/>
          <w:sz w:val="24"/>
          <w:szCs w:val="24"/>
        </w:rPr>
        <w:t>529</w:t>
      </w:r>
      <w:r w:rsidR="0037094A" w:rsidRPr="00855F9D">
        <w:rPr>
          <w:rFonts w:eastAsia="Arial Unicode MS" w:cs="Calibri"/>
          <w:sz w:val="24"/>
          <w:szCs w:val="24"/>
        </w:rPr>
        <w:t xml:space="preserve"> empresas projetadas para 202</w:t>
      </w:r>
      <w:r w:rsidR="00785678" w:rsidRPr="00855F9D">
        <w:rPr>
          <w:rFonts w:eastAsia="Arial Unicode MS" w:cs="Calibri"/>
          <w:sz w:val="24"/>
          <w:szCs w:val="24"/>
        </w:rPr>
        <w:t>4</w:t>
      </w:r>
      <w:r w:rsidR="00475128" w:rsidRPr="00855F9D">
        <w:rPr>
          <w:rFonts w:eastAsia="Arial Unicode MS" w:cs="Calibri"/>
          <w:sz w:val="24"/>
          <w:szCs w:val="24"/>
        </w:rPr>
        <w:t>,</w:t>
      </w:r>
      <w:r w:rsidR="0037094A" w:rsidRPr="00855F9D">
        <w:rPr>
          <w:rFonts w:eastAsia="Arial Unicode MS" w:cs="Calibri"/>
          <w:sz w:val="24"/>
          <w:szCs w:val="24"/>
        </w:rPr>
        <w:t xml:space="preserve"> </w:t>
      </w:r>
      <w:r w:rsidR="00DF4AB2" w:rsidRPr="00855F9D">
        <w:rPr>
          <w:rFonts w:eastAsia="Arial Unicode MS" w:cs="Calibri"/>
          <w:sz w:val="24"/>
          <w:szCs w:val="24"/>
        </w:rPr>
        <w:t xml:space="preserve">com uma inadimplência média de </w:t>
      </w:r>
      <w:r w:rsidR="0055420B" w:rsidRPr="00855F9D">
        <w:rPr>
          <w:rFonts w:eastAsia="Arial Unicode MS" w:cs="Calibri"/>
          <w:sz w:val="24"/>
          <w:szCs w:val="24"/>
        </w:rPr>
        <w:t>4</w:t>
      </w:r>
      <w:r w:rsidR="00785678" w:rsidRPr="00855F9D">
        <w:rPr>
          <w:rFonts w:eastAsia="Arial Unicode MS" w:cs="Calibri"/>
          <w:sz w:val="24"/>
          <w:szCs w:val="24"/>
        </w:rPr>
        <w:t>7</w:t>
      </w:r>
      <w:r w:rsidR="0055420B" w:rsidRPr="00855F9D">
        <w:rPr>
          <w:rFonts w:eastAsia="Arial Unicode MS" w:cs="Calibri"/>
          <w:sz w:val="24"/>
          <w:szCs w:val="24"/>
        </w:rPr>
        <w:t>,</w:t>
      </w:r>
      <w:r w:rsidR="00785678" w:rsidRPr="00855F9D">
        <w:rPr>
          <w:rFonts w:eastAsia="Arial Unicode MS" w:cs="Calibri"/>
          <w:sz w:val="24"/>
          <w:szCs w:val="24"/>
        </w:rPr>
        <w:t>2</w:t>
      </w:r>
      <w:r w:rsidR="00DF4AB2" w:rsidRPr="00855F9D">
        <w:rPr>
          <w:rFonts w:eastAsia="Arial Unicode MS" w:cs="Calibri"/>
          <w:sz w:val="24"/>
          <w:szCs w:val="24"/>
        </w:rPr>
        <w:t xml:space="preserve">% </w:t>
      </w:r>
      <w:r w:rsidR="00475128" w:rsidRPr="00855F9D">
        <w:rPr>
          <w:rFonts w:eastAsia="Arial Unicode MS" w:cs="Calibri"/>
          <w:sz w:val="24"/>
          <w:szCs w:val="24"/>
        </w:rPr>
        <w:t>(</w:t>
      </w:r>
      <w:r w:rsidR="0055420B" w:rsidRPr="00855F9D">
        <w:rPr>
          <w:rFonts w:eastAsia="Arial Unicode MS" w:cs="Calibri"/>
          <w:sz w:val="24"/>
          <w:szCs w:val="24"/>
        </w:rPr>
        <w:t>1</w:t>
      </w:r>
      <w:r w:rsidR="00785678" w:rsidRPr="00855F9D">
        <w:rPr>
          <w:rFonts w:eastAsia="Arial Unicode MS" w:cs="Calibri"/>
          <w:sz w:val="24"/>
          <w:szCs w:val="24"/>
        </w:rPr>
        <w:t>8.220</w:t>
      </w:r>
      <w:r w:rsidR="0037094A" w:rsidRPr="00855F9D">
        <w:rPr>
          <w:rFonts w:eastAsia="Arial Unicode MS" w:cs="Calibri"/>
          <w:sz w:val="24"/>
          <w:szCs w:val="24"/>
        </w:rPr>
        <w:t xml:space="preserve"> </w:t>
      </w:r>
      <w:r w:rsidR="00DF4AB2" w:rsidRPr="00855F9D">
        <w:rPr>
          <w:rFonts w:eastAsia="Arial Unicode MS" w:cs="Calibri"/>
          <w:sz w:val="24"/>
          <w:szCs w:val="24"/>
        </w:rPr>
        <w:t>empresas</w:t>
      </w:r>
      <w:r w:rsidR="004358BA" w:rsidRPr="00855F9D">
        <w:rPr>
          <w:rFonts w:eastAsia="Arial Unicode MS" w:cs="Calibri"/>
          <w:sz w:val="24"/>
          <w:szCs w:val="24"/>
        </w:rPr>
        <w:t xml:space="preserve"> pagantes</w:t>
      </w:r>
      <w:r w:rsidR="00475128" w:rsidRPr="00855F9D">
        <w:rPr>
          <w:rFonts w:eastAsia="Arial Unicode MS" w:cs="Calibri"/>
          <w:sz w:val="24"/>
          <w:szCs w:val="24"/>
        </w:rPr>
        <w:t>)</w:t>
      </w:r>
      <w:r w:rsidR="0037094A" w:rsidRPr="00855F9D">
        <w:rPr>
          <w:rFonts w:eastAsia="Arial Unicode MS" w:cs="Calibri"/>
          <w:sz w:val="24"/>
          <w:szCs w:val="24"/>
        </w:rPr>
        <w:t>.</w:t>
      </w:r>
      <w:r w:rsidR="00DF4AB2" w:rsidRPr="00855F9D">
        <w:rPr>
          <w:rFonts w:eastAsia="Arial Unicode MS" w:cs="Calibri"/>
          <w:sz w:val="24"/>
          <w:szCs w:val="24"/>
        </w:rPr>
        <w:t xml:space="preserve"> </w:t>
      </w:r>
    </w:p>
    <w:p w14:paraId="31B368A8" w14:textId="073DB806" w:rsidR="00475128" w:rsidRPr="00855F9D" w:rsidRDefault="00DF4AB2" w:rsidP="00DF4AB2">
      <w:pPr>
        <w:tabs>
          <w:tab w:val="num" w:pos="1440"/>
          <w:tab w:val="num" w:pos="2160"/>
        </w:tabs>
        <w:spacing w:line="360" w:lineRule="auto"/>
        <w:ind w:firstLine="851"/>
        <w:jc w:val="both"/>
        <w:rPr>
          <w:rFonts w:eastAsia="Arial Unicode MS" w:cs="Calibri"/>
          <w:sz w:val="24"/>
          <w:szCs w:val="24"/>
        </w:rPr>
      </w:pPr>
      <w:r w:rsidRPr="00855F9D">
        <w:rPr>
          <w:rFonts w:eastAsia="Arial Unicode MS" w:cs="Calibri"/>
          <w:sz w:val="24"/>
          <w:szCs w:val="24"/>
        </w:rPr>
        <w:t xml:space="preserve">Para os Registros de Responsabilidade Técnica – RRT, as informações do </w:t>
      </w:r>
      <w:r w:rsidR="00F14AAC" w:rsidRPr="00855F9D">
        <w:rPr>
          <w:rFonts w:eastAsia="Arial Unicode MS" w:cs="Calibri"/>
          <w:sz w:val="24"/>
          <w:szCs w:val="24"/>
        </w:rPr>
        <w:t>relatório IGEO (Repositório)</w:t>
      </w:r>
      <w:r w:rsidRPr="00855F9D">
        <w:rPr>
          <w:rFonts w:eastAsia="Arial Unicode MS" w:cs="Calibri"/>
          <w:sz w:val="24"/>
          <w:szCs w:val="24"/>
        </w:rPr>
        <w:t xml:space="preserve">, no período de janeiro a </w:t>
      </w:r>
      <w:r w:rsidR="00327ADB" w:rsidRPr="00855F9D">
        <w:rPr>
          <w:rFonts w:eastAsia="Arial Unicode MS" w:cs="Calibri"/>
          <w:sz w:val="24"/>
          <w:szCs w:val="24"/>
        </w:rPr>
        <w:t>31</w:t>
      </w:r>
      <w:r w:rsidRPr="00855F9D">
        <w:rPr>
          <w:rFonts w:eastAsia="Arial Unicode MS" w:cs="Calibri"/>
          <w:sz w:val="24"/>
          <w:szCs w:val="24"/>
        </w:rPr>
        <w:t xml:space="preserve"> de </w:t>
      </w:r>
      <w:r w:rsidR="00327ADB" w:rsidRPr="00855F9D">
        <w:rPr>
          <w:rFonts w:eastAsia="Arial Unicode MS" w:cs="Calibri"/>
          <w:sz w:val="24"/>
          <w:szCs w:val="24"/>
        </w:rPr>
        <w:t>julho</w:t>
      </w:r>
      <w:r w:rsidR="00D73FD9" w:rsidRPr="00855F9D">
        <w:rPr>
          <w:rFonts w:eastAsia="Arial Unicode MS" w:cs="Calibri"/>
          <w:sz w:val="24"/>
          <w:szCs w:val="24"/>
        </w:rPr>
        <w:t xml:space="preserve"> de</w:t>
      </w:r>
      <w:r w:rsidRPr="00855F9D">
        <w:rPr>
          <w:rFonts w:eastAsia="Arial Unicode MS" w:cs="Calibri"/>
          <w:sz w:val="24"/>
          <w:szCs w:val="24"/>
        </w:rPr>
        <w:t xml:space="preserve"> 20</w:t>
      </w:r>
      <w:r w:rsidR="00D73FD9" w:rsidRPr="00855F9D">
        <w:rPr>
          <w:rFonts w:eastAsia="Arial Unicode MS" w:cs="Calibri"/>
          <w:sz w:val="24"/>
          <w:szCs w:val="24"/>
        </w:rPr>
        <w:t>2</w:t>
      </w:r>
      <w:r w:rsidR="00785678" w:rsidRPr="00855F9D">
        <w:rPr>
          <w:rFonts w:eastAsia="Arial Unicode MS" w:cs="Calibri"/>
          <w:sz w:val="24"/>
          <w:szCs w:val="24"/>
        </w:rPr>
        <w:t>3</w:t>
      </w:r>
      <w:r w:rsidRPr="00855F9D">
        <w:rPr>
          <w:rFonts w:eastAsia="Arial Unicode MS" w:cs="Calibri"/>
          <w:sz w:val="24"/>
          <w:szCs w:val="24"/>
        </w:rPr>
        <w:t>, são de</w:t>
      </w:r>
      <w:r w:rsidR="00697869" w:rsidRPr="00855F9D">
        <w:rPr>
          <w:rFonts w:eastAsia="Arial Unicode MS" w:cs="Calibri"/>
          <w:sz w:val="24"/>
          <w:szCs w:val="24"/>
        </w:rPr>
        <w:t xml:space="preserve"> </w:t>
      </w:r>
      <w:r w:rsidR="00D700B2" w:rsidRPr="00855F9D">
        <w:rPr>
          <w:rFonts w:eastAsia="Arial Unicode MS" w:cs="Calibri"/>
          <w:sz w:val="24"/>
          <w:szCs w:val="24"/>
        </w:rPr>
        <w:t>560,054</w:t>
      </w:r>
      <w:r w:rsidRPr="00855F9D">
        <w:rPr>
          <w:rFonts w:eastAsia="Arial Unicode MS" w:cs="Calibri"/>
          <w:sz w:val="24"/>
          <w:szCs w:val="24"/>
        </w:rPr>
        <w:t xml:space="preserve"> RRT registrados, </w:t>
      </w:r>
      <w:r w:rsidR="0037094A" w:rsidRPr="00855F9D">
        <w:rPr>
          <w:rFonts w:eastAsia="Arial Unicode MS" w:cs="Calibri"/>
          <w:sz w:val="24"/>
          <w:szCs w:val="24"/>
        </w:rPr>
        <w:t xml:space="preserve">representando um atingimento de </w:t>
      </w:r>
      <w:r w:rsidR="0039705F" w:rsidRPr="00855F9D">
        <w:rPr>
          <w:rFonts w:eastAsia="Arial Unicode MS" w:cs="Calibri"/>
          <w:sz w:val="24"/>
          <w:szCs w:val="24"/>
        </w:rPr>
        <w:t>5</w:t>
      </w:r>
      <w:r w:rsidR="00D700B2" w:rsidRPr="00855F9D">
        <w:rPr>
          <w:rFonts w:eastAsia="Arial Unicode MS" w:cs="Calibri"/>
          <w:sz w:val="24"/>
          <w:szCs w:val="24"/>
        </w:rPr>
        <w:t>6</w:t>
      </w:r>
      <w:r w:rsidR="0037094A" w:rsidRPr="00855F9D">
        <w:rPr>
          <w:rFonts w:eastAsia="Arial Unicode MS" w:cs="Calibri"/>
          <w:sz w:val="24"/>
          <w:szCs w:val="24"/>
        </w:rPr>
        <w:t>,</w:t>
      </w:r>
      <w:r w:rsidR="00D700B2" w:rsidRPr="00855F9D">
        <w:rPr>
          <w:rFonts w:eastAsia="Arial Unicode MS" w:cs="Calibri"/>
          <w:sz w:val="24"/>
          <w:szCs w:val="24"/>
        </w:rPr>
        <w:t>7</w:t>
      </w:r>
      <w:r w:rsidR="0037094A" w:rsidRPr="00855F9D">
        <w:rPr>
          <w:rFonts w:eastAsia="Arial Unicode MS" w:cs="Calibri"/>
          <w:sz w:val="24"/>
          <w:szCs w:val="24"/>
        </w:rPr>
        <w:t>% frente ao previsto na reprogramação 202</w:t>
      </w:r>
      <w:r w:rsidR="00785678" w:rsidRPr="00855F9D">
        <w:rPr>
          <w:rFonts w:eastAsia="Arial Unicode MS" w:cs="Calibri"/>
          <w:sz w:val="24"/>
          <w:szCs w:val="24"/>
        </w:rPr>
        <w:t>3</w:t>
      </w:r>
      <w:r w:rsidR="0037094A" w:rsidRPr="00855F9D">
        <w:rPr>
          <w:rFonts w:eastAsia="Arial Unicode MS" w:cs="Calibri"/>
          <w:sz w:val="24"/>
          <w:szCs w:val="24"/>
        </w:rPr>
        <w:t xml:space="preserve">. </w:t>
      </w:r>
    </w:p>
    <w:p w14:paraId="7DC852A2" w14:textId="19C44EDD" w:rsidR="00DF4AB2" w:rsidRPr="003C2FC6" w:rsidRDefault="007939E4" w:rsidP="00DF4AB2">
      <w:pPr>
        <w:tabs>
          <w:tab w:val="num" w:pos="1440"/>
          <w:tab w:val="num" w:pos="2160"/>
        </w:tabs>
        <w:spacing w:line="360" w:lineRule="auto"/>
        <w:ind w:firstLine="851"/>
        <w:jc w:val="both"/>
        <w:rPr>
          <w:rFonts w:eastAsia="Arial Unicode MS" w:cs="Calibri"/>
          <w:sz w:val="24"/>
          <w:szCs w:val="24"/>
        </w:rPr>
      </w:pPr>
      <w:r w:rsidRPr="00855F9D">
        <w:rPr>
          <w:rFonts w:eastAsia="Arial Unicode MS" w:cs="Calibri"/>
          <w:sz w:val="24"/>
          <w:szCs w:val="24"/>
        </w:rPr>
        <w:t>P</w:t>
      </w:r>
      <w:r w:rsidR="00DF4AB2" w:rsidRPr="00855F9D">
        <w:rPr>
          <w:rFonts w:eastAsia="Arial Unicode MS" w:cs="Calibri"/>
          <w:sz w:val="24"/>
          <w:szCs w:val="24"/>
        </w:rPr>
        <w:t>ara a Programação 202</w:t>
      </w:r>
      <w:r w:rsidR="00785678" w:rsidRPr="00855F9D">
        <w:rPr>
          <w:rFonts w:eastAsia="Arial Unicode MS" w:cs="Calibri"/>
          <w:sz w:val="24"/>
          <w:szCs w:val="24"/>
        </w:rPr>
        <w:t>4</w:t>
      </w:r>
      <w:r w:rsidR="00DF4AB2" w:rsidRPr="00855F9D">
        <w:rPr>
          <w:rFonts w:eastAsia="Arial Unicode MS" w:cs="Calibri"/>
          <w:sz w:val="24"/>
          <w:szCs w:val="24"/>
        </w:rPr>
        <w:t>, a premissa adotada foi considerar a</w:t>
      </w:r>
      <w:r w:rsidR="001C7ED0" w:rsidRPr="00855F9D">
        <w:rPr>
          <w:rFonts w:eastAsia="Arial Unicode MS" w:cs="Calibri"/>
          <w:sz w:val="24"/>
          <w:szCs w:val="24"/>
        </w:rPr>
        <w:t xml:space="preserve"> </w:t>
      </w:r>
      <w:r w:rsidR="00DF4AB2" w:rsidRPr="00855F9D">
        <w:rPr>
          <w:rFonts w:eastAsia="Arial Unicode MS" w:cs="Calibri"/>
          <w:sz w:val="24"/>
          <w:szCs w:val="24"/>
        </w:rPr>
        <w:t xml:space="preserve">quantidade dos profissionais ativos programados, </w:t>
      </w:r>
      <w:r w:rsidR="000B6453" w:rsidRPr="00855F9D">
        <w:rPr>
          <w:rFonts w:eastAsia="Arial Unicode MS" w:cs="Calibri"/>
          <w:sz w:val="24"/>
          <w:szCs w:val="24"/>
        </w:rPr>
        <w:t xml:space="preserve">reduzindo </w:t>
      </w:r>
      <w:r w:rsidR="0056699E" w:rsidRPr="00855F9D">
        <w:rPr>
          <w:rFonts w:eastAsia="Arial Unicode MS" w:cs="Calibri"/>
          <w:sz w:val="24"/>
          <w:szCs w:val="24"/>
        </w:rPr>
        <w:t xml:space="preserve">o quantitativo de </w:t>
      </w:r>
      <w:r w:rsidR="00DF4AB2" w:rsidRPr="00855F9D">
        <w:rPr>
          <w:rFonts w:eastAsia="Arial Unicode MS" w:cs="Calibri"/>
          <w:sz w:val="24"/>
          <w:szCs w:val="24"/>
        </w:rPr>
        <w:t>50</w:t>
      </w:r>
      <w:r w:rsidR="00963614" w:rsidRPr="00855F9D">
        <w:rPr>
          <w:rFonts w:eastAsia="Arial Unicode MS" w:cs="Calibri"/>
          <w:sz w:val="24"/>
          <w:szCs w:val="24"/>
        </w:rPr>
        <w:t>,0</w:t>
      </w:r>
      <w:r w:rsidR="00DF4AB2" w:rsidRPr="00855F9D">
        <w:rPr>
          <w:rFonts w:eastAsia="Arial Unicode MS" w:cs="Calibri"/>
          <w:sz w:val="24"/>
          <w:szCs w:val="24"/>
        </w:rPr>
        <w:t xml:space="preserve">% </w:t>
      </w:r>
      <w:r w:rsidR="00BE0331" w:rsidRPr="00855F9D">
        <w:rPr>
          <w:rFonts w:eastAsia="Arial Unicode MS" w:cs="Calibri"/>
          <w:sz w:val="24"/>
          <w:szCs w:val="24"/>
        </w:rPr>
        <w:t>d</w:t>
      </w:r>
      <w:r w:rsidR="00BA2171" w:rsidRPr="00855F9D">
        <w:rPr>
          <w:rFonts w:eastAsia="Arial Unicode MS" w:cs="Calibri"/>
          <w:sz w:val="24"/>
          <w:szCs w:val="24"/>
        </w:rPr>
        <w:t>o</w:t>
      </w:r>
      <w:r w:rsidR="00BE0331" w:rsidRPr="00855F9D">
        <w:rPr>
          <w:rFonts w:eastAsia="Arial Unicode MS" w:cs="Calibri"/>
          <w:sz w:val="24"/>
          <w:szCs w:val="24"/>
        </w:rPr>
        <w:t xml:space="preserve">s </w:t>
      </w:r>
      <w:r w:rsidR="00BA2171" w:rsidRPr="00855F9D">
        <w:rPr>
          <w:rFonts w:eastAsia="Arial Unicode MS" w:cs="Calibri"/>
          <w:sz w:val="24"/>
          <w:szCs w:val="24"/>
        </w:rPr>
        <w:t xml:space="preserve">profissionais </w:t>
      </w:r>
      <w:r w:rsidR="000C510D" w:rsidRPr="00855F9D">
        <w:rPr>
          <w:rFonts w:eastAsia="Arial Unicode MS" w:cs="Calibri"/>
          <w:sz w:val="24"/>
          <w:szCs w:val="24"/>
        </w:rPr>
        <w:t>egressos</w:t>
      </w:r>
      <w:r w:rsidR="00BE0331" w:rsidRPr="00855F9D">
        <w:rPr>
          <w:rFonts w:eastAsia="Arial Unicode MS" w:cs="Calibri"/>
          <w:sz w:val="24"/>
          <w:szCs w:val="24"/>
        </w:rPr>
        <w:t xml:space="preserve"> </w:t>
      </w:r>
      <w:r w:rsidR="001C7ED0" w:rsidRPr="00855F9D">
        <w:rPr>
          <w:rFonts w:eastAsia="Arial Unicode MS" w:cs="Calibri"/>
          <w:sz w:val="24"/>
          <w:szCs w:val="24"/>
        </w:rPr>
        <w:t xml:space="preserve">multiplicando </w:t>
      </w:r>
      <w:r w:rsidR="00DC20F3" w:rsidRPr="00855F9D">
        <w:rPr>
          <w:rFonts w:eastAsia="Arial Unicode MS" w:cs="Calibri"/>
          <w:sz w:val="24"/>
          <w:szCs w:val="24"/>
        </w:rPr>
        <w:t xml:space="preserve">a média </w:t>
      </w:r>
      <w:r w:rsidR="00A4250A" w:rsidRPr="00855F9D">
        <w:rPr>
          <w:rFonts w:eastAsia="Arial Unicode MS" w:cs="Calibri"/>
          <w:sz w:val="24"/>
          <w:szCs w:val="24"/>
        </w:rPr>
        <w:t>por PF</w:t>
      </w:r>
      <w:r w:rsidR="00704564" w:rsidRPr="00855F9D">
        <w:rPr>
          <w:rFonts w:eastAsia="Arial Unicode MS" w:cs="Calibri"/>
          <w:sz w:val="24"/>
          <w:szCs w:val="24"/>
        </w:rPr>
        <w:t xml:space="preserve"> (</w:t>
      </w:r>
      <w:r w:rsidR="00A241B9" w:rsidRPr="00855F9D">
        <w:rPr>
          <w:rFonts w:eastAsia="Arial Unicode MS" w:cs="Calibri"/>
          <w:sz w:val="24"/>
          <w:szCs w:val="24"/>
        </w:rPr>
        <w:t xml:space="preserve">utilizou-se a média da </w:t>
      </w:r>
      <w:r w:rsidR="00704564" w:rsidRPr="00855F9D">
        <w:rPr>
          <w:rFonts w:eastAsia="Arial Unicode MS" w:cs="Calibri"/>
          <w:sz w:val="24"/>
          <w:szCs w:val="24"/>
        </w:rPr>
        <w:t>reprogramação 202</w:t>
      </w:r>
      <w:r w:rsidR="00785678" w:rsidRPr="00855F9D">
        <w:rPr>
          <w:rFonts w:eastAsia="Arial Unicode MS" w:cs="Calibri"/>
          <w:sz w:val="24"/>
          <w:szCs w:val="24"/>
        </w:rPr>
        <w:t>3</w:t>
      </w:r>
      <w:r w:rsidR="00A241B9" w:rsidRPr="00855F9D">
        <w:rPr>
          <w:rFonts w:eastAsia="Arial Unicode MS" w:cs="Calibri"/>
          <w:sz w:val="24"/>
          <w:szCs w:val="24"/>
        </w:rPr>
        <w:t>)</w:t>
      </w:r>
      <w:r w:rsidR="00D700B2" w:rsidRPr="00855F9D">
        <w:rPr>
          <w:rFonts w:eastAsia="Arial Unicode MS" w:cs="Calibri"/>
          <w:sz w:val="24"/>
          <w:szCs w:val="24"/>
        </w:rPr>
        <w:t>, perfazendo o total de 997.509 RRT</w:t>
      </w:r>
      <w:r w:rsidR="00D700B2">
        <w:rPr>
          <w:rFonts w:eastAsia="Arial Unicode MS" w:cs="Calibri"/>
          <w:sz w:val="24"/>
          <w:szCs w:val="24"/>
        </w:rPr>
        <w:t xml:space="preserve"> pagos</w:t>
      </w:r>
      <w:r w:rsidR="00C279D3" w:rsidRPr="00A241B9">
        <w:rPr>
          <w:rFonts w:eastAsia="Arial Unicode MS" w:cs="Calibri"/>
          <w:sz w:val="24"/>
          <w:szCs w:val="24"/>
        </w:rPr>
        <w:t xml:space="preserve">. </w:t>
      </w:r>
    </w:p>
    <w:p w14:paraId="37411726" w14:textId="4AC2BB2A" w:rsidR="003C2FC6" w:rsidRDefault="003C2FC6" w:rsidP="00052AD1">
      <w:pPr>
        <w:tabs>
          <w:tab w:val="num" w:pos="1440"/>
          <w:tab w:val="num" w:pos="2160"/>
        </w:tabs>
        <w:spacing w:after="0" w:line="360" w:lineRule="auto"/>
        <w:ind w:firstLine="851"/>
        <w:jc w:val="both"/>
        <w:rPr>
          <w:rFonts w:eastAsia="Arial Unicode MS" w:cs="Calibri"/>
          <w:color w:val="000000" w:themeColor="text1"/>
          <w:sz w:val="24"/>
          <w:szCs w:val="24"/>
        </w:rPr>
      </w:pPr>
    </w:p>
    <w:p w14:paraId="2B9314B3" w14:textId="77777777" w:rsidR="00475128" w:rsidRDefault="00475128" w:rsidP="00052AD1">
      <w:pPr>
        <w:tabs>
          <w:tab w:val="num" w:pos="1440"/>
          <w:tab w:val="num" w:pos="2160"/>
        </w:tabs>
        <w:spacing w:after="0" w:line="360" w:lineRule="auto"/>
        <w:ind w:firstLine="851"/>
        <w:jc w:val="both"/>
        <w:rPr>
          <w:rFonts w:eastAsia="Arial Unicode MS" w:cs="Calibri"/>
          <w:color w:val="000000" w:themeColor="text1"/>
          <w:sz w:val="24"/>
          <w:szCs w:val="24"/>
        </w:rPr>
      </w:pPr>
    </w:p>
    <w:p w14:paraId="7DC852A4" w14:textId="32CC21C6" w:rsidR="00DF4AB2" w:rsidRPr="00800B1B" w:rsidRDefault="00DF4AB2" w:rsidP="004A729E">
      <w:pPr>
        <w:pStyle w:val="Ttulo3"/>
        <w:ind w:left="851" w:firstLine="0"/>
        <w:rPr>
          <w:rFonts w:eastAsia="Arial Unicode MS"/>
          <w:color w:val="612141"/>
        </w:rPr>
      </w:pPr>
      <w:bookmarkStart w:id="60" w:name="_Toc487558916"/>
      <w:bookmarkStart w:id="61" w:name="_Toc487559017"/>
      <w:bookmarkStart w:id="62" w:name="_Toc147404343"/>
      <w:r w:rsidRPr="00800B1B">
        <w:rPr>
          <w:rFonts w:eastAsia="Arial Unicode MS"/>
          <w:color w:val="612141"/>
        </w:rPr>
        <w:t>Projeção das Receitas de Arrecadaçã</w:t>
      </w:r>
      <w:bookmarkEnd w:id="60"/>
      <w:bookmarkEnd w:id="61"/>
      <w:r w:rsidR="00666471">
        <w:rPr>
          <w:rFonts w:eastAsia="Arial Unicode MS"/>
          <w:color w:val="612141"/>
        </w:rPr>
        <w:t>o</w:t>
      </w:r>
      <w:bookmarkEnd w:id="62"/>
    </w:p>
    <w:p w14:paraId="3D6CC895" w14:textId="2B86D060" w:rsidR="00666471" w:rsidRDefault="00DF4AB2" w:rsidP="001A12C8">
      <w:pPr>
        <w:spacing w:line="360" w:lineRule="auto"/>
        <w:ind w:firstLine="851"/>
        <w:jc w:val="both"/>
        <w:rPr>
          <w:rFonts w:eastAsia="Arial Unicode MS" w:cs="Calibri"/>
          <w:color w:val="000000" w:themeColor="text1"/>
          <w:sz w:val="24"/>
          <w:szCs w:val="24"/>
        </w:rPr>
      </w:pPr>
      <w:r w:rsidRPr="00C571B5">
        <w:rPr>
          <w:rFonts w:eastAsia="Arial Unicode MS" w:cs="Calibri"/>
          <w:color w:val="000000" w:themeColor="text1"/>
          <w:sz w:val="24"/>
          <w:szCs w:val="24"/>
        </w:rPr>
        <w:t xml:space="preserve">Face às informações atuais, considerando o esforço de </w:t>
      </w:r>
      <w:r w:rsidR="00A241B9" w:rsidRPr="00C571B5">
        <w:rPr>
          <w:rFonts w:eastAsia="Arial Unicode MS" w:cs="Calibri"/>
          <w:color w:val="000000" w:themeColor="text1"/>
          <w:sz w:val="24"/>
          <w:szCs w:val="24"/>
        </w:rPr>
        <w:t>recuperação das receitas</w:t>
      </w:r>
      <w:r w:rsidRPr="00C571B5">
        <w:rPr>
          <w:rFonts w:eastAsia="Arial Unicode MS" w:cs="Calibri"/>
          <w:sz w:val="24"/>
          <w:szCs w:val="24"/>
        </w:rPr>
        <w:t xml:space="preserve">, </w:t>
      </w:r>
      <w:r w:rsidRPr="00C571B5">
        <w:rPr>
          <w:rFonts w:eastAsia="Arial Unicode MS" w:cs="Calibri"/>
          <w:color w:val="000000" w:themeColor="text1"/>
          <w:sz w:val="24"/>
          <w:szCs w:val="24"/>
        </w:rPr>
        <w:t>e a estimativa de entrada no mercado de</w:t>
      </w:r>
      <w:r w:rsidRPr="00E20A2B">
        <w:rPr>
          <w:rFonts w:eastAsia="Arial Unicode MS" w:cs="Calibri"/>
          <w:color w:val="000000" w:themeColor="text1"/>
          <w:sz w:val="24"/>
          <w:szCs w:val="24"/>
        </w:rPr>
        <w:t xml:space="preserve"> trabalho de</w:t>
      </w:r>
      <w:r w:rsidR="00666471">
        <w:rPr>
          <w:rFonts w:eastAsia="Arial Unicode MS" w:cs="Calibri"/>
          <w:color w:val="000000" w:themeColor="text1"/>
          <w:sz w:val="24"/>
          <w:szCs w:val="24"/>
        </w:rPr>
        <w:t xml:space="preserve"> </w:t>
      </w:r>
      <w:r w:rsidR="003E09D5">
        <w:rPr>
          <w:rFonts w:eastAsia="Arial Unicode MS" w:cs="Calibri"/>
          <w:color w:val="000000" w:themeColor="text1"/>
          <w:sz w:val="24"/>
          <w:szCs w:val="24"/>
        </w:rPr>
        <w:t>9.194</w:t>
      </w:r>
      <w:r w:rsidRPr="00F418C5">
        <w:rPr>
          <w:rFonts w:eastAsia="Arial Unicode MS" w:cs="Calibri"/>
          <w:color w:val="FF0000"/>
          <w:sz w:val="24"/>
          <w:szCs w:val="24"/>
        </w:rPr>
        <w:t xml:space="preserve"> </w:t>
      </w:r>
      <w:r w:rsidRPr="00A241B9">
        <w:rPr>
          <w:rFonts w:eastAsia="Arial Unicode MS" w:cs="Calibri"/>
          <w:sz w:val="24"/>
          <w:szCs w:val="24"/>
        </w:rPr>
        <w:t>novos arquitetos e urbanistas</w:t>
      </w:r>
      <w:r w:rsidR="00A241B9">
        <w:rPr>
          <w:rFonts w:eastAsia="Arial Unicode MS" w:cs="Calibri"/>
          <w:sz w:val="24"/>
          <w:szCs w:val="24"/>
        </w:rPr>
        <w:t xml:space="preserve"> </w:t>
      </w:r>
      <w:r w:rsidR="00A241B9" w:rsidRPr="00380AE6">
        <w:rPr>
          <w:rFonts w:eastAsia="Arial Unicode MS" w:cs="Calibri"/>
          <w:sz w:val="24"/>
          <w:szCs w:val="24"/>
        </w:rPr>
        <w:t xml:space="preserve">e </w:t>
      </w:r>
      <w:r w:rsidR="003E09D5" w:rsidRPr="003E09D5">
        <w:rPr>
          <w:rFonts w:eastAsia="Arial Unicode MS" w:cs="Calibri"/>
          <w:sz w:val="24"/>
          <w:szCs w:val="24"/>
        </w:rPr>
        <w:t>1264</w:t>
      </w:r>
      <w:r w:rsidR="00A241B9" w:rsidRPr="003E09D5">
        <w:rPr>
          <w:rFonts w:eastAsia="Arial Unicode MS" w:cs="Calibri"/>
          <w:sz w:val="24"/>
          <w:szCs w:val="24"/>
        </w:rPr>
        <w:t xml:space="preserve"> novas empresas</w:t>
      </w:r>
      <w:r w:rsidRPr="003E09D5">
        <w:rPr>
          <w:rFonts w:eastAsia="Arial Unicode MS" w:cs="Calibri"/>
          <w:sz w:val="24"/>
          <w:szCs w:val="24"/>
        </w:rPr>
        <w:t>, para a projeção da arrecadação de 202</w:t>
      </w:r>
      <w:r w:rsidR="00F578C9" w:rsidRPr="003E09D5">
        <w:rPr>
          <w:rFonts w:eastAsia="Arial Unicode MS" w:cs="Calibri"/>
          <w:sz w:val="24"/>
          <w:szCs w:val="24"/>
        </w:rPr>
        <w:t>4</w:t>
      </w:r>
      <w:r w:rsidRPr="003E09D5">
        <w:rPr>
          <w:rFonts w:eastAsia="Arial Unicode MS" w:cs="Calibri"/>
          <w:sz w:val="24"/>
          <w:szCs w:val="24"/>
        </w:rPr>
        <w:t>, foram consideradas as premis</w:t>
      </w:r>
      <w:r w:rsidRPr="00E20A2B">
        <w:rPr>
          <w:rFonts w:eastAsia="Arial Unicode MS" w:cs="Calibri"/>
          <w:color w:val="000000" w:themeColor="text1"/>
          <w:sz w:val="24"/>
          <w:szCs w:val="24"/>
        </w:rPr>
        <w:t>sas a seguir</w:t>
      </w:r>
      <w:r w:rsidR="00666471">
        <w:rPr>
          <w:rFonts w:eastAsia="Arial Unicode MS" w:cs="Calibri"/>
          <w:color w:val="000000" w:themeColor="text1"/>
          <w:sz w:val="24"/>
          <w:szCs w:val="24"/>
        </w:rPr>
        <w:t xml:space="preserve"> (Quadro 2)</w:t>
      </w:r>
      <w:r w:rsidRPr="00E20A2B">
        <w:rPr>
          <w:rFonts w:eastAsia="Arial Unicode MS" w:cs="Calibri"/>
          <w:color w:val="000000" w:themeColor="text1"/>
          <w:sz w:val="24"/>
          <w:szCs w:val="24"/>
        </w:rPr>
        <w:t>.</w:t>
      </w:r>
      <w:r w:rsidR="00666471">
        <w:rPr>
          <w:rFonts w:eastAsia="Arial Unicode MS" w:cs="Calibri"/>
          <w:color w:val="000000" w:themeColor="text1"/>
          <w:sz w:val="24"/>
          <w:szCs w:val="24"/>
        </w:rPr>
        <w:t xml:space="preserve"> Os detalhamentos, por UF, constam no </w:t>
      </w:r>
      <w:r w:rsidR="00666471" w:rsidRPr="006B6C2C">
        <w:rPr>
          <w:rFonts w:eastAsia="Arial Unicode MS" w:cs="Calibri"/>
          <w:color w:val="000000" w:themeColor="text1"/>
          <w:sz w:val="24"/>
          <w:szCs w:val="24"/>
        </w:rPr>
        <w:t>Anexo III.</w:t>
      </w:r>
      <w:r w:rsidRPr="00E20A2B">
        <w:rPr>
          <w:rFonts w:eastAsia="Arial Unicode MS" w:cs="Calibri"/>
          <w:color w:val="000000" w:themeColor="text1"/>
          <w:sz w:val="24"/>
          <w:szCs w:val="24"/>
        </w:rPr>
        <w:t xml:space="preserve"> </w:t>
      </w:r>
    </w:p>
    <w:p w14:paraId="27F65B4E" w14:textId="5E7C2318" w:rsidR="006B6C2C" w:rsidRDefault="002D38BA" w:rsidP="006B6C2C">
      <w:pPr>
        <w:spacing w:line="240" w:lineRule="auto"/>
        <w:jc w:val="right"/>
        <w:rPr>
          <w:rFonts w:eastAsia="Arial Unicode MS"/>
          <w:b/>
          <w:bCs/>
          <w:lang w:eastAsia="pt-BR"/>
        </w:rPr>
      </w:pPr>
      <w:bookmarkStart w:id="63" w:name="_Toc83716308"/>
      <w:r w:rsidRPr="001A12C8">
        <w:rPr>
          <w:rFonts w:eastAsia="Arial Unicode MS"/>
          <w:b/>
          <w:bCs/>
          <w:lang w:eastAsia="pt-BR"/>
        </w:rPr>
        <w:t xml:space="preserve">Quadro </w:t>
      </w:r>
      <w:r w:rsidR="00BA0A88">
        <w:rPr>
          <w:rFonts w:eastAsia="Arial Unicode MS"/>
          <w:b/>
          <w:bCs/>
          <w:lang w:eastAsia="pt-BR"/>
        </w:rPr>
        <w:t>2</w:t>
      </w:r>
      <w:r w:rsidR="00513D77" w:rsidRPr="001A12C8">
        <w:rPr>
          <w:rFonts w:eastAsia="Arial Unicode MS"/>
          <w:b/>
          <w:bCs/>
          <w:lang w:eastAsia="pt-BR"/>
        </w:rPr>
        <w:t xml:space="preserve"> </w:t>
      </w:r>
      <w:r w:rsidRPr="001A12C8">
        <w:rPr>
          <w:rFonts w:eastAsia="Arial Unicode MS"/>
          <w:b/>
          <w:bCs/>
          <w:lang w:eastAsia="pt-BR"/>
        </w:rPr>
        <w:t xml:space="preserve">– </w:t>
      </w:r>
      <w:r w:rsidR="00666471">
        <w:rPr>
          <w:rFonts w:eastAsia="Arial Unicode MS"/>
          <w:b/>
          <w:bCs/>
          <w:lang w:eastAsia="pt-BR"/>
        </w:rPr>
        <w:t xml:space="preserve">Quantitativos de </w:t>
      </w:r>
      <w:r w:rsidRPr="001A12C8">
        <w:rPr>
          <w:rFonts w:eastAsia="Arial Unicode MS"/>
          <w:b/>
          <w:bCs/>
          <w:lang w:eastAsia="pt-BR"/>
        </w:rPr>
        <w:t xml:space="preserve">Arquitetos e Urbanistas, Empresas e RRT </w:t>
      </w:r>
      <w:r w:rsidR="006B6C2C">
        <w:rPr>
          <w:rFonts w:eastAsia="Arial Unicode MS"/>
          <w:b/>
          <w:bCs/>
          <w:lang w:eastAsia="pt-BR"/>
        </w:rPr>
        <w:t xml:space="preserve"> </w:t>
      </w:r>
    </w:p>
    <w:p w14:paraId="3E17B357" w14:textId="57961321" w:rsidR="006B6C2C" w:rsidRDefault="00870AEF" w:rsidP="006B6C2C">
      <w:pPr>
        <w:spacing w:line="240" w:lineRule="auto"/>
        <w:jc w:val="right"/>
        <w:rPr>
          <w:noProof/>
        </w:rPr>
      </w:pPr>
      <w:r w:rsidRPr="001A12C8">
        <w:rPr>
          <w:rFonts w:eastAsia="Arial Unicode MS"/>
          <w:b/>
          <w:bCs/>
          <w:lang w:eastAsia="pt-BR"/>
        </w:rPr>
        <w:t>Rep</w:t>
      </w:r>
      <w:r w:rsidR="002D38BA" w:rsidRPr="001A12C8">
        <w:rPr>
          <w:rFonts w:eastAsia="Arial Unicode MS"/>
          <w:b/>
          <w:bCs/>
          <w:lang w:eastAsia="pt-BR"/>
        </w:rPr>
        <w:t>rogramação 202</w:t>
      </w:r>
      <w:r w:rsidR="002537E7">
        <w:rPr>
          <w:rFonts w:eastAsia="Arial Unicode MS"/>
          <w:b/>
          <w:bCs/>
          <w:lang w:eastAsia="pt-BR"/>
        </w:rPr>
        <w:t>3</w:t>
      </w:r>
      <w:r w:rsidR="002D38BA" w:rsidRPr="001A12C8">
        <w:rPr>
          <w:rFonts w:eastAsia="Arial Unicode MS"/>
          <w:b/>
          <w:bCs/>
          <w:lang w:eastAsia="pt-BR"/>
        </w:rPr>
        <w:t xml:space="preserve"> X </w:t>
      </w:r>
      <w:r w:rsidRPr="001A12C8">
        <w:rPr>
          <w:rFonts w:eastAsia="Arial Unicode MS"/>
          <w:b/>
          <w:bCs/>
          <w:lang w:eastAsia="pt-BR"/>
        </w:rPr>
        <w:t>P</w:t>
      </w:r>
      <w:r w:rsidR="002D38BA" w:rsidRPr="001A12C8">
        <w:rPr>
          <w:rFonts w:eastAsia="Arial Unicode MS"/>
          <w:b/>
          <w:bCs/>
          <w:lang w:eastAsia="pt-BR"/>
        </w:rPr>
        <w:t>rogramação 20</w:t>
      </w:r>
      <w:r w:rsidR="000C1C0C" w:rsidRPr="001A12C8">
        <w:rPr>
          <w:rFonts w:eastAsia="Arial Unicode MS"/>
          <w:b/>
          <w:bCs/>
          <w:lang w:eastAsia="pt-BR"/>
        </w:rPr>
        <w:t>2</w:t>
      </w:r>
      <w:r w:rsidR="002537E7">
        <w:rPr>
          <w:rFonts w:eastAsia="Arial Unicode MS"/>
          <w:b/>
          <w:bCs/>
          <w:lang w:eastAsia="pt-BR"/>
        </w:rPr>
        <w:t>4</w:t>
      </w:r>
      <w:bookmarkStart w:id="64" w:name="_GoBack"/>
      <w:bookmarkEnd w:id="64"/>
      <w:r w:rsidR="00BC464A" w:rsidRPr="001A12C8">
        <w:rPr>
          <w:rFonts w:eastAsia="Arial Unicode MS"/>
          <w:b/>
          <w:bCs/>
          <w:lang w:eastAsia="pt-BR"/>
        </w:rPr>
        <w:t xml:space="preserve"> </w:t>
      </w:r>
      <w:bookmarkEnd w:id="63"/>
    </w:p>
    <w:p w14:paraId="00414B8B" w14:textId="6B42F000" w:rsidR="00256EC0" w:rsidRDefault="00B06B8A" w:rsidP="006B6C2C">
      <w:pPr>
        <w:spacing w:line="360" w:lineRule="auto"/>
        <w:jc w:val="right"/>
        <w:rPr>
          <w:color w:val="1F3864" w:themeColor="accent5" w:themeShade="80"/>
        </w:rPr>
      </w:pPr>
      <w:r w:rsidRPr="00B06B8A">
        <w:rPr>
          <w:noProof/>
          <w:lang w:eastAsia="pt-BR"/>
        </w:rPr>
        <w:drawing>
          <wp:inline distT="0" distB="0" distL="0" distR="0" wp14:anchorId="0DE8B352" wp14:editId="64DB9285">
            <wp:extent cx="4914900" cy="2600325"/>
            <wp:effectExtent l="0" t="0" r="0" b="9525"/>
            <wp:docPr id="86021413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2600325"/>
                    </a:xfrm>
                    <a:prstGeom prst="rect">
                      <a:avLst/>
                    </a:prstGeom>
                    <a:noFill/>
                    <a:ln>
                      <a:noFill/>
                    </a:ln>
                  </pic:spPr>
                </pic:pic>
              </a:graphicData>
            </a:graphic>
          </wp:inline>
        </w:drawing>
      </w:r>
    </w:p>
    <w:p w14:paraId="4A1DE2D9" w14:textId="77777777" w:rsidR="002B787E" w:rsidRPr="00256EC0" w:rsidRDefault="002B787E" w:rsidP="00256EC0"/>
    <w:p w14:paraId="54AA6199" w14:textId="77ED8E55" w:rsidR="00E72352" w:rsidRDefault="00E72352" w:rsidP="002054DA">
      <w:pPr>
        <w:spacing w:after="0" w:line="360" w:lineRule="auto"/>
        <w:ind w:left="2127"/>
        <w:jc w:val="both"/>
        <w:rPr>
          <w:rFonts w:eastAsia="Arial Unicode MS"/>
          <w:b/>
          <w:caps/>
          <w:sz w:val="28"/>
          <w:szCs w:val="28"/>
          <w:u w:val="single"/>
        </w:rPr>
      </w:pPr>
      <w:r>
        <w:rPr>
          <w:noProof/>
          <w:lang w:eastAsia="pt-BR"/>
        </w:rPr>
        <mc:AlternateContent>
          <mc:Choice Requires="wps">
            <w:drawing>
              <wp:anchor distT="0" distB="0" distL="114300" distR="114300" simplePos="0" relativeHeight="251703296" behindDoc="0" locked="0" layoutInCell="1" allowOverlap="1" wp14:anchorId="6D50D1EE" wp14:editId="4AB3C86C">
                <wp:simplePos x="0" y="0"/>
                <wp:positionH relativeFrom="margin">
                  <wp:posOffset>13970</wp:posOffset>
                </wp:positionH>
                <wp:positionV relativeFrom="paragraph">
                  <wp:posOffset>245110</wp:posOffset>
                </wp:positionV>
                <wp:extent cx="5791200" cy="2867025"/>
                <wp:effectExtent l="209550" t="0" r="19050" b="200025"/>
                <wp:wrapTopAndBottom/>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867025"/>
                        </a:xfrm>
                        <a:prstGeom prst="rect">
                          <a:avLst/>
                        </a:prstGeom>
                        <a:solidFill>
                          <a:schemeClr val="accent2"/>
                        </a:solidFill>
                        <a:ln w="6350">
                          <a:solidFill>
                            <a:schemeClr val="bg1">
                              <a:lumMod val="100000"/>
                              <a:lumOff val="0"/>
                            </a:schemeClr>
                          </a:solidFill>
                          <a:miter lim="800000"/>
                          <a:headEnd/>
                          <a:tailEnd/>
                        </a:ln>
                        <a:effectLst>
                          <a:outerShdw dist="250190" dir="8459995" algn="ctr" rotWithShape="0">
                            <a:srgbClr val="000000">
                              <a:alpha val="28000"/>
                            </a:srgbClr>
                          </a:outerShdw>
                        </a:effectLst>
                      </wps:spPr>
                      <wps:txbx>
                        <w:txbxContent>
                          <w:p w14:paraId="024CC143" w14:textId="77777777" w:rsidR="00DA0C5F" w:rsidRPr="00224711" w:rsidRDefault="00DA0C5F" w:rsidP="00224711">
                            <w:pPr>
                              <w:spacing w:line="360" w:lineRule="auto"/>
                              <w:jc w:val="center"/>
                              <w:rPr>
                                <w:rFonts w:eastAsia="Arial Unicode MS" w:cs="Calibri"/>
                                <w:bCs/>
                                <w:i/>
                                <w:color w:val="FFFFFF" w:themeColor="background1"/>
                                <w:sz w:val="10"/>
                                <w:szCs w:val="10"/>
                                <w:shd w:val="clear" w:color="auto" w:fill="ED7D31" w:themeFill="accent2"/>
                              </w:rPr>
                            </w:pPr>
                          </w:p>
                          <w:p w14:paraId="059CEC70" w14:textId="4B8F9611" w:rsidR="00DA0C5F" w:rsidRPr="00E33095" w:rsidRDefault="00DA0C5F" w:rsidP="00224711">
                            <w:pPr>
                              <w:spacing w:line="360" w:lineRule="auto"/>
                              <w:jc w:val="center"/>
                              <w:rPr>
                                <w:rFonts w:eastAsia="Arial Unicode MS" w:cs="Calibri"/>
                                <w:b/>
                                <w:i/>
                                <w:sz w:val="24"/>
                                <w:szCs w:val="24"/>
                              </w:rPr>
                            </w:pPr>
                            <w:r w:rsidRPr="0095450E">
                              <w:rPr>
                                <w:rFonts w:eastAsia="Arial Unicode MS" w:cs="Calibri"/>
                                <w:bCs/>
                                <w:i/>
                                <w:color w:val="FFFFFF" w:themeColor="background1"/>
                                <w:sz w:val="24"/>
                                <w:szCs w:val="24"/>
                                <w:shd w:val="clear" w:color="auto" w:fill="ED7D31" w:themeFill="accent2"/>
                              </w:rPr>
                              <w:t>A proposta de receitas de arrecadação contempla projeções para anuidades de exercícios anteriores</w:t>
                            </w:r>
                            <w:r>
                              <w:rPr>
                                <w:rFonts w:eastAsia="Arial Unicode MS" w:cs="Calibri"/>
                                <w:bCs/>
                                <w:i/>
                                <w:color w:val="FFFFFF" w:themeColor="background1"/>
                                <w:sz w:val="24"/>
                                <w:szCs w:val="24"/>
                                <w:shd w:val="clear" w:color="auto" w:fill="ED7D31" w:themeFill="accent2"/>
                              </w:rPr>
                              <w:t xml:space="preserve"> (2013 a 2022) de acordo com a S</w:t>
                            </w:r>
                            <w:r w:rsidRPr="0095450E">
                              <w:rPr>
                                <w:rFonts w:eastAsia="Arial Unicode MS" w:cs="Calibri"/>
                                <w:bCs/>
                                <w:i/>
                                <w:color w:val="FFFFFF" w:themeColor="background1"/>
                                <w:sz w:val="24"/>
                                <w:szCs w:val="24"/>
                                <w:shd w:val="clear" w:color="auto" w:fill="ED7D31" w:themeFill="accent2"/>
                              </w:rPr>
                              <w:t>úmula nº 92/2020 (CPFI/CAU-BR) e considerando as informações disponíveis nos sistemas informatizados, utilizados pelo CAU, permitiram uma análise e projeções mais consistentes. Nesse contexto, as projeções para essa fonte de recursos ficam estabelecidas em no mínimo 10% para a arrecadação de</w:t>
                            </w:r>
                            <w:r w:rsidRPr="00CD7359">
                              <w:rPr>
                                <w:rFonts w:eastAsia="Arial Unicode MS" w:cs="Calibri"/>
                                <w:bCs/>
                                <w:i/>
                                <w:color w:val="FFFFFF" w:themeColor="background1"/>
                                <w:sz w:val="24"/>
                                <w:szCs w:val="24"/>
                                <w:shd w:val="clear" w:color="auto" w:fill="ED7D31" w:themeFill="accent2"/>
                              </w:rPr>
                              <w:t xml:space="preserve"> receitas das anuidades de exercícios anteriores, sendo previsto uma recuperação em 202</w:t>
                            </w:r>
                            <w:r>
                              <w:rPr>
                                <w:rFonts w:eastAsia="Arial Unicode MS" w:cs="Calibri"/>
                                <w:bCs/>
                                <w:i/>
                                <w:color w:val="FFFFFF" w:themeColor="background1"/>
                                <w:sz w:val="24"/>
                                <w:szCs w:val="24"/>
                                <w:shd w:val="clear" w:color="auto" w:fill="ED7D31" w:themeFill="accent2"/>
                              </w:rPr>
                              <w:t>4</w:t>
                            </w:r>
                            <w:r w:rsidRPr="00CD7359">
                              <w:rPr>
                                <w:rFonts w:eastAsia="Arial Unicode MS" w:cs="Calibri"/>
                                <w:bCs/>
                                <w:i/>
                                <w:color w:val="FFFFFF" w:themeColor="background1"/>
                                <w:sz w:val="24"/>
                                <w:szCs w:val="24"/>
                                <w:shd w:val="clear" w:color="auto" w:fill="ED7D31" w:themeFill="accent2"/>
                              </w:rPr>
                              <w:t xml:space="preserve">, no patamar de R$ </w:t>
                            </w:r>
                            <w:r>
                              <w:rPr>
                                <w:rFonts w:eastAsia="Arial Unicode MS" w:cs="Calibri"/>
                                <w:bCs/>
                                <w:i/>
                                <w:color w:val="FFFFFF" w:themeColor="background1"/>
                                <w:sz w:val="24"/>
                                <w:szCs w:val="24"/>
                                <w:shd w:val="clear" w:color="auto" w:fill="ED7D31" w:themeFill="accent2"/>
                              </w:rPr>
                              <w:t>21,03</w:t>
                            </w:r>
                            <w:r w:rsidRPr="00EF72F8">
                              <w:rPr>
                                <w:rFonts w:eastAsia="Arial Unicode MS" w:cs="Calibri"/>
                                <w:bCs/>
                                <w:i/>
                                <w:color w:val="000000" w:themeColor="text1"/>
                                <w:sz w:val="24"/>
                                <w:szCs w:val="24"/>
                                <w:shd w:val="clear" w:color="auto" w:fill="ED7D31" w:themeFill="accent2"/>
                              </w:rPr>
                              <w:t xml:space="preserve"> </w:t>
                            </w:r>
                            <w:r w:rsidRPr="00CD7359">
                              <w:rPr>
                                <w:rFonts w:eastAsia="Arial Unicode MS" w:cs="Calibri"/>
                                <w:bCs/>
                                <w:i/>
                                <w:color w:val="FFFFFF" w:themeColor="background1"/>
                                <w:sz w:val="24"/>
                                <w:szCs w:val="24"/>
                                <w:shd w:val="clear" w:color="auto" w:fill="ED7D31" w:themeFill="accent2"/>
                              </w:rPr>
                              <w:t>milhões</w:t>
                            </w:r>
                            <w:r>
                              <w:rPr>
                                <w:rFonts w:eastAsia="Arial Unicode MS" w:cs="Calibri"/>
                                <w:bCs/>
                                <w:i/>
                                <w:color w:val="FFFFFF" w:themeColor="background1"/>
                                <w:sz w:val="24"/>
                                <w:szCs w:val="24"/>
                                <w:shd w:val="clear" w:color="auto" w:fill="ED7D31" w:themeFill="accent2"/>
                              </w:rPr>
                              <w:t xml:space="preserve">, correspondendo a 15,7% do valor total (R$133,88 milhões). </w:t>
                            </w:r>
                            <w:r w:rsidRPr="00CD7359">
                              <w:rPr>
                                <w:rFonts w:eastAsia="Arial Unicode MS" w:cs="Calibri"/>
                                <w:bCs/>
                                <w:i/>
                                <w:color w:val="FFFFFF" w:themeColor="background1"/>
                                <w:sz w:val="24"/>
                                <w:szCs w:val="24"/>
                                <w:shd w:val="clear" w:color="auto" w:fill="ED7D31" w:themeFill="accent2"/>
                              </w:rPr>
                              <w:t>Cabe ressaltar que os CAU/UF possuem autonomia para alterar os percentuais que resultam em receitas de exercícios anteriores.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0D1EE" id="Text Box 4" o:spid="_x0000_s1028" type="#_x0000_t202" style="position:absolute;left:0;text-align:left;margin-left:1.1pt;margin-top:19.3pt;width:456pt;height:225.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" fillcolor="#ed7d31 [3205]" strokecolor="white [3212]" strokeweight=".5pt">
                <v:shadow on="t" color="black" opacity="18350f" offset="-5.40094mm,4.37361mm"/>
                <v:textbox>
                  <w:txbxContent>
                    <w:p w14:paraId="024CC143" w14:textId="77777777" w:rsidR="00DA0C5F" w:rsidRPr="00224711" w:rsidRDefault="00DA0C5F" w:rsidP="00224711">
                      <w:pPr>
                        <w:spacing w:line="360" w:lineRule="auto"/>
                        <w:jc w:val="center"/>
                        <w:rPr>
                          <w:rFonts w:eastAsia="Arial Unicode MS" w:cs="Calibri"/>
                          <w:bCs/>
                          <w:i/>
                          <w:color w:val="FFFFFF" w:themeColor="background1"/>
                          <w:sz w:val="10"/>
                          <w:szCs w:val="10"/>
                          <w:shd w:val="clear" w:color="auto" w:fill="ED7D31" w:themeFill="accent2"/>
                        </w:rPr>
                      </w:pPr>
                    </w:p>
                    <w:p w14:paraId="059CEC70" w14:textId="4B8F9611" w:rsidR="00DA0C5F" w:rsidRPr="00E33095" w:rsidRDefault="00DA0C5F" w:rsidP="00224711">
                      <w:pPr>
                        <w:spacing w:line="360" w:lineRule="auto"/>
                        <w:jc w:val="center"/>
                        <w:rPr>
                          <w:rFonts w:eastAsia="Arial Unicode MS" w:cs="Calibri"/>
                          <w:b/>
                          <w:i/>
                          <w:sz w:val="24"/>
                          <w:szCs w:val="24"/>
                        </w:rPr>
                      </w:pPr>
                      <w:r w:rsidRPr="0095450E">
                        <w:rPr>
                          <w:rFonts w:eastAsia="Arial Unicode MS" w:cs="Calibri"/>
                          <w:bCs/>
                          <w:i/>
                          <w:color w:val="FFFFFF" w:themeColor="background1"/>
                          <w:sz w:val="24"/>
                          <w:szCs w:val="24"/>
                          <w:shd w:val="clear" w:color="auto" w:fill="ED7D31" w:themeFill="accent2"/>
                        </w:rPr>
                        <w:t>A proposta de receitas de arrecadação contempla projeções para anuidades de exercícios anteriores</w:t>
                      </w:r>
                      <w:r>
                        <w:rPr>
                          <w:rFonts w:eastAsia="Arial Unicode MS" w:cs="Calibri"/>
                          <w:bCs/>
                          <w:i/>
                          <w:color w:val="FFFFFF" w:themeColor="background1"/>
                          <w:sz w:val="24"/>
                          <w:szCs w:val="24"/>
                          <w:shd w:val="clear" w:color="auto" w:fill="ED7D31" w:themeFill="accent2"/>
                        </w:rPr>
                        <w:t xml:space="preserve"> (2013 a 2022) de acordo com a S</w:t>
                      </w:r>
                      <w:r w:rsidRPr="0095450E">
                        <w:rPr>
                          <w:rFonts w:eastAsia="Arial Unicode MS" w:cs="Calibri"/>
                          <w:bCs/>
                          <w:i/>
                          <w:color w:val="FFFFFF" w:themeColor="background1"/>
                          <w:sz w:val="24"/>
                          <w:szCs w:val="24"/>
                          <w:shd w:val="clear" w:color="auto" w:fill="ED7D31" w:themeFill="accent2"/>
                        </w:rPr>
                        <w:t>úmula nº 92/2020 (CPFI/CAU-BR) e considerando as informações disponíveis nos sistemas informatizados, utilizados pelo CAU, permitiram uma análise e projeções mais consistentes. Nesse contexto, as projeções para essa fonte de recursos ficam estabelecidas em no mínimo 10% para a arrecadação de</w:t>
                      </w:r>
                      <w:r w:rsidRPr="00CD7359">
                        <w:rPr>
                          <w:rFonts w:eastAsia="Arial Unicode MS" w:cs="Calibri"/>
                          <w:bCs/>
                          <w:i/>
                          <w:color w:val="FFFFFF" w:themeColor="background1"/>
                          <w:sz w:val="24"/>
                          <w:szCs w:val="24"/>
                          <w:shd w:val="clear" w:color="auto" w:fill="ED7D31" w:themeFill="accent2"/>
                        </w:rPr>
                        <w:t xml:space="preserve"> receitas das anuidades de exercícios anteriores, sendo previsto uma recuperação em 202</w:t>
                      </w:r>
                      <w:r>
                        <w:rPr>
                          <w:rFonts w:eastAsia="Arial Unicode MS" w:cs="Calibri"/>
                          <w:bCs/>
                          <w:i/>
                          <w:color w:val="FFFFFF" w:themeColor="background1"/>
                          <w:sz w:val="24"/>
                          <w:szCs w:val="24"/>
                          <w:shd w:val="clear" w:color="auto" w:fill="ED7D31" w:themeFill="accent2"/>
                        </w:rPr>
                        <w:t>4</w:t>
                      </w:r>
                      <w:r w:rsidRPr="00CD7359">
                        <w:rPr>
                          <w:rFonts w:eastAsia="Arial Unicode MS" w:cs="Calibri"/>
                          <w:bCs/>
                          <w:i/>
                          <w:color w:val="FFFFFF" w:themeColor="background1"/>
                          <w:sz w:val="24"/>
                          <w:szCs w:val="24"/>
                          <w:shd w:val="clear" w:color="auto" w:fill="ED7D31" w:themeFill="accent2"/>
                        </w:rPr>
                        <w:t xml:space="preserve">, no patamar de R$ </w:t>
                      </w:r>
                      <w:r>
                        <w:rPr>
                          <w:rFonts w:eastAsia="Arial Unicode MS" w:cs="Calibri"/>
                          <w:bCs/>
                          <w:i/>
                          <w:color w:val="FFFFFF" w:themeColor="background1"/>
                          <w:sz w:val="24"/>
                          <w:szCs w:val="24"/>
                          <w:shd w:val="clear" w:color="auto" w:fill="ED7D31" w:themeFill="accent2"/>
                        </w:rPr>
                        <w:t>21,03</w:t>
                      </w:r>
                      <w:r w:rsidRPr="00EF72F8">
                        <w:rPr>
                          <w:rFonts w:eastAsia="Arial Unicode MS" w:cs="Calibri"/>
                          <w:bCs/>
                          <w:i/>
                          <w:color w:val="000000" w:themeColor="text1"/>
                          <w:sz w:val="24"/>
                          <w:szCs w:val="24"/>
                          <w:shd w:val="clear" w:color="auto" w:fill="ED7D31" w:themeFill="accent2"/>
                        </w:rPr>
                        <w:t xml:space="preserve"> </w:t>
                      </w:r>
                      <w:r w:rsidRPr="00CD7359">
                        <w:rPr>
                          <w:rFonts w:eastAsia="Arial Unicode MS" w:cs="Calibri"/>
                          <w:bCs/>
                          <w:i/>
                          <w:color w:val="FFFFFF" w:themeColor="background1"/>
                          <w:sz w:val="24"/>
                          <w:szCs w:val="24"/>
                          <w:shd w:val="clear" w:color="auto" w:fill="ED7D31" w:themeFill="accent2"/>
                        </w:rPr>
                        <w:t>milhões</w:t>
                      </w:r>
                      <w:r>
                        <w:rPr>
                          <w:rFonts w:eastAsia="Arial Unicode MS" w:cs="Calibri"/>
                          <w:bCs/>
                          <w:i/>
                          <w:color w:val="FFFFFF" w:themeColor="background1"/>
                          <w:sz w:val="24"/>
                          <w:szCs w:val="24"/>
                          <w:shd w:val="clear" w:color="auto" w:fill="ED7D31" w:themeFill="accent2"/>
                        </w:rPr>
                        <w:t xml:space="preserve">, correspondendo a 15,7% do valor total (R$133,88 milhões). </w:t>
                      </w:r>
                      <w:r w:rsidRPr="00CD7359">
                        <w:rPr>
                          <w:rFonts w:eastAsia="Arial Unicode MS" w:cs="Calibri"/>
                          <w:bCs/>
                          <w:i/>
                          <w:color w:val="FFFFFF" w:themeColor="background1"/>
                          <w:sz w:val="24"/>
                          <w:szCs w:val="24"/>
                          <w:shd w:val="clear" w:color="auto" w:fill="ED7D31" w:themeFill="accent2"/>
                        </w:rPr>
                        <w:t>Cabe ressaltar que os CAU/UF possuem autonomia para alterar os percentuais que resultam em receitas de exercícios anteriores.</w:t>
                      </w:r>
                    </w:p>
                  </w:txbxContent>
                </v:textbox>
                <w10:wrap type="topAndBottom" anchorx="margin"/>
              </v:shape>
            </w:pict>
          </mc:Fallback>
        </mc:AlternateContent>
      </w:r>
    </w:p>
    <w:p w14:paraId="7DC85319" w14:textId="2B30DD5C" w:rsidR="0087404B" w:rsidRPr="003B00DB" w:rsidRDefault="000E0E2D" w:rsidP="003B00DB">
      <w:pPr>
        <w:spacing w:after="0" w:line="360" w:lineRule="auto"/>
        <w:ind w:firstLine="709"/>
        <w:jc w:val="both"/>
        <w:rPr>
          <w:rFonts w:eastAsia="Arial Unicode MS" w:cs="Calibri"/>
          <w:color w:val="000000" w:themeColor="text1"/>
          <w:sz w:val="24"/>
          <w:szCs w:val="24"/>
        </w:rPr>
      </w:pPr>
      <w:r>
        <w:rPr>
          <w:rFonts w:eastAsia="Arial Unicode MS" w:cs="Calibri"/>
          <w:color w:val="000000" w:themeColor="text1"/>
          <w:sz w:val="24"/>
          <w:szCs w:val="24"/>
        </w:rPr>
        <w:t>As</w:t>
      </w:r>
      <w:r w:rsidR="00D05376" w:rsidRPr="003B00DB">
        <w:rPr>
          <w:rFonts w:eastAsia="Arial Unicode MS" w:cs="Calibri"/>
          <w:color w:val="000000" w:themeColor="text1"/>
          <w:sz w:val="24"/>
          <w:szCs w:val="24"/>
        </w:rPr>
        <w:t xml:space="preserve"> estimativas das Receitas do CAU são </w:t>
      </w:r>
      <w:r w:rsidR="00DB578E" w:rsidRPr="003B00DB">
        <w:rPr>
          <w:rFonts w:eastAsia="Arial Unicode MS" w:cs="Calibri"/>
          <w:color w:val="000000" w:themeColor="text1"/>
          <w:sz w:val="24"/>
          <w:szCs w:val="24"/>
        </w:rPr>
        <w:t xml:space="preserve">demonstradas </w:t>
      </w:r>
      <w:r w:rsidR="00D05376" w:rsidRPr="003B00DB">
        <w:rPr>
          <w:rFonts w:eastAsia="Arial Unicode MS" w:cs="Calibri"/>
          <w:color w:val="000000" w:themeColor="text1"/>
          <w:sz w:val="24"/>
          <w:szCs w:val="24"/>
        </w:rPr>
        <w:t xml:space="preserve">nos quadros </w:t>
      </w:r>
      <w:r w:rsidR="004450DB">
        <w:rPr>
          <w:rFonts w:eastAsia="Arial Unicode MS" w:cs="Calibri"/>
          <w:color w:val="000000" w:themeColor="text1"/>
          <w:sz w:val="24"/>
          <w:szCs w:val="24"/>
        </w:rPr>
        <w:t>3</w:t>
      </w:r>
      <w:r w:rsidR="00D05376" w:rsidRPr="003B00DB">
        <w:rPr>
          <w:rFonts w:eastAsia="Arial Unicode MS" w:cs="Calibri"/>
          <w:color w:val="000000" w:themeColor="text1"/>
          <w:sz w:val="24"/>
          <w:szCs w:val="24"/>
        </w:rPr>
        <w:t xml:space="preserve"> e </w:t>
      </w:r>
      <w:r w:rsidR="004450DB">
        <w:rPr>
          <w:rFonts w:eastAsia="Arial Unicode MS" w:cs="Calibri"/>
          <w:color w:val="000000" w:themeColor="text1"/>
          <w:sz w:val="24"/>
          <w:szCs w:val="24"/>
        </w:rPr>
        <w:t>4</w:t>
      </w:r>
      <w:r w:rsidR="00DB578E" w:rsidRPr="003B00DB">
        <w:rPr>
          <w:rFonts w:eastAsia="Arial Unicode MS" w:cs="Calibri"/>
          <w:color w:val="000000" w:themeColor="text1"/>
          <w:sz w:val="24"/>
          <w:szCs w:val="24"/>
        </w:rPr>
        <w:t xml:space="preserve">, e </w:t>
      </w:r>
      <w:r w:rsidR="00DB578E" w:rsidRPr="001A1563">
        <w:rPr>
          <w:rFonts w:eastAsia="Arial Unicode MS" w:cs="Calibri"/>
          <w:color w:val="000000" w:themeColor="text1"/>
          <w:sz w:val="24"/>
          <w:szCs w:val="24"/>
        </w:rPr>
        <w:t>nos Anexos X.I a X.V</w:t>
      </w:r>
      <w:r w:rsidR="00D05376" w:rsidRPr="001A1563">
        <w:rPr>
          <w:rFonts w:eastAsia="Arial Unicode MS" w:cs="Calibri"/>
          <w:color w:val="000000" w:themeColor="text1"/>
          <w:sz w:val="24"/>
          <w:szCs w:val="24"/>
        </w:rPr>
        <w:t>:</w:t>
      </w:r>
    </w:p>
    <w:p w14:paraId="1EBC9235" w14:textId="1CF00A42" w:rsidR="00DC1AC8" w:rsidRPr="00F02DBF" w:rsidRDefault="00DC1AC8" w:rsidP="00F02DBF">
      <w:pPr>
        <w:spacing w:after="0" w:line="360" w:lineRule="auto"/>
        <w:ind w:firstLine="709"/>
        <w:jc w:val="both"/>
        <w:rPr>
          <w:rFonts w:eastAsia="Arial Unicode MS" w:cs="Calibri"/>
          <w:color w:val="000000" w:themeColor="text1"/>
          <w:sz w:val="24"/>
          <w:szCs w:val="24"/>
        </w:rPr>
      </w:pPr>
    </w:p>
    <w:p w14:paraId="7DC8531A" w14:textId="04E54CCD" w:rsidR="00703C95" w:rsidRPr="00B06910" w:rsidRDefault="0086587C" w:rsidP="00AB0505">
      <w:pPr>
        <w:pStyle w:val="Ttulo5"/>
        <w:rPr>
          <w:rFonts w:asciiTheme="minorHAnsi" w:eastAsia="Arial Unicode MS" w:hAnsiTheme="minorHAnsi" w:cstheme="minorBidi"/>
          <w:color w:val="auto"/>
          <w:lang w:eastAsia="pt-BR"/>
        </w:rPr>
      </w:pPr>
      <w:bookmarkStart w:id="65" w:name="_Toc83716309"/>
      <w:r w:rsidRPr="00B06910">
        <w:rPr>
          <w:rFonts w:asciiTheme="minorHAnsi" w:eastAsia="Arial Unicode MS" w:hAnsiTheme="minorHAnsi" w:cstheme="minorBidi"/>
          <w:color w:val="auto"/>
          <w:lang w:eastAsia="pt-BR"/>
        </w:rPr>
        <w:t xml:space="preserve">Quadro </w:t>
      </w:r>
      <w:r w:rsidR="00BA0A88">
        <w:rPr>
          <w:rFonts w:asciiTheme="minorHAnsi" w:eastAsia="Arial Unicode MS" w:hAnsiTheme="minorHAnsi" w:cstheme="minorBidi"/>
          <w:color w:val="auto"/>
          <w:lang w:eastAsia="pt-BR"/>
        </w:rPr>
        <w:t>3</w:t>
      </w:r>
      <w:r w:rsidRPr="00B06910">
        <w:rPr>
          <w:rFonts w:asciiTheme="minorHAnsi" w:eastAsia="Arial Unicode MS" w:hAnsiTheme="minorHAnsi" w:cstheme="minorBidi"/>
          <w:color w:val="auto"/>
          <w:lang w:eastAsia="pt-BR"/>
        </w:rPr>
        <w:t xml:space="preserve"> –</w:t>
      </w:r>
      <w:r w:rsidR="00703C95" w:rsidRPr="00B06910">
        <w:rPr>
          <w:rStyle w:val="TtulodoLivro"/>
          <w:b/>
          <w:bCs w:val="0"/>
          <w:i w:val="0"/>
          <w:iCs w:val="0"/>
          <w:color w:val="auto"/>
          <w:spacing w:val="0"/>
        </w:rPr>
        <w:t xml:space="preserve"> </w:t>
      </w:r>
      <w:r w:rsidR="00DE6C44" w:rsidRPr="00B06910">
        <w:rPr>
          <w:rFonts w:asciiTheme="minorHAnsi" w:eastAsia="Arial Unicode MS" w:hAnsiTheme="minorHAnsi" w:cstheme="minorBidi"/>
          <w:color w:val="auto"/>
          <w:lang w:eastAsia="pt-BR"/>
        </w:rPr>
        <w:t>E</w:t>
      </w:r>
      <w:r w:rsidR="00703C95" w:rsidRPr="00B06910">
        <w:rPr>
          <w:rFonts w:asciiTheme="minorHAnsi" w:eastAsia="Arial Unicode MS" w:hAnsiTheme="minorHAnsi" w:cstheme="minorBidi"/>
          <w:color w:val="auto"/>
          <w:lang w:eastAsia="pt-BR"/>
        </w:rPr>
        <w:t>stimativa</w:t>
      </w:r>
      <w:r w:rsidR="00EF5007" w:rsidRPr="00B06910">
        <w:rPr>
          <w:rFonts w:asciiTheme="minorHAnsi" w:eastAsia="Arial Unicode MS" w:hAnsiTheme="minorHAnsi" w:cstheme="minorBidi"/>
          <w:color w:val="auto"/>
          <w:lang w:eastAsia="pt-BR"/>
        </w:rPr>
        <w:t>s</w:t>
      </w:r>
      <w:r w:rsidR="00703C95" w:rsidRPr="00B06910">
        <w:rPr>
          <w:rFonts w:asciiTheme="minorHAnsi" w:eastAsia="Arial Unicode MS" w:hAnsiTheme="minorHAnsi" w:cstheme="minorBidi"/>
          <w:color w:val="auto"/>
          <w:lang w:eastAsia="pt-BR"/>
        </w:rPr>
        <w:t xml:space="preserve"> das </w:t>
      </w:r>
      <w:r w:rsidR="00F61B39" w:rsidRPr="00B06910">
        <w:rPr>
          <w:rFonts w:asciiTheme="minorHAnsi" w:eastAsia="Arial Unicode MS" w:hAnsiTheme="minorHAnsi" w:cstheme="minorBidi"/>
          <w:color w:val="auto"/>
          <w:lang w:eastAsia="pt-BR"/>
        </w:rPr>
        <w:t>R</w:t>
      </w:r>
      <w:r w:rsidR="00703C95" w:rsidRPr="00B06910">
        <w:rPr>
          <w:rFonts w:asciiTheme="minorHAnsi" w:eastAsia="Arial Unicode MS" w:hAnsiTheme="minorHAnsi" w:cstheme="minorBidi"/>
          <w:color w:val="auto"/>
          <w:lang w:eastAsia="pt-BR"/>
        </w:rPr>
        <w:t xml:space="preserve">eceitas do CAU – </w:t>
      </w:r>
      <w:r w:rsidR="00E14BB0" w:rsidRPr="00B06910">
        <w:rPr>
          <w:rFonts w:asciiTheme="minorHAnsi" w:eastAsia="Arial Unicode MS" w:hAnsiTheme="minorHAnsi" w:cstheme="minorBidi"/>
          <w:color w:val="auto"/>
          <w:lang w:eastAsia="pt-BR"/>
        </w:rPr>
        <w:t>Rep</w:t>
      </w:r>
      <w:r w:rsidR="00703C95" w:rsidRPr="00B06910">
        <w:rPr>
          <w:rFonts w:asciiTheme="minorHAnsi" w:eastAsia="Arial Unicode MS" w:hAnsiTheme="minorHAnsi" w:cstheme="minorBidi"/>
          <w:color w:val="auto"/>
          <w:lang w:eastAsia="pt-BR"/>
        </w:rPr>
        <w:t xml:space="preserve">rogramação </w:t>
      </w:r>
      <w:r w:rsidR="00534672" w:rsidRPr="00B06910">
        <w:rPr>
          <w:rFonts w:asciiTheme="minorHAnsi" w:eastAsia="Arial Unicode MS" w:hAnsiTheme="minorHAnsi" w:cstheme="minorBidi"/>
          <w:color w:val="auto"/>
          <w:lang w:eastAsia="pt-BR"/>
        </w:rPr>
        <w:t>202</w:t>
      </w:r>
      <w:r w:rsidR="00986AE2">
        <w:rPr>
          <w:rFonts w:asciiTheme="minorHAnsi" w:eastAsia="Arial Unicode MS" w:hAnsiTheme="minorHAnsi" w:cstheme="minorBidi"/>
          <w:color w:val="auto"/>
          <w:lang w:eastAsia="pt-BR"/>
        </w:rPr>
        <w:t>3</w:t>
      </w:r>
      <w:r w:rsidR="00703C95" w:rsidRPr="00B06910">
        <w:rPr>
          <w:rFonts w:asciiTheme="minorHAnsi" w:eastAsia="Arial Unicode MS" w:hAnsiTheme="minorHAnsi" w:cstheme="minorBidi"/>
          <w:color w:val="auto"/>
          <w:lang w:eastAsia="pt-BR"/>
        </w:rPr>
        <w:t xml:space="preserve"> X</w:t>
      </w:r>
      <w:r w:rsidR="000C0F7D" w:rsidRPr="00B06910">
        <w:rPr>
          <w:rFonts w:asciiTheme="minorHAnsi" w:eastAsia="Arial Unicode MS" w:hAnsiTheme="minorHAnsi" w:cstheme="minorBidi"/>
          <w:color w:val="auto"/>
          <w:lang w:eastAsia="pt-BR"/>
        </w:rPr>
        <w:t xml:space="preserve"> </w:t>
      </w:r>
      <w:r w:rsidR="00761712" w:rsidRPr="00B06910">
        <w:rPr>
          <w:rFonts w:asciiTheme="minorHAnsi" w:eastAsia="Arial Unicode MS" w:hAnsiTheme="minorHAnsi" w:cstheme="minorBidi"/>
          <w:color w:val="auto"/>
          <w:lang w:eastAsia="pt-BR"/>
        </w:rPr>
        <w:t>P</w:t>
      </w:r>
      <w:r w:rsidR="00703C95" w:rsidRPr="00B06910">
        <w:rPr>
          <w:rFonts w:asciiTheme="minorHAnsi" w:eastAsia="Arial Unicode MS" w:hAnsiTheme="minorHAnsi" w:cstheme="minorBidi"/>
          <w:color w:val="auto"/>
          <w:lang w:eastAsia="pt-BR"/>
        </w:rPr>
        <w:t xml:space="preserve">rogramação </w:t>
      </w:r>
      <w:r w:rsidR="00182EDB" w:rsidRPr="00B06910">
        <w:rPr>
          <w:rFonts w:asciiTheme="minorHAnsi" w:eastAsia="Arial Unicode MS" w:hAnsiTheme="minorHAnsi" w:cstheme="minorBidi"/>
          <w:color w:val="auto"/>
          <w:lang w:eastAsia="pt-BR"/>
        </w:rPr>
        <w:t>20</w:t>
      </w:r>
      <w:r w:rsidR="004A0888" w:rsidRPr="00B06910">
        <w:rPr>
          <w:rFonts w:asciiTheme="minorHAnsi" w:eastAsia="Arial Unicode MS" w:hAnsiTheme="minorHAnsi" w:cstheme="minorBidi"/>
          <w:color w:val="auto"/>
          <w:lang w:eastAsia="pt-BR"/>
        </w:rPr>
        <w:t>2</w:t>
      </w:r>
      <w:bookmarkEnd w:id="65"/>
      <w:r w:rsidR="00986AE2">
        <w:rPr>
          <w:rFonts w:asciiTheme="minorHAnsi" w:eastAsia="Arial Unicode MS" w:hAnsiTheme="minorHAnsi" w:cstheme="minorBidi"/>
          <w:color w:val="auto"/>
          <w:lang w:eastAsia="pt-BR"/>
        </w:rPr>
        <w:t>4</w:t>
      </w:r>
    </w:p>
    <w:p w14:paraId="7DC8531B" w14:textId="34DFBA62" w:rsidR="0078326B" w:rsidRDefault="00703C95" w:rsidP="00827F98">
      <w:pPr>
        <w:spacing w:after="0"/>
        <w:jc w:val="right"/>
        <w:rPr>
          <w:rFonts w:eastAsia="Arial Unicode MS"/>
          <w:b/>
          <w:bCs/>
          <w:lang w:eastAsia="pt-BR"/>
        </w:rPr>
      </w:pPr>
      <w:r w:rsidRPr="00B06910">
        <w:rPr>
          <w:rFonts w:eastAsia="Arial Unicode MS"/>
          <w:b/>
          <w:bCs/>
          <w:lang w:eastAsia="pt-BR"/>
        </w:rPr>
        <w:t>(Valores em R$ 1,00)</w:t>
      </w:r>
      <w:r w:rsidR="00AB3EA7" w:rsidRPr="00B06910">
        <w:rPr>
          <w:rFonts w:eastAsia="Arial Unicode MS"/>
          <w:b/>
          <w:bCs/>
          <w:lang w:eastAsia="pt-BR"/>
        </w:rPr>
        <w:t xml:space="preserve"> </w:t>
      </w:r>
    </w:p>
    <w:p w14:paraId="05FE21AA" w14:textId="664DF5DF" w:rsidR="00FD0D48" w:rsidRPr="00B06910" w:rsidRDefault="00FD0D48" w:rsidP="00827F98">
      <w:pPr>
        <w:spacing w:after="0"/>
        <w:jc w:val="right"/>
        <w:rPr>
          <w:rFonts w:eastAsia="Arial Unicode MS"/>
          <w:b/>
          <w:bCs/>
          <w:lang w:eastAsia="pt-BR"/>
        </w:rPr>
      </w:pPr>
      <w:r w:rsidRPr="00FD0D48">
        <w:rPr>
          <w:noProof/>
          <w:lang w:eastAsia="pt-BR"/>
        </w:rPr>
        <w:drawing>
          <wp:inline distT="0" distB="0" distL="0" distR="0" wp14:anchorId="57DE6193" wp14:editId="7806895E">
            <wp:extent cx="5589551" cy="210505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9513" cy="2142703"/>
                    </a:xfrm>
                    <a:prstGeom prst="rect">
                      <a:avLst/>
                    </a:prstGeom>
                  </pic:spPr>
                </pic:pic>
              </a:graphicData>
            </a:graphic>
          </wp:inline>
        </w:drawing>
      </w:r>
    </w:p>
    <w:p w14:paraId="51591BDF" w14:textId="628F2861" w:rsidR="00F15132" w:rsidRDefault="00F15132" w:rsidP="00325B7A">
      <w:pPr>
        <w:ind w:left="-426" w:right="-143"/>
        <w:jc w:val="right"/>
        <w:rPr>
          <w:rFonts w:eastAsia="Arial Unicode MS"/>
          <w:b/>
          <w:bCs/>
          <w:lang w:eastAsia="pt-BR"/>
        </w:rPr>
      </w:pPr>
    </w:p>
    <w:p w14:paraId="3B53834A" w14:textId="42D8119C" w:rsidR="001229EF" w:rsidRDefault="00FC596A" w:rsidP="00325B7A">
      <w:pPr>
        <w:ind w:left="-426" w:right="-143"/>
        <w:jc w:val="right"/>
        <w:rPr>
          <w:rFonts w:eastAsia="Arial Unicode MS"/>
          <w:b/>
          <w:bCs/>
          <w:lang w:eastAsia="pt-BR"/>
        </w:rPr>
      </w:pPr>
      <w:r w:rsidRPr="00B06910">
        <w:rPr>
          <w:rFonts w:eastAsia="Arial Unicode MS"/>
          <w:b/>
          <w:bCs/>
          <w:lang w:eastAsia="pt-BR"/>
        </w:rPr>
        <w:t xml:space="preserve">Quadro </w:t>
      </w:r>
      <w:r w:rsidR="00E6131E">
        <w:rPr>
          <w:rFonts w:eastAsia="Arial Unicode MS"/>
          <w:b/>
          <w:bCs/>
          <w:lang w:eastAsia="pt-BR"/>
        </w:rPr>
        <w:t>4</w:t>
      </w:r>
      <w:r w:rsidRPr="00B06910">
        <w:rPr>
          <w:rFonts w:eastAsia="Arial Unicode MS"/>
          <w:b/>
          <w:bCs/>
          <w:lang w:eastAsia="pt-BR"/>
        </w:rPr>
        <w:t xml:space="preserve"> – Receita do CAU para 202</w:t>
      </w:r>
      <w:r w:rsidR="00986AE2">
        <w:rPr>
          <w:rFonts w:eastAsia="Arial Unicode MS"/>
          <w:b/>
          <w:bCs/>
          <w:lang w:eastAsia="pt-BR"/>
        </w:rPr>
        <w:t>4</w:t>
      </w:r>
    </w:p>
    <w:p w14:paraId="4C98C729" w14:textId="0849DB8C" w:rsidR="000B01C8" w:rsidRDefault="00FB2E82" w:rsidP="00325B7A">
      <w:pPr>
        <w:ind w:left="-426" w:right="-143"/>
        <w:jc w:val="right"/>
        <w:rPr>
          <w:rFonts w:eastAsia="Arial Unicode MS"/>
          <w:b/>
          <w:bCs/>
          <w:lang w:eastAsia="pt-BR"/>
        </w:rPr>
      </w:pPr>
      <w:r w:rsidRPr="00FB2E82">
        <w:rPr>
          <w:noProof/>
          <w:lang w:eastAsia="pt-BR"/>
        </w:rPr>
        <w:drawing>
          <wp:inline distT="0" distB="0" distL="0" distR="0" wp14:anchorId="14784582" wp14:editId="2149B0A8">
            <wp:extent cx="5760085" cy="42576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4257675"/>
                    </a:xfrm>
                    <a:prstGeom prst="rect">
                      <a:avLst/>
                    </a:prstGeom>
                  </pic:spPr>
                </pic:pic>
              </a:graphicData>
            </a:graphic>
          </wp:inline>
        </w:drawing>
      </w:r>
    </w:p>
    <w:p w14:paraId="78699D71" w14:textId="77777777" w:rsidR="00855F9D" w:rsidRDefault="00855F9D" w:rsidP="00837E85">
      <w:pPr>
        <w:jc w:val="right"/>
        <w:rPr>
          <w:rFonts w:eastAsia="Arial Unicode MS"/>
          <w:b/>
          <w:bCs/>
          <w:lang w:eastAsia="pt-BR"/>
        </w:rPr>
      </w:pPr>
    </w:p>
    <w:p w14:paraId="0AECE278" w14:textId="77777777" w:rsidR="00855F9D" w:rsidRDefault="00855F9D" w:rsidP="00837E85">
      <w:pPr>
        <w:jc w:val="right"/>
        <w:rPr>
          <w:rFonts w:eastAsia="Arial Unicode MS"/>
          <w:b/>
          <w:bCs/>
          <w:lang w:eastAsia="pt-BR"/>
        </w:rPr>
      </w:pPr>
    </w:p>
    <w:p w14:paraId="16E43647" w14:textId="77777777" w:rsidR="00855F9D" w:rsidRDefault="00855F9D" w:rsidP="00837E85">
      <w:pPr>
        <w:jc w:val="right"/>
        <w:rPr>
          <w:rFonts w:eastAsia="Arial Unicode MS"/>
          <w:b/>
          <w:bCs/>
          <w:lang w:eastAsia="pt-BR"/>
        </w:rPr>
      </w:pPr>
    </w:p>
    <w:p w14:paraId="67906330" w14:textId="3CB8C181" w:rsidR="00A25131" w:rsidRDefault="00837E85" w:rsidP="00837E85">
      <w:pPr>
        <w:jc w:val="right"/>
        <w:rPr>
          <w:rFonts w:eastAsia="Arial Unicode MS"/>
          <w:b/>
          <w:bCs/>
          <w:lang w:eastAsia="pt-BR"/>
        </w:rPr>
      </w:pPr>
      <w:r w:rsidRPr="00A25131">
        <w:rPr>
          <w:rFonts w:eastAsia="Arial Unicode MS"/>
          <w:b/>
          <w:bCs/>
          <w:lang w:eastAsia="pt-BR"/>
        </w:rPr>
        <w:t xml:space="preserve">Quadro </w:t>
      </w:r>
      <w:r w:rsidR="00E6131E">
        <w:rPr>
          <w:rFonts w:eastAsia="Arial Unicode MS"/>
          <w:b/>
          <w:bCs/>
          <w:lang w:eastAsia="pt-BR"/>
        </w:rPr>
        <w:t>4</w:t>
      </w:r>
      <w:r w:rsidR="00313450" w:rsidRPr="00A25131">
        <w:rPr>
          <w:rFonts w:eastAsia="Arial Unicode MS"/>
          <w:b/>
          <w:bCs/>
          <w:lang w:eastAsia="pt-BR"/>
        </w:rPr>
        <w:t>.a</w:t>
      </w:r>
      <w:r w:rsidRPr="00A25131">
        <w:rPr>
          <w:rFonts w:eastAsia="Arial Unicode MS"/>
          <w:b/>
          <w:bCs/>
          <w:lang w:eastAsia="pt-BR"/>
        </w:rPr>
        <w:t xml:space="preserve"> – Receita do CAU para 202</w:t>
      </w:r>
      <w:r w:rsidR="00423879" w:rsidRPr="00A25131">
        <w:rPr>
          <w:rFonts w:eastAsia="Arial Unicode MS"/>
          <w:b/>
          <w:bCs/>
          <w:lang w:eastAsia="pt-BR"/>
        </w:rPr>
        <w:t>3</w:t>
      </w:r>
    </w:p>
    <w:p w14:paraId="30F6810C" w14:textId="51ED954A" w:rsidR="00FD0D48" w:rsidRPr="00A25131" w:rsidRDefault="00FB2E82" w:rsidP="00837E85">
      <w:pPr>
        <w:jc w:val="right"/>
        <w:rPr>
          <w:rFonts w:eastAsia="Arial Unicode MS"/>
          <w:b/>
          <w:bCs/>
          <w:lang w:eastAsia="pt-BR"/>
        </w:rPr>
      </w:pPr>
      <w:r w:rsidRPr="00FB2E82">
        <w:rPr>
          <w:noProof/>
          <w:lang w:eastAsia="pt-BR"/>
        </w:rPr>
        <w:drawing>
          <wp:inline distT="0" distB="0" distL="0" distR="0" wp14:anchorId="22850B6E" wp14:editId="17F28ABD">
            <wp:extent cx="5760085" cy="617410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6174105"/>
                    </a:xfrm>
                    <a:prstGeom prst="rect">
                      <a:avLst/>
                    </a:prstGeom>
                  </pic:spPr>
                </pic:pic>
              </a:graphicData>
            </a:graphic>
          </wp:inline>
        </w:drawing>
      </w:r>
    </w:p>
    <w:p w14:paraId="43AA22E4" w14:textId="15C2700D" w:rsidR="00A207ED" w:rsidRDefault="00A207ED" w:rsidP="003121B1">
      <w:pPr>
        <w:spacing w:after="0" w:line="360" w:lineRule="auto"/>
        <w:ind w:firstLine="851"/>
        <w:jc w:val="both"/>
        <w:rPr>
          <w:rFonts w:eastAsia="Arial Unicode MS" w:cs="Calibri"/>
          <w:color w:val="000000" w:themeColor="text1"/>
          <w:sz w:val="24"/>
          <w:szCs w:val="24"/>
        </w:rPr>
      </w:pPr>
      <w:r>
        <w:rPr>
          <w:rFonts w:eastAsia="Arial Unicode MS" w:cs="Calibri"/>
          <w:color w:val="000000" w:themeColor="text1"/>
          <w:sz w:val="24"/>
          <w:szCs w:val="24"/>
        </w:rPr>
        <w:t>As</w:t>
      </w:r>
      <w:r w:rsidR="0086587C" w:rsidRPr="00340547">
        <w:rPr>
          <w:rFonts w:eastAsia="Arial Unicode MS" w:cs="Calibri"/>
          <w:color w:val="000000" w:themeColor="text1"/>
          <w:sz w:val="24"/>
          <w:szCs w:val="24"/>
        </w:rPr>
        <w:t xml:space="preserve"> projeções para as </w:t>
      </w:r>
      <w:r w:rsidR="0086587C" w:rsidRPr="00855F9D">
        <w:rPr>
          <w:rFonts w:eastAsia="Arial Unicode MS" w:cs="Calibri"/>
          <w:sz w:val="24"/>
          <w:szCs w:val="24"/>
        </w:rPr>
        <w:t xml:space="preserve">receitas de arrecadação do CAU, </w:t>
      </w:r>
      <w:r w:rsidR="0086587C" w:rsidRPr="00855F9D">
        <w:rPr>
          <w:rFonts w:eastAsia="Arial Unicode MS" w:cs="Calibri"/>
          <w:b/>
          <w:bCs/>
          <w:sz w:val="24"/>
          <w:szCs w:val="24"/>
        </w:rPr>
        <w:t>no montante de</w:t>
      </w:r>
      <w:r w:rsidR="00AB249C" w:rsidRPr="00855F9D">
        <w:rPr>
          <w:rFonts w:eastAsia="Arial Unicode MS" w:cs="Calibri"/>
          <w:b/>
          <w:bCs/>
          <w:sz w:val="24"/>
          <w:szCs w:val="24"/>
        </w:rPr>
        <w:t xml:space="preserve"> </w:t>
      </w:r>
      <w:r w:rsidR="0086587C" w:rsidRPr="00855F9D">
        <w:rPr>
          <w:rFonts w:eastAsia="Arial Unicode MS" w:cs="Calibri"/>
          <w:b/>
          <w:bCs/>
          <w:sz w:val="24"/>
          <w:szCs w:val="24"/>
        </w:rPr>
        <w:t xml:space="preserve">R$ </w:t>
      </w:r>
      <w:r w:rsidR="004A0BA1" w:rsidRPr="00855F9D">
        <w:rPr>
          <w:rFonts w:eastAsia="Arial Unicode MS" w:cs="Calibri"/>
          <w:b/>
          <w:bCs/>
          <w:sz w:val="24"/>
          <w:szCs w:val="24"/>
        </w:rPr>
        <w:t>2</w:t>
      </w:r>
      <w:r w:rsidR="00344438" w:rsidRPr="00855F9D">
        <w:rPr>
          <w:rFonts w:eastAsia="Arial Unicode MS" w:cs="Calibri"/>
          <w:b/>
          <w:bCs/>
          <w:sz w:val="24"/>
          <w:szCs w:val="24"/>
        </w:rPr>
        <w:t>3</w:t>
      </w:r>
      <w:r w:rsidR="00A8402B" w:rsidRPr="00855F9D">
        <w:rPr>
          <w:rFonts w:eastAsia="Arial Unicode MS" w:cs="Calibri"/>
          <w:b/>
          <w:bCs/>
          <w:sz w:val="24"/>
          <w:szCs w:val="24"/>
        </w:rPr>
        <w:t>8</w:t>
      </w:r>
      <w:r w:rsidR="004A0BA1" w:rsidRPr="00855F9D">
        <w:rPr>
          <w:rFonts w:eastAsia="Arial Unicode MS" w:cs="Calibri"/>
          <w:b/>
          <w:bCs/>
          <w:sz w:val="24"/>
          <w:szCs w:val="24"/>
        </w:rPr>
        <w:t>,</w:t>
      </w:r>
      <w:r w:rsidR="00A8402B" w:rsidRPr="00855F9D">
        <w:rPr>
          <w:rFonts w:eastAsia="Arial Unicode MS" w:cs="Calibri"/>
          <w:b/>
          <w:bCs/>
          <w:sz w:val="24"/>
          <w:szCs w:val="24"/>
        </w:rPr>
        <w:t>3</w:t>
      </w:r>
      <w:r w:rsidR="00344438" w:rsidRPr="00855F9D">
        <w:rPr>
          <w:rFonts w:eastAsia="Arial Unicode MS" w:cs="Calibri"/>
          <w:b/>
          <w:bCs/>
          <w:sz w:val="24"/>
          <w:szCs w:val="24"/>
        </w:rPr>
        <w:t>1</w:t>
      </w:r>
      <w:r w:rsidR="004A0BA1" w:rsidRPr="00855F9D">
        <w:rPr>
          <w:rFonts w:eastAsia="Arial Unicode MS" w:cs="Calibri"/>
          <w:b/>
          <w:bCs/>
          <w:sz w:val="24"/>
          <w:szCs w:val="24"/>
        </w:rPr>
        <w:t xml:space="preserve"> </w:t>
      </w:r>
      <w:r w:rsidR="0086587C" w:rsidRPr="00855F9D">
        <w:rPr>
          <w:rFonts w:eastAsia="Arial Unicode MS" w:cs="Calibri"/>
          <w:b/>
          <w:bCs/>
          <w:sz w:val="24"/>
          <w:szCs w:val="24"/>
        </w:rPr>
        <w:t>milhões</w:t>
      </w:r>
      <w:r w:rsidR="0086587C" w:rsidRPr="00855F9D">
        <w:rPr>
          <w:rFonts w:eastAsia="Arial Unicode MS" w:cs="Calibri"/>
          <w:sz w:val="24"/>
          <w:szCs w:val="24"/>
        </w:rPr>
        <w:t xml:space="preserve">, apresentam um </w:t>
      </w:r>
      <w:r w:rsidR="0086587C" w:rsidRPr="00855F9D">
        <w:rPr>
          <w:rFonts w:eastAsia="Arial Unicode MS" w:cs="Calibri"/>
          <w:b/>
          <w:bCs/>
          <w:sz w:val="24"/>
          <w:szCs w:val="24"/>
        </w:rPr>
        <w:t xml:space="preserve">incremento de </w:t>
      </w:r>
      <w:r w:rsidR="000E0E2D" w:rsidRPr="00855F9D">
        <w:rPr>
          <w:rFonts w:eastAsia="Arial Unicode MS" w:cs="Calibri"/>
          <w:b/>
          <w:bCs/>
          <w:sz w:val="24"/>
          <w:szCs w:val="24"/>
        </w:rPr>
        <w:t>5</w:t>
      </w:r>
      <w:r w:rsidR="00E536E2" w:rsidRPr="00855F9D">
        <w:rPr>
          <w:rFonts w:eastAsia="Arial Unicode MS" w:cs="Calibri"/>
          <w:b/>
          <w:bCs/>
          <w:sz w:val="24"/>
          <w:szCs w:val="24"/>
        </w:rPr>
        <w:t>,</w:t>
      </w:r>
      <w:r w:rsidR="000E0E2D" w:rsidRPr="00855F9D">
        <w:rPr>
          <w:rFonts w:eastAsia="Arial Unicode MS" w:cs="Calibri"/>
          <w:b/>
          <w:bCs/>
          <w:sz w:val="24"/>
          <w:szCs w:val="24"/>
        </w:rPr>
        <w:t>0</w:t>
      </w:r>
      <w:r w:rsidR="00A340FB" w:rsidRPr="00855F9D">
        <w:rPr>
          <w:rFonts w:eastAsia="Arial Unicode MS" w:cs="Calibri"/>
          <w:b/>
          <w:bCs/>
          <w:sz w:val="24"/>
          <w:szCs w:val="24"/>
        </w:rPr>
        <w:t>%</w:t>
      </w:r>
      <w:r w:rsidR="0086587C" w:rsidRPr="00855F9D">
        <w:rPr>
          <w:rFonts w:eastAsia="Arial Unicode MS" w:cs="Calibri"/>
          <w:sz w:val="24"/>
          <w:szCs w:val="24"/>
        </w:rPr>
        <w:t xml:space="preserve"> frente às metas previstas para 20</w:t>
      </w:r>
      <w:r w:rsidR="00183D8B" w:rsidRPr="00855F9D">
        <w:rPr>
          <w:rFonts w:eastAsia="Arial Unicode MS" w:cs="Calibri"/>
          <w:sz w:val="24"/>
          <w:szCs w:val="24"/>
        </w:rPr>
        <w:t>2</w:t>
      </w:r>
      <w:r w:rsidR="00A8402B" w:rsidRPr="00855F9D">
        <w:rPr>
          <w:rFonts w:eastAsia="Arial Unicode MS" w:cs="Calibri"/>
          <w:sz w:val="24"/>
          <w:szCs w:val="24"/>
        </w:rPr>
        <w:t>3</w:t>
      </w:r>
      <w:r w:rsidR="0086587C" w:rsidRPr="00855F9D">
        <w:rPr>
          <w:rFonts w:eastAsia="Arial Unicode MS" w:cs="Calibri"/>
          <w:sz w:val="24"/>
          <w:szCs w:val="24"/>
        </w:rPr>
        <w:t xml:space="preserve"> (</w:t>
      </w:r>
      <w:r w:rsidR="00F61B39" w:rsidRPr="00855F9D">
        <w:rPr>
          <w:rFonts w:eastAsia="Arial Unicode MS" w:cs="Calibri"/>
          <w:sz w:val="24"/>
          <w:szCs w:val="24"/>
        </w:rPr>
        <w:t xml:space="preserve">R$ </w:t>
      </w:r>
      <w:r w:rsidR="00344438" w:rsidRPr="00855F9D">
        <w:rPr>
          <w:rFonts w:eastAsia="Arial Unicode MS" w:cs="Calibri"/>
          <w:sz w:val="24"/>
          <w:szCs w:val="24"/>
        </w:rPr>
        <w:t>2</w:t>
      </w:r>
      <w:r w:rsidR="000E0E2D" w:rsidRPr="00855F9D">
        <w:rPr>
          <w:rFonts w:eastAsia="Arial Unicode MS" w:cs="Calibri"/>
          <w:sz w:val="24"/>
          <w:szCs w:val="24"/>
        </w:rPr>
        <w:t>27,03</w:t>
      </w:r>
      <w:r w:rsidR="004A0BA1" w:rsidRPr="00855F9D">
        <w:rPr>
          <w:rFonts w:eastAsia="Arial Unicode MS" w:cs="Calibri"/>
          <w:sz w:val="24"/>
          <w:szCs w:val="24"/>
        </w:rPr>
        <w:t xml:space="preserve"> </w:t>
      </w:r>
      <w:r w:rsidR="00F61B39" w:rsidRPr="00855F9D">
        <w:rPr>
          <w:rFonts w:eastAsia="Arial Unicode MS" w:cs="Calibri"/>
          <w:sz w:val="24"/>
          <w:szCs w:val="24"/>
        </w:rPr>
        <w:t xml:space="preserve">milhões na </w:t>
      </w:r>
      <w:r w:rsidR="000B27F2" w:rsidRPr="00855F9D">
        <w:rPr>
          <w:rFonts w:eastAsia="Arial Unicode MS" w:cs="Calibri"/>
          <w:sz w:val="24"/>
          <w:szCs w:val="24"/>
        </w:rPr>
        <w:t>r</w:t>
      </w:r>
      <w:r w:rsidR="0090535C" w:rsidRPr="00855F9D">
        <w:rPr>
          <w:rFonts w:eastAsia="Arial Unicode MS" w:cs="Calibri"/>
          <w:sz w:val="24"/>
          <w:szCs w:val="24"/>
        </w:rPr>
        <w:t>eprogramação 20</w:t>
      </w:r>
      <w:r w:rsidR="00255E87" w:rsidRPr="00855F9D">
        <w:rPr>
          <w:rFonts w:eastAsia="Arial Unicode MS" w:cs="Calibri"/>
          <w:sz w:val="24"/>
          <w:szCs w:val="24"/>
        </w:rPr>
        <w:t>2</w:t>
      </w:r>
      <w:r w:rsidR="00A8402B" w:rsidRPr="00855F9D">
        <w:rPr>
          <w:rFonts w:eastAsia="Arial Unicode MS" w:cs="Calibri"/>
          <w:sz w:val="24"/>
          <w:szCs w:val="24"/>
        </w:rPr>
        <w:t>3</w:t>
      </w:r>
      <w:r w:rsidR="0090535C" w:rsidRPr="00855F9D">
        <w:rPr>
          <w:rFonts w:eastAsia="Arial Unicode MS" w:cs="Calibri"/>
          <w:sz w:val="24"/>
          <w:szCs w:val="24"/>
        </w:rPr>
        <w:t xml:space="preserve">), ou </w:t>
      </w:r>
      <w:r w:rsidR="008F328A" w:rsidRPr="00855F9D">
        <w:rPr>
          <w:rFonts w:eastAsia="Arial Unicode MS" w:cs="Calibri"/>
          <w:sz w:val="24"/>
          <w:szCs w:val="24"/>
        </w:rPr>
        <w:t>1,0</w:t>
      </w:r>
      <w:r w:rsidR="00DB578E" w:rsidRPr="00855F9D">
        <w:rPr>
          <w:rFonts w:eastAsia="Arial Unicode MS" w:cs="Calibri"/>
          <w:sz w:val="24"/>
          <w:szCs w:val="24"/>
        </w:rPr>
        <w:t>%</w:t>
      </w:r>
      <w:r w:rsidR="0090535C" w:rsidRPr="00855F9D">
        <w:rPr>
          <w:rFonts w:eastAsia="Arial Unicode MS" w:cs="Calibri"/>
          <w:sz w:val="24"/>
          <w:szCs w:val="24"/>
        </w:rPr>
        <w:t xml:space="preserve"> de crescimento real, considerando a correção do índice do INPC </w:t>
      </w:r>
      <w:r w:rsidR="00DB578E" w:rsidRPr="00855F9D">
        <w:rPr>
          <w:rFonts w:eastAsia="Arial Unicode MS" w:cs="Calibri"/>
          <w:sz w:val="24"/>
          <w:szCs w:val="24"/>
        </w:rPr>
        <w:t xml:space="preserve">previsto </w:t>
      </w:r>
      <w:r w:rsidR="0090535C" w:rsidRPr="00855F9D">
        <w:rPr>
          <w:rFonts w:eastAsia="Arial Unicode MS" w:cs="Calibri"/>
          <w:sz w:val="24"/>
          <w:szCs w:val="24"/>
        </w:rPr>
        <w:t xml:space="preserve">de </w:t>
      </w:r>
      <w:r w:rsidR="00E536E2" w:rsidRPr="00855F9D">
        <w:rPr>
          <w:rFonts w:eastAsia="Arial Unicode MS" w:cs="Calibri"/>
          <w:sz w:val="24"/>
          <w:szCs w:val="24"/>
        </w:rPr>
        <w:t>4</w:t>
      </w:r>
      <w:r w:rsidR="00344438" w:rsidRPr="00855F9D">
        <w:rPr>
          <w:rFonts w:eastAsia="Arial Unicode MS" w:cs="Calibri"/>
          <w:sz w:val="24"/>
          <w:szCs w:val="24"/>
        </w:rPr>
        <w:t>,</w:t>
      </w:r>
      <w:r w:rsidR="00E536E2" w:rsidRPr="00855F9D">
        <w:rPr>
          <w:rFonts w:eastAsia="Arial Unicode MS" w:cs="Calibri"/>
          <w:sz w:val="24"/>
          <w:szCs w:val="24"/>
        </w:rPr>
        <w:t>0</w:t>
      </w:r>
      <w:r w:rsidR="0090535C" w:rsidRPr="00855F9D">
        <w:rPr>
          <w:rFonts w:eastAsia="Arial Unicode MS" w:cs="Calibri"/>
          <w:sz w:val="24"/>
          <w:szCs w:val="24"/>
        </w:rPr>
        <w:t xml:space="preserve">% na </w:t>
      </w:r>
      <w:r w:rsidR="0090535C" w:rsidRPr="00340547">
        <w:rPr>
          <w:rFonts w:eastAsia="Arial Unicode MS" w:cs="Calibri"/>
          <w:color w:val="000000" w:themeColor="text1"/>
          <w:sz w:val="24"/>
          <w:szCs w:val="24"/>
        </w:rPr>
        <w:t>correção dos valores aplicados para anuidad</w:t>
      </w:r>
      <w:r w:rsidR="000E64B8" w:rsidRPr="00340547">
        <w:rPr>
          <w:rFonts w:eastAsia="Arial Unicode MS" w:cs="Calibri"/>
          <w:color w:val="000000" w:themeColor="text1"/>
          <w:sz w:val="24"/>
          <w:szCs w:val="24"/>
        </w:rPr>
        <w:t>es, RRT e demais taxas e multas</w:t>
      </w:r>
      <w:r w:rsidR="0090535C" w:rsidRPr="00340547">
        <w:rPr>
          <w:rFonts w:eastAsia="Arial Unicode MS" w:cs="Calibri"/>
          <w:color w:val="000000" w:themeColor="text1"/>
          <w:sz w:val="24"/>
          <w:szCs w:val="24"/>
        </w:rPr>
        <w:t xml:space="preserve">. </w:t>
      </w:r>
    </w:p>
    <w:p w14:paraId="7DC8531F" w14:textId="19A116F9" w:rsidR="00AC7D51" w:rsidRDefault="00EC73B6" w:rsidP="003121B1">
      <w:pPr>
        <w:spacing w:after="0" w:line="360" w:lineRule="auto"/>
        <w:ind w:firstLine="851"/>
        <w:jc w:val="both"/>
        <w:rPr>
          <w:rFonts w:eastAsia="Arial Unicode MS" w:cs="Calibri"/>
          <w:color w:val="000000" w:themeColor="text1"/>
          <w:sz w:val="24"/>
          <w:szCs w:val="24"/>
        </w:rPr>
      </w:pPr>
      <w:r w:rsidRPr="00340547">
        <w:rPr>
          <w:rFonts w:eastAsia="Arial Unicode MS" w:cs="Calibri"/>
          <w:color w:val="000000" w:themeColor="text1"/>
          <w:sz w:val="24"/>
          <w:szCs w:val="24"/>
        </w:rPr>
        <w:t>Do</w:t>
      </w:r>
      <w:r w:rsidR="000E64B8" w:rsidRPr="00340547">
        <w:rPr>
          <w:rFonts w:eastAsia="Arial Unicode MS" w:cs="Calibri"/>
          <w:color w:val="000000" w:themeColor="text1"/>
          <w:sz w:val="24"/>
          <w:szCs w:val="24"/>
        </w:rPr>
        <w:t xml:space="preserve"> total dos</w:t>
      </w:r>
      <w:r w:rsidRPr="00340547">
        <w:rPr>
          <w:rFonts w:eastAsia="Arial Unicode MS" w:cs="Calibri"/>
          <w:color w:val="000000" w:themeColor="text1"/>
          <w:sz w:val="24"/>
          <w:szCs w:val="24"/>
        </w:rPr>
        <w:t xml:space="preserve"> recursos projetados</w:t>
      </w:r>
      <w:r w:rsidR="000E64B8" w:rsidRPr="00340547">
        <w:rPr>
          <w:rFonts w:eastAsia="Arial Unicode MS" w:cs="Calibri"/>
          <w:color w:val="000000" w:themeColor="text1"/>
          <w:sz w:val="24"/>
          <w:szCs w:val="24"/>
        </w:rPr>
        <w:t>,</w:t>
      </w:r>
      <w:r w:rsidRPr="00340547">
        <w:rPr>
          <w:rFonts w:eastAsia="Arial Unicode MS" w:cs="Calibri"/>
          <w:color w:val="000000" w:themeColor="text1"/>
          <w:sz w:val="24"/>
          <w:szCs w:val="24"/>
        </w:rPr>
        <w:t xml:space="preserve"> </w:t>
      </w:r>
      <w:r w:rsidR="0086587C" w:rsidRPr="00340547">
        <w:rPr>
          <w:rFonts w:eastAsia="Arial Unicode MS" w:cs="Calibri"/>
          <w:color w:val="000000" w:themeColor="text1"/>
          <w:sz w:val="24"/>
          <w:szCs w:val="24"/>
        </w:rPr>
        <w:t>80</w:t>
      </w:r>
      <w:r w:rsidR="00963614">
        <w:rPr>
          <w:rFonts w:eastAsia="Arial Unicode MS" w:cs="Calibri"/>
          <w:color w:val="000000" w:themeColor="text1"/>
          <w:sz w:val="24"/>
          <w:szCs w:val="24"/>
        </w:rPr>
        <w:t>,0</w:t>
      </w:r>
      <w:r w:rsidR="0086587C" w:rsidRPr="00340547">
        <w:rPr>
          <w:rFonts w:eastAsia="Arial Unicode MS" w:cs="Calibri"/>
          <w:color w:val="000000" w:themeColor="text1"/>
          <w:sz w:val="24"/>
          <w:szCs w:val="24"/>
        </w:rPr>
        <w:t xml:space="preserve">% </w:t>
      </w:r>
      <w:r w:rsidRPr="00340547">
        <w:rPr>
          <w:rFonts w:eastAsia="Arial Unicode MS" w:cs="Calibri"/>
          <w:color w:val="000000" w:themeColor="text1"/>
          <w:sz w:val="24"/>
          <w:szCs w:val="24"/>
        </w:rPr>
        <w:t>são direcionados a suportar a programação dos CAU/UF e 20</w:t>
      </w:r>
      <w:r w:rsidR="00963614">
        <w:rPr>
          <w:rFonts w:eastAsia="Arial Unicode MS" w:cs="Calibri"/>
          <w:color w:val="000000" w:themeColor="text1"/>
          <w:sz w:val="24"/>
          <w:szCs w:val="24"/>
        </w:rPr>
        <w:t>,0</w:t>
      </w:r>
      <w:r w:rsidRPr="00340547">
        <w:rPr>
          <w:rFonts w:eastAsia="Arial Unicode MS" w:cs="Calibri"/>
          <w:color w:val="000000" w:themeColor="text1"/>
          <w:sz w:val="24"/>
          <w:szCs w:val="24"/>
        </w:rPr>
        <w:t>% à programação do C</w:t>
      </w:r>
      <w:r w:rsidR="00705A31" w:rsidRPr="00340547">
        <w:rPr>
          <w:rFonts w:eastAsia="Arial Unicode MS" w:cs="Calibri"/>
          <w:color w:val="000000" w:themeColor="text1"/>
          <w:sz w:val="24"/>
          <w:szCs w:val="24"/>
        </w:rPr>
        <w:t xml:space="preserve">AU/BR, conforme </w:t>
      </w:r>
      <w:r w:rsidR="00DC6840" w:rsidRPr="00340547">
        <w:rPr>
          <w:rFonts w:eastAsia="Arial Unicode MS" w:cs="Calibri"/>
          <w:color w:val="000000" w:themeColor="text1"/>
          <w:sz w:val="24"/>
          <w:szCs w:val="24"/>
        </w:rPr>
        <w:t>Q</w:t>
      </w:r>
      <w:r w:rsidR="00705A31" w:rsidRPr="00340547">
        <w:rPr>
          <w:rFonts w:eastAsia="Arial Unicode MS" w:cs="Calibri"/>
          <w:color w:val="000000" w:themeColor="text1"/>
          <w:sz w:val="24"/>
          <w:szCs w:val="24"/>
        </w:rPr>
        <w:t xml:space="preserve">uadro </w:t>
      </w:r>
      <w:r w:rsidR="00896DFD">
        <w:rPr>
          <w:rFonts w:eastAsia="Arial Unicode MS" w:cs="Calibri"/>
          <w:color w:val="000000" w:themeColor="text1"/>
          <w:sz w:val="24"/>
          <w:szCs w:val="24"/>
        </w:rPr>
        <w:t>5</w:t>
      </w:r>
      <w:r w:rsidR="00705A31" w:rsidRPr="00340547">
        <w:rPr>
          <w:rFonts w:eastAsia="Arial Unicode MS" w:cs="Calibri"/>
          <w:color w:val="000000" w:themeColor="text1"/>
          <w:sz w:val="24"/>
          <w:szCs w:val="24"/>
        </w:rPr>
        <w:t xml:space="preserve"> a seguir.</w:t>
      </w:r>
    </w:p>
    <w:p w14:paraId="7DC85321" w14:textId="158B81D9" w:rsidR="00703C95" w:rsidRPr="00190F23" w:rsidRDefault="00F824A1" w:rsidP="00902391">
      <w:pPr>
        <w:pStyle w:val="Ttulo5"/>
        <w:rPr>
          <w:rFonts w:asciiTheme="minorHAnsi" w:eastAsia="Arial Unicode MS" w:hAnsiTheme="minorHAnsi" w:cstheme="minorBidi"/>
          <w:color w:val="auto"/>
          <w:lang w:eastAsia="pt-BR"/>
        </w:rPr>
      </w:pPr>
      <w:bookmarkStart w:id="66" w:name="_Toc83716311"/>
      <w:r w:rsidRPr="00190F23">
        <w:rPr>
          <w:rFonts w:asciiTheme="minorHAnsi" w:eastAsia="Arial Unicode MS" w:hAnsiTheme="minorHAnsi" w:cstheme="minorBidi"/>
          <w:color w:val="auto"/>
          <w:lang w:eastAsia="pt-BR"/>
        </w:rPr>
        <w:t xml:space="preserve">Quadro </w:t>
      </w:r>
      <w:r w:rsidR="00E6131E">
        <w:rPr>
          <w:rFonts w:asciiTheme="minorHAnsi" w:eastAsia="Arial Unicode MS" w:hAnsiTheme="minorHAnsi" w:cstheme="minorBidi"/>
          <w:color w:val="auto"/>
          <w:lang w:eastAsia="pt-BR"/>
        </w:rPr>
        <w:t>5</w:t>
      </w:r>
      <w:r w:rsidRPr="00190F23">
        <w:rPr>
          <w:rFonts w:asciiTheme="minorHAnsi" w:eastAsia="Arial Unicode MS" w:hAnsiTheme="minorHAnsi" w:cstheme="minorBidi"/>
          <w:color w:val="auto"/>
          <w:lang w:eastAsia="pt-BR"/>
        </w:rPr>
        <w:t xml:space="preserve"> - Receitas dos CAU/UF e CAU/BR – Programação </w:t>
      </w:r>
      <w:r w:rsidR="00182EDB" w:rsidRPr="00190F23">
        <w:rPr>
          <w:rFonts w:asciiTheme="minorHAnsi" w:eastAsia="Arial Unicode MS" w:hAnsiTheme="minorHAnsi" w:cstheme="minorBidi"/>
          <w:color w:val="auto"/>
          <w:lang w:eastAsia="pt-BR"/>
        </w:rPr>
        <w:t>20</w:t>
      </w:r>
      <w:r w:rsidR="00534672" w:rsidRPr="00190F23">
        <w:rPr>
          <w:rFonts w:asciiTheme="minorHAnsi" w:eastAsia="Arial Unicode MS" w:hAnsiTheme="minorHAnsi" w:cstheme="minorBidi"/>
          <w:color w:val="auto"/>
          <w:lang w:eastAsia="pt-BR"/>
        </w:rPr>
        <w:t>2</w:t>
      </w:r>
      <w:bookmarkEnd w:id="66"/>
      <w:r w:rsidR="00E536E2">
        <w:rPr>
          <w:rFonts w:asciiTheme="minorHAnsi" w:eastAsia="Arial Unicode MS" w:hAnsiTheme="minorHAnsi" w:cstheme="minorBidi"/>
          <w:color w:val="auto"/>
          <w:lang w:eastAsia="pt-BR"/>
        </w:rPr>
        <w:t>4</w:t>
      </w:r>
    </w:p>
    <w:p w14:paraId="482A3F70" w14:textId="0D2D365E" w:rsidR="00902391" w:rsidRPr="00902391" w:rsidRDefault="00FB2E82" w:rsidP="00534660">
      <w:pPr>
        <w:jc w:val="center"/>
      </w:pPr>
      <w:r w:rsidRPr="00FB2E82">
        <w:rPr>
          <w:noProof/>
          <w:lang w:eastAsia="pt-BR"/>
        </w:rPr>
        <w:drawing>
          <wp:inline distT="0" distB="0" distL="0" distR="0" wp14:anchorId="1A8B72A4" wp14:editId="70E5F6EE">
            <wp:extent cx="5593013" cy="4314825"/>
            <wp:effectExtent l="0" t="0" r="825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4228" cy="4323477"/>
                    </a:xfrm>
                    <a:prstGeom prst="rect">
                      <a:avLst/>
                    </a:prstGeom>
                  </pic:spPr>
                </pic:pic>
              </a:graphicData>
            </a:graphic>
          </wp:inline>
        </w:drawing>
      </w:r>
    </w:p>
    <w:p w14:paraId="2D09C3BB" w14:textId="6347FE3D" w:rsidR="00F56232" w:rsidRDefault="0086587C" w:rsidP="00A56F0B">
      <w:pPr>
        <w:spacing w:line="360" w:lineRule="auto"/>
        <w:ind w:firstLine="851"/>
        <w:jc w:val="both"/>
        <w:rPr>
          <w:rFonts w:eastAsia="Arial Unicode MS" w:cs="Calibri"/>
          <w:color w:val="000000" w:themeColor="text1"/>
          <w:sz w:val="24"/>
          <w:szCs w:val="24"/>
        </w:rPr>
      </w:pPr>
      <w:r w:rsidRPr="00070FB6">
        <w:rPr>
          <w:rFonts w:eastAsia="Arial Unicode MS" w:cs="Calibri"/>
          <w:color w:val="000000" w:themeColor="text1"/>
          <w:sz w:val="24"/>
          <w:szCs w:val="24"/>
        </w:rPr>
        <w:t xml:space="preserve">Do valor destinado aos CAU/UF, a posição </w:t>
      </w:r>
      <w:r w:rsidR="000E0E2D">
        <w:rPr>
          <w:rFonts w:eastAsia="Arial Unicode MS" w:cs="Calibri"/>
          <w:color w:val="000000" w:themeColor="text1"/>
          <w:sz w:val="24"/>
          <w:szCs w:val="24"/>
        </w:rPr>
        <w:t>que</w:t>
      </w:r>
      <w:r w:rsidRPr="00070FB6">
        <w:rPr>
          <w:rFonts w:eastAsia="Arial Unicode MS" w:cs="Calibri"/>
          <w:color w:val="000000" w:themeColor="text1"/>
          <w:sz w:val="24"/>
          <w:szCs w:val="24"/>
        </w:rPr>
        <w:t xml:space="preserve"> </w:t>
      </w:r>
      <w:r w:rsidR="00A207ED">
        <w:rPr>
          <w:rFonts w:eastAsia="Arial Unicode MS" w:cs="Calibri"/>
          <w:color w:val="000000" w:themeColor="text1"/>
          <w:sz w:val="24"/>
          <w:szCs w:val="24"/>
        </w:rPr>
        <w:t xml:space="preserve">consta no </w:t>
      </w:r>
      <w:r w:rsidR="000B3015" w:rsidRPr="00070FB6">
        <w:rPr>
          <w:rFonts w:eastAsia="Arial Unicode MS" w:cs="Calibri"/>
          <w:color w:val="000000" w:themeColor="text1"/>
          <w:sz w:val="24"/>
          <w:szCs w:val="24"/>
        </w:rPr>
        <w:t xml:space="preserve">Quadro </w:t>
      </w:r>
      <w:r w:rsidR="00E6131E">
        <w:rPr>
          <w:rFonts w:eastAsia="Arial Unicode MS" w:cs="Calibri"/>
          <w:color w:val="000000" w:themeColor="text1"/>
          <w:sz w:val="24"/>
          <w:szCs w:val="24"/>
        </w:rPr>
        <w:t>6</w:t>
      </w:r>
      <w:r w:rsidRPr="00070FB6">
        <w:rPr>
          <w:rFonts w:eastAsia="Arial Unicode MS" w:cs="Calibri"/>
          <w:color w:val="000000" w:themeColor="text1"/>
          <w:sz w:val="24"/>
          <w:szCs w:val="24"/>
        </w:rPr>
        <w:t xml:space="preserve"> a seguir</w:t>
      </w:r>
      <w:r w:rsidR="00A207ED">
        <w:rPr>
          <w:rFonts w:eastAsia="Arial Unicode MS" w:cs="Calibri"/>
          <w:color w:val="000000" w:themeColor="text1"/>
          <w:sz w:val="24"/>
          <w:szCs w:val="24"/>
        </w:rPr>
        <w:t xml:space="preserve">, sendo detalhada, por </w:t>
      </w:r>
      <w:r w:rsidRPr="00070FB6">
        <w:rPr>
          <w:rFonts w:eastAsia="Arial Unicode MS" w:cs="Calibri"/>
          <w:color w:val="000000" w:themeColor="text1"/>
          <w:sz w:val="24"/>
          <w:szCs w:val="24"/>
        </w:rPr>
        <w:t>CAU/UF</w:t>
      </w:r>
      <w:r w:rsidR="00A207ED">
        <w:rPr>
          <w:rFonts w:eastAsia="Arial Unicode MS" w:cs="Calibri"/>
          <w:color w:val="000000" w:themeColor="text1"/>
          <w:sz w:val="24"/>
          <w:szCs w:val="24"/>
        </w:rPr>
        <w:t xml:space="preserve">, </w:t>
      </w:r>
      <w:r w:rsidR="00A207ED" w:rsidRPr="001A1563">
        <w:rPr>
          <w:rFonts w:eastAsia="Arial Unicode MS" w:cs="Calibri"/>
          <w:color w:val="000000" w:themeColor="text1"/>
          <w:sz w:val="24"/>
          <w:szCs w:val="24"/>
        </w:rPr>
        <w:t xml:space="preserve">no </w:t>
      </w:r>
      <w:r w:rsidRPr="001A1563">
        <w:rPr>
          <w:rFonts w:eastAsia="Arial Unicode MS" w:cs="Calibri"/>
          <w:color w:val="000000" w:themeColor="text1"/>
          <w:sz w:val="24"/>
          <w:szCs w:val="24"/>
        </w:rPr>
        <w:t>An</w:t>
      </w:r>
      <w:r w:rsidR="000B3015" w:rsidRPr="001A1563">
        <w:rPr>
          <w:rFonts w:eastAsia="Arial Unicode MS" w:cs="Calibri"/>
          <w:color w:val="000000" w:themeColor="text1"/>
          <w:sz w:val="24"/>
          <w:szCs w:val="24"/>
        </w:rPr>
        <w:t>exo X</w:t>
      </w:r>
      <w:r w:rsidR="00231337" w:rsidRPr="001A1563">
        <w:rPr>
          <w:rFonts w:eastAsia="Arial Unicode MS" w:cs="Calibri"/>
          <w:color w:val="000000" w:themeColor="text1"/>
          <w:sz w:val="24"/>
          <w:szCs w:val="24"/>
        </w:rPr>
        <w:t>.I</w:t>
      </w:r>
      <w:r w:rsidR="000B3015" w:rsidRPr="001A1563">
        <w:rPr>
          <w:rFonts w:eastAsia="Arial Unicode MS" w:cs="Calibri"/>
          <w:color w:val="000000" w:themeColor="text1"/>
          <w:sz w:val="24"/>
          <w:szCs w:val="24"/>
        </w:rPr>
        <w:t>.</w:t>
      </w:r>
    </w:p>
    <w:p w14:paraId="26D1B094" w14:textId="77777777" w:rsidR="001A1563" w:rsidRDefault="000B3015" w:rsidP="00902391">
      <w:pPr>
        <w:pStyle w:val="Ttulo5"/>
        <w:rPr>
          <w:rFonts w:asciiTheme="minorHAnsi" w:eastAsia="Arial Unicode MS" w:hAnsiTheme="minorHAnsi" w:cstheme="minorBidi"/>
          <w:color w:val="auto"/>
          <w:lang w:eastAsia="pt-BR"/>
        </w:rPr>
      </w:pPr>
      <w:bookmarkStart w:id="67" w:name="_Toc83716312"/>
      <w:r w:rsidRPr="00190F23">
        <w:rPr>
          <w:rFonts w:asciiTheme="minorHAnsi" w:eastAsia="Arial Unicode MS" w:hAnsiTheme="minorHAnsi" w:cstheme="minorBidi"/>
          <w:color w:val="auto"/>
          <w:lang w:eastAsia="pt-BR"/>
        </w:rPr>
        <w:t xml:space="preserve">Quadro </w:t>
      </w:r>
      <w:r w:rsidR="00E6131E">
        <w:rPr>
          <w:rFonts w:asciiTheme="minorHAnsi" w:eastAsia="Arial Unicode MS" w:hAnsiTheme="minorHAnsi" w:cstheme="minorBidi"/>
          <w:color w:val="auto"/>
          <w:lang w:eastAsia="pt-BR"/>
        </w:rPr>
        <w:t>6</w:t>
      </w:r>
      <w:r w:rsidRPr="00190F23">
        <w:rPr>
          <w:rFonts w:asciiTheme="minorHAnsi" w:eastAsia="Arial Unicode MS" w:hAnsiTheme="minorHAnsi" w:cstheme="minorBidi"/>
          <w:color w:val="auto"/>
          <w:lang w:eastAsia="pt-BR"/>
        </w:rPr>
        <w:t xml:space="preserve"> - </w:t>
      </w:r>
      <w:r w:rsidR="00E534D9" w:rsidRPr="00190F23">
        <w:rPr>
          <w:rFonts w:asciiTheme="minorHAnsi" w:eastAsia="Arial Unicode MS" w:hAnsiTheme="minorHAnsi" w:cstheme="minorBidi"/>
          <w:color w:val="auto"/>
          <w:lang w:eastAsia="pt-BR"/>
        </w:rPr>
        <w:t>E</w:t>
      </w:r>
      <w:r w:rsidRPr="00190F23">
        <w:rPr>
          <w:rFonts w:asciiTheme="minorHAnsi" w:eastAsia="Arial Unicode MS" w:hAnsiTheme="minorHAnsi" w:cstheme="minorBidi"/>
          <w:color w:val="auto"/>
          <w:lang w:eastAsia="pt-BR"/>
        </w:rPr>
        <w:t>stimativa</w:t>
      </w:r>
      <w:r w:rsidR="005B1E7F" w:rsidRPr="00190F23">
        <w:rPr>
          <w:rFonts w:asciiTheme="minorHAnsi" w:eastAsia="Arial Unicode MS" w:hAnsiTheme="minorHAnsi" w:cstheme="minorBidi"/>
          <w:color w:val="auto"/>
          <w:lang w:eastAsia="pt-BR"/>
        </w:rPr>
        <w:t>s</w:t>
      </w:r>
      <w:r w:rsidRPr="00190F23">
        <w:rPr>
          <w:rFonts w:asciiTheme="minorHAnsi" w:eastAsia="Arial Unicode MS" w:hAnsiTheme="minorHAnsi" w:cstheme="minorBidi"/>
          <w:color w:val="auto"/>
          <w:lang w:eastAsia="pt-BR"/>
        </w:rPr>
        <w:t xml:space="preserve"> das </w:t>
      </w:r>
      <w:r w:rsidR="00E534D9" w:rsidRPr="00190F23">
        <w:rPr>
          <w:rFonts w:asciiTheme="minorHAnsi" w:eastAsia="Arial Unicode MS" w:hAnsiTheme="minorHAnsi" w:cstheme="minorBidi"/>
          <w:color w:val="auto"/>
          <w:lang w:eastAsia="pt-BR"/>
        </w:rPr>
        <w:t>R</w:t>
      </w:r>
      <w:r w:rsidRPr="00190F23">
        <w:rPr>
          <w:rFonts w:asciiTheme="minorHAnsi" w:eastAsia="Arial Unicode MS" w:hAnsiTheme="minorHAnsi" w:cstheme="minorBidi"/>
          <w:color w:val="auto"/>
          <w:lang w:eastAsia="pt-BR"/>
        </w:rPr>
        <w:t>eceitas dos CAU/UF</w:t>
      </w:r>
      <w:r w:rsidR="00C200BC" w:rsidRPr="00190F23">
        <w:rPr>
          <w:rFonts w:asciiTheme="minorHAnsi" w:eastAsia="Arial Unicode MS" w:hAnsiTheme="minorHAnsi" w:cstheme="minorBidi"/>
          <w:color w:val="auto"/>
          <w:lang w:eastAsia="pt-BR"/>
        </w:rPr>
        <w:t xml:space="preserve"> por Região</w:t>
      </w:r>
    </w:p>
    <w:p w14:paraId="7DC85324" w14:textId="6DA3250F" w:rsidR="007F078D" w:rsidRPr="00190F23" w:rsidRDefault="000B3015" w:rsidP="00902391">
      <w:pPr>
        <w:pStyle w:val="Ttulo5"/>
        <w:rPr>
          <w:rFonts w:asciiTheme="minorHAnsi" w:eastAsia="Arial Unicode MS" w:hAnsiTheme="minorHAnsi" w:cstheme="minorBidi"/>
          <w:color w:val="auto"/>
          <w:lang w:eastAsia="pt-BR"/>
        </w:rPr>
      </w:pPr>
      <w:r w:rsidRPr="00190F23">
        <w:rPr>
          <w:rFonts w:asciiTheme="minorHAnsi" w:eastAsia="Arial Unicode MS" w:hAnsiTheme="minorHAnsi" w:cstheme="minorBidi"/>
          <w:color w:val="auto"/>
          <w:lang w:eastAsia="pt-BR"/>
        </w:rPr>
        <w:t xml:space="preserve"> </w:t>
      </w:r>
      <w:r w:rsidR="0098624B" w:rsidRPr="00190F23">
        <w:rPr>
          <w:rFonts w:asciiTheme="minorHAnsi" w:eastAsia="Arial Unicode MS" w:hAnsiTheme="minorHAnsi" w:cstheme="minorBidi"/>
          <w:color w:val="auto"/>
          <w:lang w:eastAsia="pt-BR"/>
        </w:rPr>
        <w:t>Rep</w:t>
      </w:r>
      <w:r w:rsidR="00534672" w:rsidRPr="00190F23">
        <w:rPr>
          <w:rFonts w:asciiTheme="minorHAnsi" w:eastAsia="Arial Unicode MS" w:hAnsiTheme="minorHAnsi" w:cstheme="minorBidi"/>
          <w:color w:val="auto"/>
          <w:lang w:eastAsia="pt-BR"/>
        </w:rPr>
        <w:t>rogramação 202</w:t>
      </w:r>
      <w:r w:rsidR="004827F7">
        <w:rPr>
          <w:rFonts w:asciiTheme="minorHAnsi" w:eastAsia="Arial Unicode MS" w:hAnsiTheme="minorHAnsi" w:cstheme="minorBidi"/>
          <w:color w:val="auto"/>
          <w:lang w:eastAsia="pt-BR"/>
        </w:rPr>
        <w:t>3</w:t>
      </w:r>
      <w:r w:rsidR="00534672" w:rsidRPr="00190F23">
        <w:rPr>
          <w:rFonts w:asciiTheme="minorHAnsi" w:eastAsia="Arial Unicode MS" w:hAnsiTheme="minorHAnsi" w:cstheme="minorBidi"/>
          <w:color w:val="auto"/>
          <w:lang w:eastAsia="pt-BR"/>
        </w:rPr>
        <w:t xml:space="preserve"> X </w:t>
      </w:r>
      <w:r w:rsidR="0098624B" w:rsidRPr="00190F23">
        <w:rPr>
          <w:rFonts w:asciiTheme="minorHAnsi" w:eastAsia="Arial Unicode MS" w:hAnsiTheme="minorHAnsi" w:cstheme="minorBidi"/>
          <w:color w:val="auto"/>
          <w:lang w:eastAsia="pt-BR"/>
        </w:rPr>
        <w:t>P</w:t>
      </w:r>
      <w:r w:rsidR="00534672" w:rsidRPr="00190F23">
        <w:rPr>
          <w:rFonts w:asciiTheme="minorHAnsi" w:eastAsia="Arial Unicode MS" w:hAnsiTheme="minorHAnsi" w:cstheme="minorBidi"/>
          <w:color w:val="auto"/>
          <w:lang w:eastAsia="pt-BR"/>
        </w:rPr>
        <w:t>rogramação 20</w:t>
      </w:r>
      <w:r w:rsidR="007A6E15" w:rsidRPr="00190F23">
        <w:rPr>
          <w:rFonts w:asciiTheme="minorHAnsi" w:eastAsia="Arial Unicode MS" w:hAnsiTheme="minorHAnsi" w:cstheme="minorBidi"/>
          <w:color w:val="auto"/>
          <w:lang w:eastAsia="pt-BR"/>
        </w:rPr>
        <w:t>2</w:t>
      </w:r>
      <w:bookmarkEnd w:id="67"/>
      <w:r w:rsidR="004827F7">
        <w:rPr>
          <w:rFonts w:asciiTheme="minorHAnsi" w:eastAsia="Arial Unicode MS" w:hAnsiTheme="minorHAnsi" w:cstheme="minorBidi"/>
          <w:color w:val="auto"/>
          <w:lang w:eastAsia="pt-BR"/>
        </w:rPr>
        <w:t>4</w:t>
      </w:r>
    </w:p>
    <w:p w14:paraId="1CC3B7BF" w14:textId="268939FA" w:rsidR="00590F15" w:rsidRPr="00590F15" w:rsidRDefault="00FB2E82" w:rsidP="00534660">
      <w:pPr>
        <w:jc w:val="center"/>
        <w:rPr>
          <w:lang w:eastAsia="pt-BR"/>
        </w:rPr>
      </w:pPr>
      <w:r w:rsidRPr="00FB2E82">
        <w:rPr>
          <w:noProof/>
          <w:lang w:eastAsia="pt-BR"/>
        </w:rPr>
        <w:drawing>
          <wp:inline distT="0" distB="0" distL="0" distR="0" wp14:anchorId="7981F89E" wp14:editId="32BCCB01">
            <wp:extent cx="5776595" cy="17811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3374" cy="1789432"/>
                    </a:xfrm>
                    <a:prstGeom prst="rect">
                      <a:avLst/>
                    </a:prstGeom>
                  </pic:spPr>
                </pic:pic>
              </a:graphicData>
            </a:graphic>
          </wp:inline>
        </w:drawing>
      </w:r>
    </w:p>
    <w:p w14:paraId="4FE92B16" w14:textId="7A8774C5" w:rsidR="00DD5CA0" w:rsidRDefault="000B3015" w:rsidP="00DD5CA0">
      <w:pPr>
        <w:spacing w:after="0" w:line="360" w:lineRule="auto"/>
        <w:ind w:firstLine="567"/>
        <w:jc w:val="both"/>
        <w:rPr>
          <w:rFonts w:eastAsia="Arial Unicode MS" w:cs="Calibri"/>
          <w:color w:val="000000" w:themeColor="text1"/>
          <w:sz w:val="24"/>
          <w:szCs w:val="24"/>
        </w:rPr>
      </w:pPr>
      <w:r w:rsidRPr="00070FB6">
        <w:rPr>
          <w:rFonts w:eastAsia="Arial Unicode MS" w:cs="Calibri"/>
          <w:color w:val="000000" w:themeColor="text1"/>
          <w:sz w:val="24"/>
          <w:szCs w:val="24"/>
        </w:rPr>
        <w:t>O</w:t>
      </w:r>
      <w:r w:rsidR="009516B9" w:rsidRPr="00070FB6">
        <w:rPr>
          <w:rFonts w:eastAsia="Arial Unicode MS" w:cs="Calibri"/>
          <w:color w:val="000000" w:themeColor="text1"/>
          <w:sz w:val="24"/>
          <w:szCs w:val="24"/>
        </w:rPr>
        <w:t>s</w:t>
      </w:r>
      <w:r w:rsidRPr="00070FB6">
        <w:rPr>
          <w:rFonts w:eastAsia="Arial Unicode MS" w:cs="Calibri"/>
          <w:color w:val="000000" w:themeColor="text1"/>
          <w:sz w:val="24"/>
          <w:szCs w:val="24"/>
        </w:rPr>
        <w:t xml:space="preserve"> detalhamento</w:t>
      </w:r>
      <w:r w:rsidR="009516B9" w:rsidRPr="00070FB6">
        <w:rPr>
          <w:rFonts w:eastAsia="Arial Unicode MS" w:cs="Calibri"/>
          <w:color w:val="000000" w:themeColor="text1"/>
          <w:sz w:val="24"/>
          <w:szCs w:val="24"/>
        </w:rPr>
        <w:t>s</w:t>
      </w:r>
      <w:r w:rsidRPr="00070FB6">
        <w:rPr>
          <w:rFonts w:eastAsia="Arial Unicode MS" w:cs="Calibri"/>
          <w:color w:val="000000" w:themeColor="text1"/>
          <w:sz w:val="24"/>
          <w:szCs w:val="24"/>
        </w:rPr>
        <w:t xml:space="preserve"> da</w:t>
      </w:r>
      <w:r w:rsidR="009516B9" w:rsidRPr="00070FB6">
        <w:rPr>
          <w:rFonts w:eastAsia="Arial Unicode MS" w:cs="Calibri"/>
          <w:color w:val="000000" w:themeColor="text1"/>
          <w:sz w:val="24"/>
          <w:szCs w:val="24"/>
        </w:rPr>
        <w:t>s projeções</w:t>
      </w:r>
      <w:r w:rsidRPr="00070FB6">
        <w:rPr>
          <w:rFonts w:eastAsia="Arial Unicode MS" w:cs="Calibri"/>
          <w:color w:val="000000" w:themeColor="text1"/>
          <w:sz w:val="24"/>
          <w:szCs w:val="24"/>
        </w:rPr>
        <w:t xml:space="preserve"> das receitas totais e por anuidade de pessoa física e pessoa jurídica, RRT e taxas e multas, encontra</w:t>
      </w:r>
      <w:r w:rsidR="00A207ED">
        <w:rPr>
          <w:rFonts w:eastAsia="Arial Unicode MS" w:cs="Calibri"/>
          <w:color w:val="000000" w:themeColor="text1"/>
          <w:sz w:val="24"/>
          <w:szCs w:val="24"/>
        </w:rPr>
        <w:t>m</w:t>
      </w:r>
      <w:r w:rsidRPr="00070FB6">
        <w:rPr>
          <w:rFonts w:eastAsia="Arial Unicode MS" w:cs="Calibri"/>
          <w:color w:val="000000" w:themeColor="text1"/>
          <w:sz w:val="24"/>
          <w:szCs w:val="24"/>
        </w:rPr>
        <w:t>-se</w:t>
      </w:r>
      <w:r w:rsidR="00070FB6" w:rsidRPr="00070FB6">
        <w:rPr>
          <w:rFonts w:eastAsia="Arial Unicode MS" w:cs="Calibri"/>
          <w:color w:val="000000" w:themeColor="text1"/>
          <w:sz w:val="24"/>
          <w:szCs w:val="24"/>
        </w:rPr>
        <w:t xml:space="preserve"> </w:t>
      </w:r>
      <w:r w:rsidR="00070FB6" w:rsidRPr="001A1563">
        <w:rPr>
          <w:rFonts w:eastAsia="Arial Unicode MS" w:cs="Calibri"/>
          <w:color w:val="000000" w:themeColor="text1"/>
          <w:sz w:val="24"/>
          <w:szCs w:val="24"/>
        </w:rPr>
        <w:t>nos</w:t>
      </w:r>
      <w:r w:rsidRPr="001A1563">
        <w:rPr>
          <w:rFonts w:eastAsia="Arial Unicode MS" w:cs="Calibri"/>
          <w:color w:val="000000" w:themeColor="text1"/>
          <w:sz w:val="24"/>
          <w:szCs w:val="24"/>
        </w:rPr>
        <w:t xml:space="preserve"> Anexo</w:t>
      </w:r>
      <w:r w:rsidR="00070FB6" w:rsidRPr="001A1563">
        <w:rPr>
          <w:rFonts w:eastAsia="Arial Unicode MS" w:cs="Calibri"/>
          <w:color w:val="000000" w:themeColor="text1"/>
          <w:sz w:val="24"/>
          <w:szCs w:val="24"/>
        </w:rPr>
        <w:t>s</w:t>
      </w:r>
      <w:r w:rsidR="0059744D" w:rsidRPr="001A1563">
        <w:rPr>
          <w:rFonts w:eastAsia="Arial Unicode MS" w:cs="Calibri"/>
          <w:color w:val="000000" w:themeColor="text1"/>
          <w:sz w:val="24"/>
          <w:szCs w:val="24"/>
        </w:rPr>
        <w:t xml:space="preserve"> </w:t>
      </w:r>
      <w:r w:rsidR="00AF1923" w:rsidRPr="001A1563">
        <w:rPr>
          <w:rFonts w:eastAsia="Arial Unicode MS" w:cs="Calibri"/>
          <w:color w:val="000000" w:themeColor="text1"/>
          <w:sz w:val="24"/>
          <w:szCs w:val="24"/>
        </w:rPr>
        <w:t>X</w:t>
      </w:r>
      <w:r w:rsidR="00070FB6" w:rsidRPr="001A1563">
        <w:rPr>
          <w:rFonts w:eastAsia="Arial Unicode MS" w:cs="Calibri"/>
          <w:color w:val="000000" w:themeColor="text1"/>
          <w:sz w:val="24"/>
          <w:szCs w:val="24"/>
        </w:rPr>
        <w:t>.I ao X.V.</w:t>
      </w:r>
    </w:p>
    <w:p w14:paraId="7DC85327" w14:textId="2A79FE75" w:rsidR="009C7342" w:rsidRDefault="000B3015" w:rsidP="00DD5CA0">
      <w:pPr>
        <w:spacing w:line="360" w:lineRule="auto"/>
        <w:ind w:firstLine="567"/>
        <w:jc w:val="both"/>
        <w:rPr>
          <w:rFonts w:eastAsia="Arial Unicode MS" w:cs="Calibri"/>
          <w:color w:val="000000" w:themeColor="text1"/>
          <w:sz w:val="24"/>
          <w:szCs w:val="24"/>
        </w:rPr>
      </w:pPr>
      <w:r w:rsidRPr="00070FB6">
        <w:rPr>
          <w:rFonts w:eastAsia="Arial Unicode MS" w:cs="Calibri"/>
          <w:color w:val="000000" w:themeColor="text1"/>
          <w:sz w:val="24"/>
          <w:szCs w:val="24"/>
        </w:rPr>
        <w:t>A</w:t>
      </w:r>
      <w:r w:rsidR="005B1E7F" w:rsidRPr="00070FB6">
        <w:rPr>
          <w:rFonts w:eastAsia="Arial Unicode MS" w:cs="Calibri"/>
          <w:color w:val="000000" w:themeColor="text1"/>
          <w:sz w:val="24"/>
          <w:szCs w:val="24"/>
        </w:rPr>
        <w:t>s</w:t>
      </w:r>
      <w:r w:rsidRPr="00070FB6">
        <w:rPr>
          <w:rFonts w:eastAsia="Arial Unicode MS" w:cs="Calibri"/>
          <w:color w:val="000000" w:themeColor="text1"/>
          <w:sz w:val="24"/>
          <w:szCs w:val="24"/>
        </w:rPr>
        <w:t xml:space="preserve"> projeç</w:t>
      </w:r>
      <w:r w:rsidR="005B1E7F" w:rsidRPr="00070FB6">
        <w:rPr>
          <w:rFonts w:eastAsia="Arial Unicode MS" w:cs="Calibri"/>
          <w:color w:val="000000" w:themeColor="text1"/>
          <w:sz w:val="24"/>
          <w:szCs w:val="24"/>
        </w:rPr>
        <w:t>ões</w:t>
      </w:r>
      <w:r w:rsidRPr="00070FB6">
        <w:rPr>
          <w:rFonts w:eastAsia="Arial Unicode MS" w:cs="Calibri"/>
          <w:color w:val="000000" w:themeColor="text1"/>
          <w:sz w:val="24"/>
          <w:szCs w:val="24"/>
        </w:rPr>
        <w:t xml:space="preserve"> das receitas, por CAU/UF, </w:t>
      </w:r>
      <w:r w:rsidR="00070FB6" w:rsidRPr="00070FB6">
        <w:rPr>
          <w:rFonts w:eastAsia="Arial Unicode MS" w:cs="Calibri"/>
          <w:color w:val="000000" w:themeColor="text1"/>
          <w:sz w:val="24"/>
          <w:szCs w:val="24"/>
        </w:rPr>
        <w:t xml:space="preserve">a serem consideradas no plano de ação encontram-se </w:t>
      </w:r>
      <w:r w:rsidR="00070FB6" w:rsidRPr="001A1563">
        <w:rPr>
          <w:rFonts w:eastAsia="Arial Unicode MS" w:cs="Calibri"/>
          <w:color w:val="000000" w:themeColor="text1"/>
          <w:sz w:val="24"/>
          <w:szCs w:val="24"/>
        </w:rPr>
        <w:t>no</w:t>
      </w:r>
      <w:r w:rsidRPr="001A1563">
        <w:rPr>
          <w:rFonts w:eastAsia="Arial Unicode MS" w:cs="Calibri"/>
          <w:color w:val="000000" w:themeColor="text1"/>
          <w:sz w:val="24"/>
          <w:szCs w:val="24"/>
        </w:rPr>
        <w:t xml:space="preserve"> Anexo </w:t>
      </w:r>
      <w:r w:rsidR="00527AF3" w:rsidRPr="001A1563">
        <w:rPr>
          <w:rFonts w:eastAsia="Arial Unicode MS" w:cs="Calibri"/>
          <w:color w:val="000000" w:themeColor="text1"/>
          <w:sz w:val="24"/>
          <w:szCs w:val="24"/>
        </w:rPr>
        <w:t>V</w:t>
      </w:r>
      <w:r w:rsidR="0091777C" w:rsidRPr="001A1563">
        <w:rPr>
          <w:rFonts w:eastAsia="Arial Unicode MS" w:cs="Calibri"/>
          <w:color w:val="000000" w:themeColor="text1"/>
          <w:sz w:val="24"/>
          <w:szCs w:val="24"/>
        </w:rPr>
        <w:t>.</w:t>
      </w:r>
    </w:p>
    <w:p w14:paraId="7DC85328" w14:textId="2CAAE928" w:rsidR="00527515" w:rsidRDefault="00F7453B" w:rsidP="00313450">
      <w:pPr>
        <w:pStyle w:val="Ttulo1"/>
        <w:ind w:left="0" w:firstLine="0"/>
        <w:jc w:val="both"/>
        <w:rPr>
          <w:rFonts w:eastAsia="Arial Unicode MS"/>
          <w:color w:val="612141"/>
        </w:rPr>
      </w:pPr>
      <w:bookmarkStart w:id="68" w:name="_Toc487558917"/>
      <w:bookmarkStart w:id="69" w:name="_Toc487559018"/>
      <w:bookmarkStart w:id="70" w:name="_Toc147404344"/>
      <w:r w:rsidRPr="00800B1B">
        <w:rPr>
          <w:rFonts w:eastAsia="Arial Unicode MS"/>
          <w:color w:val="612141"/>
        </w:rPr>
        <w:t xml:space="preserve">SISTEMÁTICA DE ELABORAÇÃO DO PLANO DE AÇÃO E DO ORÇAMENTO </w:t>
      </w:r>
      <w:bookmarkEnd w:id="68"/>
      <w:bookmarkEnd w:id="69"/>
      <w:r w:rsidR="00182EDB" w:rsidRPr="00800B1B">
        <w:rPr>
          <w:rFonts w:eastAsia="Arial Unicode MS"/>
          <w:color w:val="612141"/>
        </w:rPr>
        <w:t>20</w:t>
      </w:r>
      <w:r w:rsidR="004E28D9" w:rsidRPr="00800B1B">
        <w:rPr>
          <w:rFonts w:eastAsia="Arial Unicode MS"/>
          <w:color w:val="612141"/>
        </w:rPr>
        <w:t>2</w:t>
      </w:r>
      <w:r w:rsidR="004827F7">
        <w:rPr>
          <w:rFonts w:eastAsia="Arial Unicode MS"/>
          <w:color w:val="612141"/>
        </w:rPr>
        <w:t>4</w:t>
      </w:r>
      <w:bookmarkEnd w:id="70"/>
    </w:p>
    <w:p w14:paraId="2E0F6956" w14:textId="77777777" w:rsidR="00502B81" w:rsidRPr="00502B81" w:rsidRDefault="00502B81" w:rsidP="00502B81">
      <w:pPr>
        <w:rPr>
          <w:lang w:eastAsia="pt-BR"/>
        </w:rPr>
      </w:pPr>
    </w:p>
    <w:p w14:paraId="7DC85329" w14:textId="477AA52D" w:rsidR="000B3015" w:rsidRPr="00BE4E43" w:rsidRDefault="000B3015" w:rsidP="000B3015">
      <w:pPr>
        <w:spacing w:line="360" w:lineRule="auto"/>
        <w:ind w:firstLine="851"/>
        <w:jc w:val="both"/>
        <w:rPr>
          <w:rFonts w:eastAsia="Arial Unicode MS" w:cs="Calibri"/>
          <w:color w:val="000000" w:themeColor="text1"/>
          <w:sz w:val="24"/>
          <w:szCs w:val="24"/>
        </w:rPr>
      </w:pPr>
      <w:r w:rsidRPr="000B3015">
        <w:rPr>
          <w:rFonts w:eastAsia="Arial Unicode MS" w:cs="Calibri"/>
          <w:sz w:val="24"/>
          <w:szCs w:val="24"/>
        </w:rPr>
        <w:t>O CAU/BR e os CAU/UF elaborarão a proposta de seus Planos de Ação e Orçamento</w:t>
      </w:r>
      <w:r w:rsidR="00502B81">
        <w:rPr>
          <w:rFonts w:eastAsia="Arial Unicode MS" w:cs="Calibri"/>
          <w:sz w:val="24"/>
          <w:szCs w:val="24"/>
        </w:rPr>
        <w:t xml:space="preserve"> </w:t>
      </w:r>
      <w:r w:rsidRPr="00BE4E43">
        <w:rPr>
          <w:rFonts w:eastAsia="Arial Unicode MS" w:cs="Calibri"/>
          <w:color w:val="000000" w:themeColor="text1"/>
          <w:sz w:val="24"/>
          <w:szCs w:val="24"/>
        </w:rPr>
        <w:t>contendo as seguintes peças:</w:t>
      </w:r>
    </w:p>
    <w:p w14:paraId="7DC8532A" w14:textId="5F233C4B" w:rsidR="008E07E4" w:rsidRPr="00190F23" w:rsidRDefault="00BE4E43">
      <w:pPr>
        <w:pStyle w:val="PargrafodaLista"/>
        <w:numPr>
          <w:ilvl w:val="0"/>
          <w:numId w:val="9"/>
        </w:numPr>
        <w:spacing w:line="360" w:lineRule="auto"/>
        <w:ind w:left="1418" w:hanging="284"/>
        <w:jc w:val="both"/>
        <w:rPr>
          <w:rFonts w:eastAsia="Arial Unicode MS" w:cs="Calibri"/>
          <w:sz w:val="24"/>
          <w:szCs w:val="24"/>
        </w:rPr>
      </w:pPr>
      <w:r w:rsidRPr="00190F23">
        <w:rPr>
          <w:rFonts w:eastAsia="Arial Unicode MS" w:cs="Calibri"/>
          <w:color w:val="000000" w:themeColor="text1"/>
          <w:sz w:val="24"/>
          <w:szCs w:val="24"/>
        </w:rPr>
        <w:t>M</w:t>
      </w:r>
      <w:r w:rsidR="008E07E4" w:rsidRPr="00190F23">
        <w:rPr>
          <w:rFonts w:eastAsia="Arial Unicode MS" w:cs="Calibri"/>
          <w:color w:val="000000" w:themeColor="text1"/>
          <w:sz w:val="24"/>
          <w:szCs w:val="24"/>
        </w:rPr>
        <w:t xml:space="preserve">apa estratégico do CAU/UF com os objetivos estratégicos priorizados para a </w:t>
      </w:r>
      <w:r w:rsidR="008E07E4" w:rsidRPr="00190F23">
        <w:rPr>
          <w:rFonts w:eastAsia="Arial Unicode MS" w:cs="Calibri"/>
          <w:sz w:val="24"/>
          <w:szCs w:val="24"/>
        </w:rPr>
        <w:t>programação</w:t>
      </w:r>
      <w:r w:rsidR="00182EDB" w:rsidRPr="00190F23">
        <w:rPr>
          <w:rFonts w:eastAsia="Arial Unicode MS" w:cs="Calibri"/>
          <w:sz w:val="24"/>
          <w:szCs w:val="24"/>
        </w:rPr>
        <w:t xml:space="preserve"> 20</w:t>
      </w:r>
      <w:r w:rsidR="00C56A90" w:rsidRPr="00190F23">
        <w:rPr>
          <w:rFonts w:eastAsia="Arial Unicode MS" w:cs="Calibri"/>
          <w:sz w:val="24"/>
          <w:szCs w:val="24"/>
        </w:rPr>
        <w:t>2</w:t>
      </w:r>
      <w:r w:rsidR="00534660">
        <w:rPr>
          <w:rFonts w:eastAsia="Arial Unicode MS" w:cs="Calibri"/>
          <w:sz w:val="24"/>
          <w:szCs w:val="24"/>
        </w:rPr>
        <w:t>4</w:t>
      </w:r>
      <w:r w:rsidR="00705D7A" w:rsidRPr="00190F23">
        <w:rPr>
          <w:rFonts w:eastAsia="Arial Unicode MS" w:cs="Calibri"/>
          <w:sz w:val="24"/>
          <w:szCs w:val="24"/>
        </w:rPr>
        <w:t xml:space="preserve"> (os </w:t>
      </w:r>
      <w:r w:rsidR="00387598" w:rsidRPr="00190F23">
        <w:rPr>
          <w:rFonts w:eastAsia="Arial Unicode MS" w:cs="Calibri"/>
          <w:sz w:val="24"/>
          <w:szCs w:val="24"/>
        </w:rPr>
        <w:t xml:space="preserve">três </w:t>
      </w:r>
      <w:r w:rsidR="00145F2C" w:rsidRPr="00190F23">
        <w:rPr>
          <w:rFonts w:eastAsia="Arial Unicode MS" w:cs="Calibri"/>
          <w:sz w:val="24"/>
          <w:szCs w:val="24"/>
        </w:rPr>
        <w:t xml:space="preserve">nacionais </w:t>
      </w:r>
      <w:r w:rsidR="00502B81" w:rsidRPr="00190F23">
        <w:rPr>
          <w:rFonts w:eastAsia="Arial Unicode MS" w:cs="Calibri"/>
          <w:sz w:val="24"/>
          <w:szCs w:val="24"/>
        </w:rPr>
        <w:t xml:space="preserve">e </w:t>
      </w:r>
      <w:r w:rsidR="00502B81">
        <w:rPr>
          <w:rFonts w:eastAsia="Arial Unicode MS" w:cs="Calibri"/>
          <w:sz w:val="24"/>
          <w:szCs w:val="24"/>
        </w:rPr>
        <w:t xml:space="preserve">2 ou 3 </w:t>
      </w:r>
      <w:r w:rsidR="00F11A00" w:rsidRPr="00190F23">
        <w:rPr>
          <w:rFonts w:eastAsia="Arial Unicode MS" w:cs="Calibri"/>
          <w:sz w:val="24"/>
          <w:szCs w:val="24"/>
        </w:rPr>
        <w:t>locais</w:t>
      </w:r>
      <w:r w:rsidR="00502B81">
        <w:rPr>
          <w:rFonts w:eastAsia="Arial Unicode MS" w:cs="Calibri"/>
          <w:sz w:val="24"/>
          <w:szCs w:val="24"/>
        </w:rPr>
        <w:t xml:space="preserve"> </w:t>
      </w:r>
      <w:r w:rsidR="00145F2C" w:rsidRPr="00190F23">
        <w:rPr>
          <w:rFonts w:eastAsia="Arial Unicode MS" w:cs="Calibri"/>
          <w:sz w:val="24"/>
          <w:szCs w:val="24"/>
        </w:rPr>
        <w:t>definidos pelo CAU/UF)</w:t>
      </w:r>
      <w:r w:rsidR="00972CA3" w:rsidRPr="00190F23">
        <w:rPr>
          <w:rFonts w:eastAsia="Arial Unicode MS" w:cs="Calibri"/>
          <w:sz w:val="24"/>
          <w:szCs w:val="24"/>
        </w:rPr>
        <w:t>.</w:t>
      </w:r>
      <w:r w:rsidR="008F328A" w:rsidRPr="00190F23">
        <w:rPr>
          <w:rFonts w:eastAsia="Arial Unicode MS" w:cs="Calibri"/>
          <w:sz w:val="24"/>
          <w:szCs w:val="24"/>
        </w:rPr>
        <w:t xml:space="preserve"> </w:t>
      </w:r>
    </w:p>
    <w:p w14:paraId="7DC8532C" w14:textId="17C6280F" w:rsidR="008E07E4" w:rsidRPr="00190F23" w:rsidRDefault="00BE4E43">
      <w:pPr>
        <w:pStyle w:val="PargrafodaLista"/>
        <w:numPr>
          <w:ilvl w:val="0"/>
          <w:numId w:val="9"/>
        </w:numPr>
        <w:spacing w:line="360" w:lineRule="auto"/>
        <w:ind w:left="1418" w:hanging="284"/>
        <w:jc w:val="both"/>
        <w:rPr>
          <w:rFonts w:eastAsia="Arial Unicode MS" w:cs="Calibri"/>
          <w:i/>
          <w:iCs/>
          <w:sz w:val="24"/>
          <w:szCs w:val="24"/>
        </w:rPr>
      </w:pPr>
      <w:r w:rsidRPr="00190F23">
        <w:rPr>
          <w:rFonts w:eastAsia="Arial Unicode MS" w:cs="Calibri"/>
          <w:sz w:val="24"/>
          <w:szCs w:val="24"/>
        </w:rPr>
        <w:t>I</w:t>
      </w:r>
      <w:r w:rsidR="008E07E4" w:rsidRPr="00190F23">
        <w:rPr>
          <w:rFonts w:eastAsia="Arial Unicode MS" w:cs="Calibri"/>
          <w:sz w:val="24"/>
          <w:szCs w:val="24"/>
        </w:rPr>
        <w:t xml:space="preserve">ndicadores institucionais e de resultados dos objetivos estratégicos priorizados com indicação das metas para </w:t>
      </w:r>
      <w:r w:rsidR="00182EDB" w:rsidRPr="00190F23">
        <w:rPr>
          <w:rFonts w:eastAsia="Arial Unicode MS" w:cs="Calibri"/>
          <w:sz w:val="24"/>
          <w:szCs w:val="24"/>
        </w:rPr>
        <w:t>20</w:t>
      </w:r>
      <w:r w:rsidR="00C56A90" w:rsidRPr="00190F23">
        <w:rPr>
          <w:rFonts w:eastAsia="Arial Unicode MS" w:cs="Calibri"/>
          <w:sz w:val="24"/>
          <w:szCs w:val="24"/>
        </w:rPr>
        <w:t>2</w:t>
      </w:r>
      <w:r w:rsidR="00810031">
        <w:rPr>
          <w:rFonts w:eastAsia="Arial Unicode MS" w:cs="Calibri"/>
          <w:sz w:val="24"/>
          <w:szCs w:val="24"/>
        </w:rPr>
        <w:t>4</w:t>
      </w:r>
      <w:r w:rsidR="00972CA3" w:rsidRPr="00190F23">
        <w:rPr>
          <w:rFonts w:eastAsia="Arial Unicode MS" w:cs="Calibri"/>
          <w:sz w:val="24"/>
          <w:szCs w:val="24"/>
        </w:rPr>
        <w:t>.</w:t>
      </w:r>
      <w:r w:rsidR="008E07E4" w:rsidRPr="00190F23">
        <w:rPr>
          <w:rFonts w:eastAsia="Arial Unicode MS" w:cs="Calibri"/>
          <w:sz w:val="24"/>
          <w:szCs w:val="24"/>
        </w:rPr>
        <w:t xml:space="preserve"> </w:t>
      </w:r>
    </w:p>
    <w:p w14:paraId="7DC8532D" w14:textId="1DB4788C" w:rsidR="000B3015" w:rsidRPr="00190F23" w:rsidRDefault="00200C2E">
      <w:pPr>
        <w:pStyle w:val="PargrafodaLista"/>
        <w:numPr>
          <w:ilvl w:val="0"/>
          <w:numId w:val="9"/>
        </w:numPr>
        <w:spacing w:line="360" w:lineRule="auto"/>
        <w:ind w:left="1418" w:hanging="284"/>
        <w:jc w:val="both"/>
        <w:rPr>
          <w:rFonts w:eastAsia="Arial Unicode MS" w:cs="Calibri"/>
          <w:sz w:val="24"/>
          <w:szCs w:val="24"/>
        </w:rPr>
      </w:pPr>
      <w:r w:rsidRPr="00190F23">
        <w:rPr>
          <w:rFonts w:eastAsia="Arial Unicode MS" w:cs="Calibri"/>
          <w:sz w:val="24"/>
          <w:szCs w:val="24"/>
        </w:rPr>
        <w:t xml:space="preserve">Quadro Geral que representa o </w:t>
      </w:r>
      <w:r w:rsidR="00BE4E43" w:rsidRPr="00190F23">
        <w:rPr>
          <w:rFonts w:eastAsia="Arial Unicode MS" w:cs="Calibri"/>
          <w:sz w:val="24"/>
          <w:szCs w:val="24"/>
        </w:rPr>
        <w:t>P</w:t>
      </w:r>
      <w:r w:rsidR="000B3015" w:rsidRPr="00190F23">
        <w:rPr>
          <w:rFonts w:eastAsia="Arial Unicode MS" w:cs="Calibri"/>
          <w:sz w:val="24"/>
          <w:szCs w:val="24"/>
        </w:rPr>
        <w:t xml:space="preserve">lano de ação por </w:t>
      </w:r>
      <w:r w:rsidR="000E0E2D">
        <w:rPr>
          <w:rFonts w:eastAsia="Arial Unicode MS" w:cs="Calibri"/>
          <w:sz w:val="24"/>
          <w:szCs w:val="24"/>
        </w:rPr>
        <w:t>iniciativas</w:t>
      </w:r>
      <w:r w:rsidR="000B3015" w:rsidRPr="00190F23">
        <w:rPr>
          <w:rFonts w:eastAsia="Arial Unicode MS" w:cs="Calibri"/>
          <w:sz w:val="24"/>
          <w:szCs w:val="24"/>
        </w:rPr>
        <w:t xml:space="preserve"> na forma do </w:t>
      </w:r>
      <w:r w:rsidR="000B3015" w:rsidRPr="003352B7">
        <w:rPr>
          <w:rFonts w:eastAsia="Arial Unicode MS" w:cs="Calibri"/>
          <w:sz w:val="24"/>
          <w:szCs w:val="24"/>
        </w:rPr>
        <w:t xml:space="preserve">Anexo </w:t>
      </w:r>
      <w:r w:rsidR="00DD4AF1" w:rsidRPr="003352B7">
        <w:rPr>
          <w:rFonts w:eastAsia="Arial Unicode MS" w:cs="Calibri"/>
          <w:sz w:val="24"/>
          <w:szCs w:val="24"/>
        </w:rPr>
        <w:t>I</w:t>
      </w:r>
      <w:r w:rsidR="000B3015" w:rsidRPr="003352B7">
        <w:rPr>
          <w:rFonts w:eastAsia="Arial Unicode MS" w:cs="Calibri"/>
          <w:sz w:val="24"/>
          <w:szCs w:val="24"/>
        </w:rPr>
        <w:t>X</w:t>
      </w:r>
      <w:r w:rsidR="006F5585" w:rsidRPr="003352B7">
        <w:rPr>
          <w:rFonts w:eastAsia="Arial Unicode MS" w:cs="Calibri"/>
          <w:sz w:val="24"/>
          <w:szCs w:val="24"/>
        </w:rPr>
        <w:t>.</w:t>
      </w:r>
    </w:p>
    <w:p w14:paraId="0FFCB569" w14:textId="69F72AE3" w:rsidR="00200C2E" w:rsidRPr="00190F23" w:rsidRDefault="00200C2E">
      <w:pPr>
        <w:pStyle w:val="PargrafodaLista"/>
        <w:numPr>
          <w:ilvl w:val="0"/>
          <w:numId w:val="9"/>
        </w:numPr>
        <w:spacing w:line="360" w:lineRule="auto"/>
        <w:ind w:left="1418" w:hanging="284"/>
        <w:jc w:val="both"/>
        <w:rPr>
          <w:rFonts w:eastAsia="Arial Unicode MS" w:cs="Calibri"/>
          <w:color w:val="000000" w:themeColor="text1"/>
          <w:sz w:val="24"/>
          <w:szCs w:val="24"/>
        </w:rPr>
      </w:pPr>
      <w:r w:rsidRPr="00190F23">
        <w:rPr>
          <w:rFonts w:eastAsia="Arial Unicode MS" w:cs="Calibri"/>
          <w:sz w:val="24"/>
          <w:szCs w:val="24"/>
        </w:rPr>
        <w:t>Fontes e Aplicações (</w:t>
      </w:r>
      <w:r w:rsidRPr="00190F23">
        <w:rPr>
          <w:rFonts w:eastAsia="Arial Unicode MS" w:cs="Calibri"/>
          <w:color w:val="000000" w:themeColor="text1"/>
          <w:sz w:val="24"/>
          <w:szCs w:val="24"/>
        </w:rPr>
        <w:t>Cenários de receitas – valores e critérios de projeção. As receitas de arrecadação devem observar as metas contempladas nessas Diretrizes).</w:t>
      </w:r>
    </w:p>
    <w:p w14:paraId="7DC8532E" w14:textId="0007BF99" w:rsidR="00711924" w:rsidRDefault="00200C2E">
      <w:pPr>
        <w:pStyle w:val="PargrafodaLista"/>
        <w:numPr>
          <w:ilvl w:val="0"/>
          <w:numId w:val="9"/>
        </w:numPr>
        <w:spacing w:line="360" w:lineRule="auto"/>
        <w:ind w:left="1418" w:hanging="284"/>
        <w:jc w:val="both"/>
        <w:rPr>
          <w:rFonts w:eastAsia="Arial Unicode MS" w:cs="Calibri"/>
          <w:sz w:val="24"/>
          <w:szCs w:val="24"/>
        </w:rPr>
      </w:pPr>
      <w:r w:rsidRPr="00190F23">
        <w:rPr>
          <w:rFonts w:eastAsia="Arial Unicode MS" w:cs="Calibri"/>
          <w:sz w:val="24"/>
          <w:szCs w:val="24"/>
        </w:rPr>
        <w:t>L</w:t>
      </w:r>
      <w:r w:rsidR="00711924" w:rsidRPr="00190F23">
        <w:rPr>
          <w:rFonts w:eastAsia="Arial Unicode MS" w:cs="Calibri"/>
          <w:sz w:val="24"/>
          <w:szCs w:val="24"/>
        </w:rPr>
        <w:t xml:space="preserve">imites </w:t>
      </w:r>
      <w:r w:rsidR="006E5AD8" w:rsidRPr="00190F23">
        <w:rPr>
          <w:rFonts w:eastAsia="Arial Unicode MS" w:cs="Calibri"/>
          <w:sz w:val="24"/>
          <w:szCs w:val="24"/>
        </w:rPr>
        <w:t>de Aplicações dos Recursos Estratégicos.</w:t>
      </w:r>
    </w:p>
    <w:p w14:paraId="6FD8AD39" w14:textId="77777777" w:rsidR="00491FD5" w:rsidRDefault="00491FD5">
      <w:pPr>
        <w:pStyle w:val="PargrafodaLista"/>
        <w:numPr>
          <w:ilvl w:val="0"/>
          <w:numId w:val="9"/>
        </w:numPr>
        <w:spacing w:line="360" w:lineRule="auto"/>
        <w:ind w:left="1418" w:hanging="284"/>
        <w:jc w:val="both"/>
        <w:rPr>
          <w:rFonts w:eastAsia="Arial Unicode MS" w:cs="Calibri"/>
          <w:sz w:val="24"/>
          <w:szCs w:val="24"/>
        </w:rPr>
      </w:pPr>
      <w:r w:rsidRPr="00190F23">
        <w:rPr>
          <w:rFonts w:eastAsia="Arial Unicode MS" w:cs="Calibri"/>
          <w:sz w:val="24"/>
          <w:szCs w:val="24"/>
        </w:rPr>
        <w:t xml:space="preserve">Aplicações por </w:t>
      </w:r>
      <w:r>
        <w:rPr>
          <w:rFonts w:eastAsia="Arial Unicode MS" w:cs="Calibri"/>
          <w:sz w:val="24"/>
          <w:szCs w:val="24"/>
        </w:rPr>
        <w:t>iniciativas</w:t>
      </w:r>
      <w:r w:rsidRPr="00190F23">
        <w:rPr>
          <w:rFonts w:eastAsia="Arial Unicode MS" w:cs="Calibri"/>
          <w:sz w:val="24"/>
          <w:szCs w:val="24"/>
        </w:rPr>
        <w:t xml:space="preserve"> de Elemento de Despesas</w:t>
      </w:r>
      <w:r>
        <w:rPr>
          <w:rFonts w:eastAsia="Arial Unicode MS" w:cs="Calibri"/>
          <w:sz w:val="24"/>
          <w:szCs w:val="24"/>
        </w:rPr>
        <w:t>.</w:t>
      </w:r>
    </w:p>
    <w:p w14:paraId="444E12BE" w14:textId="18F7A744" w:rsidR="000E0E2D" w:rsidRPr="00190F23" w:rsidRDefault="000E0E2D">
      <w:pPr>
        <w:pStyle w:val="PargrafodaLista"/>
        <w:numPr>
          <w:ilvl w:val="0"/>
          <w:numId w:val="9"/>
        </w:numPr>
        <w:spacing w:line="360" w:lineRule="auto"/>
        <w:ind w:left="1418" w:hanging="284"/>
        <w:jc w:val="both"/>
        <w:rPr>
          <w:rFonts w:eastAsia="Arial Unicode MS" w:cs="Calibri"/>
          <w:sz w:val="24"/>
          <w:szCs w:val="24"/>
        </w:rPr>
      </w:pPr>
      <w:r>
        <w:rPr>
          <w:rFonts w:eastAsia="Arial Unicode MS" w:cs="Calibri"/>
          <w:sz w:val="24"/>
          <w:szCs w:val="24"/>
        </w:rPr>
        <w:t>Plano de trabalho dos Projetos Específicos/Estratégicos</w:t>
      </w:r>
      <w:r w:rsidR="00491FD5">
        <w:rPr>
          <w:rFonts w:eastAsia="Arial Unicode MS" w:cs="Calibri"/>
          <w:sz w:val="24"/>
          <w:szCs w:val="24"/>
        </w:rPr>
        <w:t>, modelo anexo.</w:t>
      </w:r>
    </w:p>
    <w:p w14:paraId="7DC85332" w14:textId="77777777" w:rsidR="000B3015" w:rsidRPr="00190F23" w:rsidRDefault="00705D7A">
      <w:pPr>
        <w:pStyle w:val="PargrafodaLista"/>
        <w:numPr>
          <w:ilvl w:val="0"/>
          <w:numId w:val="9"/>
        </w:numPr>
        <w:spacing w:line="360" w:lineRule="auto"/>
        <w:ind w:left="1418" w:hanging="284"/>
        <w:jc w:val="both"/>
        <w:rPr>
          <w:rFonts w:eastAsia="Arial Unicode MS" w:cs="Calibri"/>
          <w:color w:val="000000" w:themeColor="text1"/>
          <w:sz w:val="24"/>
          <w:szCs w:val="24"/>
        </w:rPr>
      </w:pPr>
      <w:r w:rsidRPr="00190F23">
        <w:rPr>
          <w:rFonts w:eastAsia="Arial Unicode MS" w:cs="Calibri"/>
          <w:color w:val="000000" w:themeColor="text1"/>
          <w:sz w:val="24"/>
          <w:szCs w:val="24"/>
        </w:rPr>
        <w:t>Aprovação pela</w:t>
      </w:r>
      <w:r w:rsidR="000B3015" w:rsidRPr="00190F23">
        <w:rPr>
          <w:rFonts w:eastAsia="Arial Unicode MS" w:cs="Calibri"/>
          <w:color w:val="000000" w:themeColor="text1"/>
          <w:sz w:val="24"/>
          <w:szCs w:val="24"/>
        </w:rPr>
        <w:t xml:space="preserve"> Comissão de Planejamento e Finanças do respectivo CAU/UF. </w:t>
      </w:r>
    </w:p>
    <w:p w14:paraId="7DC85333" w14:textId="6D6DBA3A" w:rsidR="00F7453B" w:rsidRDefault="00BE4E43">
      <w:pPr>
        <w:pStyle w:val="PargrafodaLista"/>
        <w:numPr>
          <w:ilvl w:val="0"/>
          <w:numId w:val="9"/>
        </w:numPr>
        <w:spacing w:line="360" w:lineRule="auto"/>
        <w:ind w:left="1418" w:hanging="284"/>
        <w:jc w:val="both"/>
        <w:rPr>
          <w:rFonts w:eastAsia="Arial Unicode MS" w:cs="Calibri"/>
          <w:color w:val="000000" w:themeColor="text1"/>
          <w:sz w:val="24"/>
          <w:szCs w:val="24"/>
        </w:rPr>
      </w:pPr>
      <w:r w:rsidRPr="00462A32">
        <w:rPr>
          <w:rFonts w:eastAsia="Arial Unicode MS" w:cs="Calibri"/>
          <w:color w:val="000000" w:themeColor="text1"/>
          <w:sz w:val="24"/>
          <w:szCs w:val="24"/>
        </w:rPr>
        <w:t>Aprovação da proposta da</w:t>
      </w:r>
      <w:r w:rsidR="000B3015" w:rsidRPr="00462A32">
        <w:rPr>
          <w:rFonts w:eastAsia="Arial Unicode MS" w:cs="Calibri"/>
          <w:color w:val="000000" w:themeColor="text1"/>
          <w:sz w:val="24"/>
          <w:szCs w:val="24"/>
        </w:rPr>
        <w:t xml:space="preserve"> </w:t>
      </w:r>
      <w:r w:rsidRPr="00462A32">
        <w:rPr>
          <w:rFonts w:eastAsia="Arial Unicode MS" w:cs="Calibri"/>
          <w:color w:val="000000" w:themeColor="text1"/>
          <w:sz w:val="24"/>
          <w:szCs w:val="24"/>
        </w:rPr>
        <w:t>P</w:t>
      </w:r>
      <w:r w:rsidR="000B3015" w:rsidRPr="00462A32">
        <w:rPr>
          <w:rFonts w:eastAsia="Arial Unicode MS" w:cs="Calibri"/>
          <w:color w:val="000000" w:themeColor="text1"/>
          <w:sz w:val="24"/>
          <w:szCs w:val="24"/>
        </w:rPr>
        <w:t xml:space="preserve">rogramação do Plano de Ação e Orçamento, pelo Plenário do </w:t>
      </w:r>
      <w:r w:rsidR="00247AB1" w:rsidRPr="00462A32">
        <w:rPr>
          <w:rFonts w:eastAsia="Arial Unicode MS" w:cs="Calibri"/>
          <w:color w:val="000000" w:themeColor="text1"/>
          <w:sz w:val="24"/>
          <w:szCs w:val="24"/>
        </w:rPr>
        <w:t xml:space="preserve">respectivo </w:t>
      </w:r>
      <w:r w:rsidR="009657A3">
        <w:rPr>
          <w:rFonts w:eastAsia="Arial Unicode MS" w:cs="Calibri"/>
          <w:color w:val="000000" w:themeColor="text1"/>
          <w:sz w:val="24"/>
          <w:szCs w:val="24"/>
        </w:rPr>
        <w:t>CAU/UF.</w:t>
      </w:r>
    </w:p>
    <w:p w14:paraId="6EB0B58F" w14:textId="5B59A639" w:rsidR="00491FD5" w:rsidRDefault="00491FD5" w:rsidP="00DA1038">
      <w:pPr>
        <w:spacing w:after="0" w:line="360" w:lineRule="auto"/>
        <w:jc w:val="both"/>
        <w:rPr>
          <w:rFonts w:eastAsia="Arial Unicode MS" w:cs="Calibri"/>
          <w:color w:val="741053"/>
          <w:sz w:val="24"/>
          <w:szCs w:val="24"/>
        </w:rPr>
      </w:pPr>
      <w:r>
        <w:rPr>
          <w:noProof/>
          <w:lang w:eastAsia="pt-BR"/>
        </w:rPr>
        <mc:AlternateContent>
          <mc:Choice Requires="wps">
            <w:drawing>
              <wp:anchor distT="0" distB="0" distL="114300" distR="114300" simplePos="0" relativeHeight="251714560" behindDoc="0" locked="0" layoutInCell="1" allowOverlap="1" wp14:anchorId="36D0AE1B" wp14:editId="7EB40611">
                <wp:simplePos x="0" y="0"/>
                <wp:positionH relativeFrom="margin">
                  <wp:posOffset>0</wp:posOffset>
                </wp:positionH>
                <wp:positionV relativeFrom="paragraph">
                  <wp:posOffset>281940</wp:posOffset>
                </wp:positionV>
                <wp:extent cx="5791200" cy="1653540"/>
                <wp:effectExtent l="209550" t="0" r="19050" b="194310"/>
                <wp:wrapTopAndBottom/>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653540"/>
                        </a:xfrm>
                        <a:prstGeom prst="rect">
                          <a:avLst/>
                        </a:prstGeom>
                        <a:solidFill>
                          <a:schemeClr val="accent2"/>
                        </a:solidFill>
                        <a:ln w="6350">
                          <a:solidFill>
                            <a:schemeClr val="bg1">
                              <a:lumMod val="100000"/>
                              <a:lumOff val="0"/>
                            </a:schemeClr>
                          </a:solidFill>
                          <a:miter lim="800000"/>
                          <a:headEnd/>
                          <a:tailEnd/>
                        </a:ln>
                        <a:effectLst>
                          <a:outerShdw dist="250190" dir="8459995" algn="ctr" rotWithShape="0">
                            <a:srgbClr val="000000">
                              <a:alpha val="28000"/>
                            </a:srgbClr>
                          </a:outerShdw>
                        </a:effectLst>
                      </wps:spPr>
                      <wps:txbx>
                        <w:txbxContent>
                          <w:p w14:paraId="44499CDD" w14:textId="77777777" w:rsidR="00DA0C5F" w:rsidRPr="00224711" w:rsidRDefault="00DA0C5F" w:rsidP="00491FD5">
                            <w:pPr>
                              <w:spacing w:line="360" w:lineRule="auto"/>
                              <w:jc w:val="center"/>
                              <w:rPr>
                                <w:rFonts w:eastAsia="Arial Unicode MS" w:cs="Calibri"/>
                                <w:bCs/>
                                <w:i/>
                                <w:color w:val="FFFFFF" w:themeColor="background1"/>
                                <w:sz w:val="10"/>
                                <w:szCs w:val="10"/>
                                <w:shd w:val="clear" w:color="auto" w:fill="ED7D31" w:themeFill="accent2"/>
                              </w:rPr>
                            </w:pPr>
                          </w:p>
                          <w:p w14:paraId="57139A75" w14:textId="77777777" w:rsidR="00DA0C5F" w:rsidRPr="00491FD5" w:rsidRDefault="00DA0C5F" w:rsidP="00491FD5">
                            <w:pPr>
                              <w:jc w:val="center"/>
                              <w:rPr>
                                <w:rFonts w:eastAsia="Arial Unicode MS" w:cs="Calibri"/>
                                <w:bCs/>
                                <w:i/>
                                <w:color w:val="FFFFFF" w:themeColor="background1"/>
                                <w:sz w:val="24"/>
                                <w:szCs w:val="24"/>
                                <w:shd w:val="clear" w:color="auto" w:fill="ED7D31" w:themeFill="accent2"/>
                              </w:rPr>
                            </w:pPr>
                            <w:r w:rsidRPr="00491FD5">
                              <w:rPr>
                                <w:rFonts w:eastAsia="Arial Unicode MS" w:cs="Calibri"/>
                                <w:bCs/>
                                <w:i/>
                                <w:color w:val="FFFFFF" w:themeColor="background1"/>
                                <w:sz w:val="24"/>
                                <w:szCs w:val="24"/>
                                <w:shd w:val="clear" w:color="auto" w:fill="ED7D31" w:themeFill="accent2"/>
                              </w:rPr>
                              <w:t xml:space="preserve">Resolução 200 - Art. 9, § 2º </w:t>
                            </w:r>
                            <w:r w:rsidRPr="00855F9D">
                              <w:rPr>
                                <w:rFonts w:eastAsia="Arial Unicode MS" w:cs="Calibri"/>
                                <w:b/>
                                <w:bCs/>
                                <w:i/>
                                <w:color w:val="FFFFFF" w:themeColor="background1"/>
                                <w:sz w:val="24"/>
                                <w:szCs w:val="24"/>
                                <w:shd w:val="clear" w:color="auto" w:fill="ED7D31" w:themeFill="accent2"/>
                              </w:rPr>
                              <w:t>A utilização de recursos do superávit financeiro deverá ser previamente aprovada pelas comissões de planejamento e finanças ou equivalentes e pelos plenários dos respectivos CAU/UF</w:t>
                            </w:r>
                            <w:r w:rsidRPr="00491FD5">
                              <w:rPr>
                                <w:rFonts w:eastAsia="Arial Unicode MS" w:cs="Calibri"/>
                                <w:bCs/>
                                <w:i/>
                                <w:color w:val="FFFFFF" w:themeColor="background1"/>
                                <w:sz w:val="24"/>
                                <w:szCs w:val="24"/>
                                <w:shd w:val="clear" w:color="auto" w:fill="ED7D31" w:themeFill="accent2"/>
                              </w:rPr>
                              <w:t>, sendo que na utilização em projetos específicos deverão ser observados critérios e percentuais de uso destes recursos, de responsabilidade de cada CAU/UF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0AE1B" id="_x0000_s1029" type="#_x0000_t202" style="position:absolute;left:0;text-align:left;margin-left:0;margin-top:22.2pt;width:456pt;height:130.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" fillcolor="#ed7d31 [3205]" strokecolor="white [3212]" strokeweight=".5pt">
                <v:shadow on="t" color="black" opacity="18350f" offset="-5.40094mm,4.37361mm"/>
                <v:textbox>
                  <w:txbxContent>
                    <w:p w14:paraId="44499CDD" w14:textId="77777777" w:rsidR="00DA0C5F" w:rsidRPr="00224711" w:rsidRDefault="00DA0C5F" w:rsidP="00491FD5">
                      <w:pPr>
                        <w:spacing w:line="360" w:lineRule="auto"/>
                        <w:jc w:val="center"/>
                        <w:rPr>
                          <w:rFonts w:eastAsia="Arial Unicode MS" w:cs="Calibri"/>
                          <w:bCs/>
                          <w:i/>
                          <w:color w:val="FFFFFF" w:themeColor="background1"/>
                          <w:sz w:val="10"/>
                          <w:szCs w:val="10"/>
                          <w:shd w:val="clear" w:color="auto" w:fill="ED7D31" w:themeFill="accent2"/>
                        </w:rPr>
                      </w:pPr>
                    </w:p>
                    <w:p w14:paraId="57139A75" w14:textId="77777777" w:rsidR="00DA0C5F" w:rsidRPr="00491FD5" w:rsidRDefault="00DA0C5F" w:rsidP="00491FD5">
                      <w:pPr>
                        <w:jc w:val="center"/>
                        <w:rPr>
                          <w:rFonts w:eastAsia="Arial Unicode MS" w:cs="Calibri"/>
                          <w:bCs/>
                          <w:i/>
                          <w:color w:val="FFFFFF" w:themeColor="background1"/>
                          <w:sz w:val="24"/>
                          <w:szCs w:val="24"/>
                          <w:shd w:val="clear" w:color="auto" w:fill="ED7D31" w:themeFill="accent2"/>
                        </w:rPr>
                      </w:pPr>
                      <w:r w:rsidRPr="00491FD5">
                        <w:rPr>
                          <w:rFonts w:eastAsia="Arial Unicode MS" w:cs="Calibri"/>
                          <w:bCs/>
                          <w:i/>
                          <w:color w:val="FFFFFF" w:themeColor="background1"/>
                          <w:sz w:val="24"/>
                          <w:szCs w:val="24"/>
                          <w:shd w:val="clear" w:color="auto" w:fill="ED7D31" w:themeFill="accent2"/>
                        </w:rPr>
                        <w:t xml:space="preserve">Resolução 200 - Art. 9, § 2º </w:t>
                      </w:r>
                      <w:r w:rsidRPr="00855F9D">
                        <w:rPr>
                          <w:rFonts w:eastAsia="Arial Unicode MS" w:cs="Calibri"/>
                          <w:b/>
                          <w:bCs/>
                          <w:i/>
                          <w:color w:val="FFFFFF" w:themeColor="background1"/>
                          <w:sz w:val="24"/>
                          <w:szCs w:val="24"/>
                          <w:shd w:val="clear" w:color="auto" w:fill="ED7D31" w:themeFill="accent2"/>
                        </w:rPr>
                        <w:t>A utilização de recursos do superávit financeiro deverá ser previamente aprovada pelas comissões de planejamento e finanças ou equivalentes e pelos plenários dos respectivos CAU/UF</w:t>
                      </w:r>
                      <w:r w:rsidRPr="00491FD5">
                        <w:rPr>
                          <w:rFonts w:eastAsia="Arial Unicode MS" w:cs="Calibri"/>
                          <w:bCs/>
                          <w:i/>
                          <w:color w:val="FFFFFF" w:themeColor="background1"/>
                          <w:sz w:val="24"/>
                          <w:szCs w:val="24"/>
                          <w:shd w:val="clear" w:color="auto" w:fill="ED7D31" w:themeFill="accent2"/>
                        </w:rPr>
                        <w:t>, sendo que na utilização em projetos específicos deverão ser observados critérios e percentuais de uso destes recursos, de responsabilidade de cada CAU/UF</w:t>
                      </w:r>
                    </w:p>
                  </w:txbxContent>
                </v:textbox>
                <w10:wrap type="topAndBottom" anchorx="margin"/>
              </v:shape>
            </w:pict>
          </mc:Fallback>
        </mc:AlternateContent>
      </w:r>
    </w:p>
    <w:p w14:paraId="7CA97884" w14:textId="0C814DA7" w:rsidR="00491FD5" w:rsidRDefault="00491FD5" w:rsidP="00DA1038">
      <w:pPr>
        <w:spacing w:after="0" w:line="360" w:lineRule="auto"/>
        <w:jc w:val="both"/>
        <w:rPr>
          <w:rFonts w:eastAsia="Arial Unicode MS" w:cs="Calibri"/>
          <w:color w:val="741053"/>
          <w:sz w:val="24"/>
          <w:szCs w:val="24"/>
        </w:rPr>
      </w:pPr>
    </w:p>
    <w:p w14:paraId="578CB025" w14:textId="4B4E6949" w:rsidR="00491FD5" w:rsidRDefault="00491FD5" w:rsidP="00DA1038">
      <w:pPr>
        <w:spacing w:after="0" w:line="360" w:lineRule="auto"/>
        <w:jc w:val="both"/>
        <w:rPr>
          <w:rFonts w:eastAsia="Arial Unicode MS" w:cs="Calibri"/>
          <w:color w:val="741053"/>
          <w:sz w:val="24"/>
          <w:szCs w:val="24"/>
        </w:rPr>
      </w:pPr>
    </w:p>
    <w:p w14:paraId="7DC85335" w14:textId="77777777" w:rsidR="003D4302" w:rsidRPr="00800B1B" w:rsidRDefault="009866FA">
      <w:pPr>
        <w:pStyle w:val="Ttulo2"/>
        <w:numPr>
          <w:ilvl w:val="1"/>
          <w:numId w:val="12"/>
        </w:numPr>
        <w:ind w:left="851" w:firstLine="0"/>
        <w:rPr>
          <w:rFonts w:eastAsia="Arial Unicode MS"/>
          <w:color w:val="612141"/>
        </w:rPr>
      </w:pPr>
      <w:r w:rsidRPr="00800B1B">
        <w:rPr>
          <w:rFonts w:eastAsia="Arial Unicode MS"/>
          <w:color w:val="612141"/>
        </w:rPr>
        <w:t xml:space="preserve"> </w:t>
      </w:r>
      <w:bookmarkStart w:id="71" w:name="_Toc147404345"/>
      <w:r w:rsidR="003D4302" w:rsidRPr="00800B1B">
        <w:rPr>
          <w:rFonts w:eastAsia="Arial Unicode MS"/>
          <w:color w:val="612141"/>
        </w:rPr>
        <w:t>Da Disponibilização e da Aprovação</w:t>
      </w:r>
      <w:bookmarkEnd w:id="71"/>
    </w:p>
    <w:p w14:paraId="7DC85336" w14:textId="7E3882B1" w:rsidR="00244216" w:rsidRDefault="00244216" w:rsidP="00244216">
      <w:pPr>
        <w:spacing w:line="360" w:lineRule="auto"/>
        <w:ind w:firstLine="851"/>
        <w:jc w:val="both"/>
        <w:rPr>
          <w:rFonts w:eastAsia="Arial Unicode MS" w:cs="Calibri"/>
          <w:sz w:val="24"/>
          <w:szCs w:val="24"/>
        </w:rPr>
      </w:pPr>
      <w:r w:rsidRPr="00EA71B5">
        <w:rPr>
          <w:rFonts w:eastAsia="Arial Unicode MS" w:cs="Calibri"/>
          <w:sz w:val="24"/>
          <w:szCs w:val="24"/>
        </w:rPr>
        <w:t xml:space="preserve">A Programação do Plano de Ação e Orçamento e os critérios utilizados para embasar a estimativa das receitas próprias (aplicações financeiras e outras receitas), deverão ser formalmente remetidos ao CAU/BR, para o endereço eletrônico </w:t>
      </w:r>
      <w:hyperlink r:id="rId25" w:history="1">
        <w:r w:rsidRPr="0037629D">
          <w:rPr>
            <w:rStyle w:val="Hyperlink"/>
            <w:rFonts w:eastAsia="Arial Unicode MS" w:cs="Calibri"/>
            <w:sz w:val="24"/>
            <w:szCs w:val="24"/>
          </w:rPr>
          <w:t>planejamento@caubr.gov.br</w:t>
        </w:r>
      </w:hyperlink>
      <w:r w:rsidRPr="0037629D">
        <w:rPr>
          <w:rFonts w:eastAsia="Arial Unicode MS" w:cs="Calibri"/>
          <w:sz w:val="24"/>
          <w:szCs w:val="24"/>
        </w:rPr>
        <w:t xml:space="preserve">, </w:t>
      </w:r>
      <w:r w:rsidRPr="00190F23">
        <w:rPr>
          <w:rFonts w:eastAsia="Arial Unicode MS" w:cs="Calibri"/>
          <w:b/>
          <w:sz w:val="24"/>
          <w:szCs w:val="24"/>
          <w:shd w:val="clear" w:color="auto" w:fill="FFFFFF" w:themeFill="background1"/>
        </w:rPr>
        <w:t xml:space="preserve">até </w:t>
      </w:r>
      <w:r w:rsidR="00381626">
        <w:rPr>
          <w:rFonts w:eastAsia="Arial Unicode MS" w:cs="Calibri"/>
          <w:b/>
          <w:sz w:val="24"/>
          <w:szCs w:val="24"/>
          <w:shd w:val="clear" w:color="auto" w:fill="FFFFFF" w:themeFill="background1"/>
        </w:rPr>
        <w:t>2</w:t>
      </w:r>
      <w:r w:rsidR="00EE2149">
        <w:rPr>
          <w:rFonts w:eastAsia="Arial Unicode MS" w:cs="Calibri"/>
          <w:b/>
          <w:sz w:val="24"/>
          <w:szCs w:val="24"/>
          <w:shd w:val="clear" w:color="auto" w:fill="FFFFFF" w:themeFill="background1"/>
        </w:rPr>
        <w:t>7</w:t>
      </w:r>
      <w:r w:rsidRPr="00190F23">
        <w:rPr>
          <w:rFonts w:eastAsia="Arial Unicode MS" w:cs="Calibri"/>
          <w:b/>
          <w:sz w:val="24"/>
          <w:szCs w:val="24"/>
          <w:shd w:val="clear" w:color="auto" w:fill="FFFFFF" w:themeFill="background1"/>
        </w:rPr>
        <w:t xml:space="preserve"> de </w:t>
      </w:r>
      <w:r w:rsidR="00381626">
        <w:rPr>
          <w:rFonts w:eastAsia="Arial Unicode MS" w:cs="Calibri"/>
          <w:b/>
          <w:sz w:val="24"/>
          <w:szCs w:val="24"/>
          <w:shd w:val="clear" w:color="auto" w:fill="FFFFFF" w:themeFill="background1"/>
        </w:rPr>
        <w:t>outu</w:t>
      </w:r>
      <w:r w:rsidRPr="00190F23">
        <w:rPr>
          <w:rFonts w:eastAsia="Arial Unicode MS" w:cs="Calibri"/>
          <w:b/>
          <w:sz w:val="24"/>
          <w:szCs w:val="24"/>
          <w:shd w:val="clear" w:color="auto" w:fill="FFFFFF" w:themeFill="background1"/>
        </w:rPr>
        <w:t>bro/</w:t>
      </w:r>
      <w:r w:rsidR="008D1BE7" w:rsidRPr="00190F23">
        <w:rPr>
          <w:rFonts w:eastAsia="Arial Unicode MS" w:cs="Calibri"/>
          <w:b/>
          <w:sz w:val="24"/>
          <w:szCs w:val="24"/>
          <w:shd w:val="clear" w:color="auto" w:fill="FFFFFF" w:themeFill="background1"/>
        </w:rPr>
        <w:t>20</w:t>
      </w:r>
      <w:r w:rsidR="009066EA" w:rsidRPr="00190F23">
        <w:rPr>
          <w:rFonts w:eastAsia="Arial Unicode MS" w:cs="Calibri"/>
          <w:b/>
          <w:sz w:val="24"/>
          <w:szCs w:val="24"/>
          <w:shd w:val="clear" w:color="auto" w:fill="FFFFFF" w:themeFill="background1"/>
        </w:rPr>
        <w:t>2</w:t>
      </w:r>
      <w:r w:rsidR="00B71F81">
        <w:rPr>
          <w:rFonts w:eastAsia="Arial Unicode MS" w:cs="Calibri"/>
          <w:b/>
          <w:sz w:val="24"/>
          <w:szCs w:val="24"/>
          <w:shd w:val="clear" w:color="auto" w:fill="FFFFFF" w:themeFill="background1"/>
        </w:rPr>
        <w:t>3</w:t>
      </w:r>
      <w:r w:rsidR="00534706" w:rsidRPr="00190F23">
        <w:rPr>
          <w:rFonts w:eastAsia="Arial Unicode MS" w:cs="Calibri"/>
          <w:sz w:val="24"/>
          <w:szCs w:val="24"/>
          <w:shd w:val="clear" w:color="auto" w:fill="FFFFFF" w:themeFill="background1"/>
        </w:rPr>
        <w:t>,</w:t>
      </w:r>
      <w:r w:rsidR="00534706" w:rsidRPr="00190F23">
        <w:rPr>
          <w:rFonts w:eastAsia="Arial Unicode MS" w:cs="Calibri"/>
          <w:sz w:val="24"/>
          <w:szCs w:val="24"/>
        </w:rPr>
        <w:t xml:space="preserve"> com as delibe</w:t>
      </w:r>
      <w:r w:rsidR="00A042FC" w:rsidRPr="00190F23">
        <w:rPr>
          <w:rFonts w:eastAsia="Arial Unicode MS" w:cs="Calibri"/>
          <w:sz w:val="24"/>
          <w:szCs w:val="24"/>
        </w:rPr>
        <w:t>rações de aprovação da proposta</w:t>
      </w:r>
      <w:r w:rsidR="00901446" w:rsidRPr="00190F23">
        <w:rPr>
          <w:rFonts w:eastAsia="Arial Unicode MS" w:cs="Calibri"/>
          <w:sz w:val="24"/>
          <w:szCs w:val="24"/>
        </w:rPr>
        <w:t xml:space="preserve"> </w:t>
      </w:r>
      <w:r w:rsidR="00901446" w:rsidRPr="00190F23">
        <w:rPr>
          <w:rFonts w:eastAsia="Arial Unicode MS" w:cs="Calibri"/>
          <w:b/>
          <w:sz w:val="24"/>
          <w:szCs w:val="24"/>
          <w:shd w:val="clear" w:color="auto" w:fill="FFFFFF" w:themeFill="background1"/>
        </w:rPr>
        <w:t xml:space="preserve">até </w:t>
      </w:r>
      <w:r w:rsidR="00F72D30" w:rsidRPr="00190F23">
        <w:rPr>
          <w:rFonts w:eastAsia="Arial Unicode MS" w:cs="Calibri"/>
          <w:b/>
          <w:sz w:val="24"/>
          <w:szCs w:val="24"/>
          <w:shd w:val="clear" w:color="auto" w:fill="FFFFFF" w:themeFill="background1"/>
        </w:rPr>
        <w:t>2</w:t>
      </w:r>
      <w:r w:rsidR="00964495" w:rsidRPr="00190F23">
        <w:rPr>
          <w:rFonts w:eastAsia="Arial Unicode MS" w:cs="Calibri"/>
          <w:b/>
          <w:sz w:val="24"/>
          <w:szCs w:val="24"/>
          <w:shd w:val="clear" w:color="auto" w:fill="FFFFFF" w:themeFill="background1"/>
        </w:rPr>
        <w:t>4</w:t>
      </w:r>
      <w:r w:rsidR="00901446" w:rsidRPr="00190F23">
        <w:rPr>
          <w:rFonts w:eastAsia="Arial Unicode MS" w:cs="Calibri"/>
          <w:b/>
          <w:sz w:val="24"/>
          <w:szCs w:val="24"/>
          <w:shd w:val="clear" w:color="auto" w:fill="FFFFFF" w:themeFill="background1"/>
        </w:rPr>
        <w:t xml:space="preserve"> de novembro/20</w:t>
      </w:r>
      <w:r w:rsidR="009066EA" w:rsidRPr="00190F23">
        <w:rPr>
          <w:rFonts w:eastAsia="Arial Unicode MS" w:cs="Calibri"/>
          <w:b/>
          <w:sz w:val="24"/>
          <w:szCs w:val="24"/>
          <w:shd w:val="clear" w:color="auto" w:fill="FFFFFF" w:themeFill="background1"/>
        </w:rPr>
        <w:t>2</w:t>
      </w:r>
      <w:r w:rsidR="00B71F81">
        <w:rPr>
          <w:rFonts w:eastAsia="Arial Unicode MS" w:cs="Calibri"/>
          <w:b/>
          <w:sz w:val="24"/>
          <w:szCs w:val="24"/>
          <w:shd w:val="clear" w:color="auto" w:fill="FFFFFF" w:themeFill="background1"/>
        </w:rPr>
        <w:t>3</w:t>
      </w:r>
      <w:r w:rsidR="00A042FC" w:rsidRPr="00190F23">
        <w:rPr>
          <w:rFonts w:eastAsia="Arial Unicode MS" w:cs="Calibri"/>
          <w:sz w:val="24"/>
          <w:szCs w:val="24"/>
          <w:shd w:val="clear" w:color="auto" w:fill="FFFFFF" w:themeFill="background1"/>
        </w:rPr>
        <w:t>.</w:t>
      </w:r>
    </w:p>
    <w:p w14:paraId="7DC85338" w14:textId="5463BB50" w:rsidR="001249FE" w:rsidRDefault="001249FE" w:rsidP="00DA1038">
      <w:pPr>
        <w:spacing w:after="0" w:line="360" w:lineRule="auto"/>
        <w:ind w:firstLine="851"/>
        <w:jc w:val="both"/>
        <w:rPr>
          <w:rFonts w:eastAsia="Arial Unicode MS" w:cs="Calibri"/>
          <w:sz w:val="24"/>
          <w:szCs w:val="24"/>
        </w:rPr>
      </w:pPr>
    </w:p>
    <w:p w14:paraId="1115DA83" w14:textId="77777777" w:rsidR="0013060D" w:rsidRDefault="0013060D" w:rsidP="00DA1038">
      <w:pPr>
        <w:spacing w:after="0" w:line="360" w:lineRule="auto"/>
        <w:ind w:firstLine="851"/>
        <w:jc w:val="both"/>
        <w:rPr>
          <w:rFonts w:eastAsia="Arial Unicode MS" w:cs="Calibri"/>
          <w:sz w:val="24"/>
          <w:szCs w:val="24"/>
        </w:rPr>
      </w:pPr>
    </w:p>
    <w:p w14:paraId="7DC85339" w14:textId="240045E9" w:rsidR="00244216" w:rsidRPr="00800B1B" w:rsidRDefault="00244216" w:rsidP="00244216">
      <w:pPr>
        <w:pStyle w:val="Ttulo2"/>
        <w:ind w:left="851" w:firstLine="0"/>
        <w:rPr>
          <w:rFonts w:eastAsia="Arial Unicode MS"/>
          <w:color w:val="612141"/>
        </w:rPr>
      </w:pPr>
      <w:r w:rsidRPr="00800B1B">
        <w:rPr>
          <w:rFonts w:eastAsia="Arial Unicode MS"/>
          <w:color w:val="612141"/>
        </w:rPr>
        <w:t xml:space="preserve"> </w:t>
      </w:r>
      <w:bookmarkStart w:id="72" w:name="_Toc487558919"/>
      <w:bookmarkStart w:id="73" w:name="_Toc487559020"/>
      <w:bookmarkStart w:id="74" w:name="_Toc147404346"/>
      <w:r w:rsidRPr="00800B1B">
        <w:rPr>
          <w:rFonts w:eastAsia="Arial Unicode MS"/>
          <w:color w:val="612141"/>
        </w:rPr>
        <w:t>Da Consolidação do Plano de Ação e Orçamento</w:t>
      </w:r>
      <w:bookmarkEnd w:id="72"/>
      <w:bookmarkEnd w:id="73"/>
      <w:r w:rsidRPr="00800B1B">
        <w:rPr>
          <w:rFonts w:eastAsia="Arial Unicode MS"/>
          <w:color w:val="612141"/>
        </w:rPr>
        <w:t xml:space="preserve"> 202</w:t>
      </w:r>
      <w:r w:rsidR="00B71F81">
        <w:rPr>
          <w:rFonts w:eastAsia="Arial Unicode MS"/>
          <w:color w:val="612141"/>
        </w:rPr>
        <w:t>4</w:t>
      </w:r>
      <w:bookmarkEnd w:id="74"/>
    </w:p>
    <w:p w14:paraId="7DC8533A" w14:textId="0FF304F5" w:rsidR="00244216" w:rsidRPr="00901446" w:rsidRDefault="00244216" w:rsidP="00244216">
      <w:pPr>
        <w:spacing w:line="360" w:lineRule="auto"/>
        <w:ind w:firstLine="851"/>
        <w:jc w:val="both"/>
        <w:rPr>
          <w:rFonts w:eastAsia="Arial Unicode MS" w:cs="Calibri"/>
          <w:sz w:val="24"/>
          <w:szCs w:val="24"/>
        </w:rPr>
      </w:pPr>
      <w:r w:rsidRPr="00901446">
        <w:rPr>
          <w:rFonts w:eastAsia="Arial Unicode MS" w:cs="Calibri"/>
          <w:sz w:val="24"/>
          <w:szCs w:val="24"/>
        </w:rPr>
        <w:t xml:space="preserve">O CAU/BR elaborará a Programação do Plano de Ação e Orçamento do CAU considerando as propostas de cada CAU/UF e as do CAU/BR, apreciadas pela Comissão de Planejamento e Finanças, submetendo à aprovação do seu Plenário, na reunião ordinária, de </w:t>
      </w:r>
      <w:r w:rsidRPr="00610ED3">
        <w:rPr>
          <w:rFonts w:eastAsia="Arial Unicode MS" w:cs="Calibri"/>
          <w:b/>
          <w:sz w:val="24"/>
          <w:szCs w:val="24"/>
          <w:shd w:val="clear" w:color="auto" w:fill="FFFFFF" w:themeFill="background1"/>
        </w:rPr>
        <w:t>1</w:t>
      </w:r>
      <w:r w:rsidR="00103BE5">
        <w:rPr>
          <w:rFonts w:eastAsia="Arial Unicode MS" w:cs="Calibri"/>
          <w:b/>
          <w:sz w:val="24"/>
          <w:szCs w:val="24"/>
          <w:shd w:val="clear" w:color="auto" w:fill="FFFFFF" w:themeFill="background1"/>
        </w:rPr>
        <w:t>3</w:t>
      </w:r>
      <w:r w:rsidRPr="00610ED3">
        <w:rPr>
          <w:rFonts w:eastAsia="Arial Unicode MS" w:cs="Calibri"/>
          <w:b/>
          <w:sz w:val="24"/>
          <w:szCs w:val="24"/>
          <w:shd w:val="clear" w:color="auto" w:fill="FFFFFF" w:themeFill="background1"/>
        </w:rPr>
        <w:t xml:space="preserve"> de dezembro/</w:t>
      </w:r>
      <w:r w:rsidR="00C962DD" w:rsidRPr="00610ED3">
        <w:rPr>
          <w:rFonts w:eastAsia="Arial Unicode MS" w:cs="Calibri"/>
          <w:b/>
          <w:sz w:val="24"/>
          <w:szCs w:val="24"/>
          <w:shd w:val="clear" w:color="auto" w:fill="FFFFFF" w:themeFill="background1"/>
        </w:rPr>
        <w:t>20</w:t>
      </w:r>
      <w:r w:rsidR="009066EA" w:rsidRPr="00610ED3">
        <w:rPr>
          <w:rFonts w:eastAsia="Arial Unicode MS" w:cs="Calibri"/>
          <w:b/>
          <w:sz w:val="24"/>
          <w:szCs w:val="24"/>
          <w:shd w:val="clear" w:color="auto" w:fill="FFFFFF" w:themeFill="background1"/>
        </w:rPr>
        <w:t>2</w:t>
      </w:r>
      <w:r w:rsidR="00B71F81">
        <w:rPr>
          <w:rFonts w:eastAsia="Arial Unicode MS" w:cs="Calibri"/>
          <w:b/>
          <w:sz w:val="24"/>
          <w:szCs w:val="24"/>
          <w:shd w:val="clear" w:color="auto" w:fill="FFFFFF" w:themeFill="background1"/>
        </w:rPr>
        <w:t>3</w:t>
      </w:r>
      <w:r w:rsidRPr="00610ED3">
        <w:rPr>
          <w:rFonts w:eastAsia="Arial Unicode MS" w:cs="Calibri"/>
          <w:sz w:val="24"/>
          <w:szCs w:val="24"/>
          <w:shd w:val="clear" w:color="auto" w:fill="FFFFFF" w:themeFill="background1"/>
        </w:rPr>
        <w:t>.</w:t>
      </w:r>
      <w:r w:rsidRPr="00901446">
        <w:rPr>
          <w:rFonts w:eastAsia="Arial Unicode MS" w:cs="Calibri"/>
          <w:sz w:val="24"/>
          <w:szCs w:val="24"/>
        </w:rPr>
        <w:t xml:space="preserve"> </w:t>
      </w:r>
    </w:p>
    <w:p w14:paraId="7DC8533B" w14:textId="4BDABFCF" w:rsidR="001E62AA" w:rsidRPr="00610ED3" w:rsidRDefault="00244216" w:rsidP="00610ED3">
      <w:pPr>
        <w:shd w:val="clear" w:color="auto" w:fill="FFFFFF" w:themeFill="background1"/>
        <w:spacing w:line="360" w:lineRule="auto"/>
        <w:ind w:firstLine="851"/>
        <w:jc w:val="both"/>
        <w:rPr>
          <w:rFonts w:eastAsia="Arial Unicode MS" w:cs="Calibri"/>
          <w:b/>
          <w:sz w:val="24"/>
          <w:szCs w:val="24"/>
          <w:shd w:val="clear" w:color="auto" w:fill="FFFFFF" w:themeFill="background1"/>
        </w:rPr>
      </w:pPr>
      <w:r w:rsidRPr="00901446">
        <w:rPr>
          <w:rFonts w:eastAsia="Arial Unicode MS" w:cs="Calibri"/>
          <w:sz w:val="24"/>
          <w:szCs w:val="24"/>
        </w:rPr>
        <w:t xml:space="preserve">Após a aprovação, o CAU/BR comunicará aos respectivos CAU/UF e fará a publicação no Diário Oficial da União da programação orçamentária aprovada, </w:t>
      </w:r>
      <w:r w:rsidRPr="00610ED3">
        <w:rPr>
          <w:rFonts w:eastAsia="Arial Unicode MS" w:cs="Calibri"/>
          <w:b/>
          <w:sz w:val="24"/>
          <w:szCs w:val="24"/>
          <w:shd w:val="clear" w:color="auto" w:fill="FFFFFF" w:themeFill="background1"/>
        </w:rPr>
        <w:t xml:space="preserve">até </w:t>
      </w:r>
      <w:r w:rsidR="00B71F81">
        <w:rPr>
          <w:rFonts w:eastAsia="Arial Unicode MS" w:cs="Calibri"/>
          <w:b/>
          <w:sz w:val="24"/>
          <w:szCs w:val="24"/>
          <w:shd w:val="clear" w:color="auto" w:fill="FFFFFF" w:themeFill="background1"/>
        </w:rPr>
        <w:t>29</w:t>
      </w:r>
      <w:r w:rsidRPr="00610ED3">
        <w:rPr>
          <w:rFonts w:eastAsia="Arial Unicode MS" w:cs="Calibri"/>
          <w:b/>
          <w:sz w:val="24"/>
          <w:szCs w:val="24"/>
          <w:shd w:val="clear" w:color="auto" w:fill="FFFFFF" w:themeFill="background1"/>
        </w:rPr>
        <w:t xml:space="preserve"> de dezembro/</w:t>
      </w:r>
      <w:r w:rsidR="004F66B4" w:rsidRPr="00610ED3">
        <w:rPr>
          <w:rFonts w:eastAsia="Arial Unicode MS" w:cs="Calibri"/>
          <w:b/>
          <w:sz w:val="24"/>
          <w:szCs w:val="24"/>
          <w:shd w:val="clear" w:color="auto" w:fill="FFFFFF" w:themeFill="background1"/>
        </w:rPr>
        <w:t>20</w:t>
      </w:r>
      <w:r w:rsidR="009066EA" w:rsidRPr="00610ED3">
        <w:rPr>
          <w:rFonts w:eastAsia="Arial Unicode MS" w:cs="Calibri"/>
          <w:b/>
          <w:sz w:val="24"/>
          <w:szCs w:val="24"/>
          <w:shd w:val="clear" w:color="auto" w:fill="FFFFFF" w:themeFill="background1"/>
        </w:rPr>
        <w:t>2</w:t>
      </w:r>
      <w:r w:rsidR="00B71F81">
        <w:rPr>
          <w:rFonts w:eastAsia="Arial Unicode MS" w:cs="Calibri"/>
          <w:b/>
          <w:sz w:val="24"/>
          <w:szCs w:val="24"/>
          <w:shd w:val="clear" w:color="auto" w:fill="FFFFFF" w:themeFill="background1"/>
        </w:rPr>
        <w:t>3</w:t>
      </w:r>
      <w:r w:rsidRPr="00610ED3">
        <w:rPr>
          <w:rFonts w:eastAsia="Arial Unicode MS" w:cs="Calibri"/>
          <w:b/>
          <w:sz w:val="24"/>
          <w:szCs w:val="24"/>
          <w:shd w:val="clear" w:color="auto" w:fill="FFFFFF" w:themeFill="background1"/>
        </w:rPr>
        <w:t>.</w:t>
      </w:r>
    </w:p>
    <w:p w14:paraId="5F09193E" w14:textId="77777777" w:rsidR="001E62AA" w:rsidRDefault="001E62AA">
      <w:pPr>
        <w:rPr>
          <w:rFonts w:eastAsia="Arial Unicode MS" w:cs="Calibri"/>
          <w:sz w:val="24"/>
          <w:szCs w:val="24"/>
        </w:rPr>
      </w:pPr>
      <w:r>
        <w:rPr>
          <w:rFonts w:eastAsia="Arial Unicode MS" w:cs="Calibri"/>
          <w:sz w:val="24"/>
          <w:szCs w:val="24"/>
        </w:rPr>
        <w:br w:type="page"/>
      </w:r>
    </w:p>
    <w:p w14:paraId="7DC8533E" w14:textId="5F95A388" w:rsidR="00911843" w:rsidRPr="00800B1B" w:rsidRDefault="00911843" w:rsidP="00D33665">
      <w:pPr>
        <w:pStyle w:val="Ttulo1"/>
        <w:shd w:val="clear" w:color="auto" w:fill="FFFFFF" w:themeFill="background1"/>
        <w:ind w:left="0" w:right="-427" w:firstLine="0"/>
        <w:jc w:val="both"/>
        <w:rPr>
          <w:rFonts w:eastAsia="Arial Unicode MS"/>
          <w:color w:val="612141"/>
        </w:rPr>
      </w:pPr>
      <w:bookmarkStart w:id="75" w:name="_Toc147404347"/>
      <w:r w:rsidRPr="00800B1B">
        <w:rPr>
          <w:rFonts w:eastAsia="Arial Unicode MS"/>
          <w:color w:val="612141"/>
        </w:rPr>
        <w:t>CALENDÁRIO DA PROGRAMAÇÃO DO PLANO DE AÇÃO E ORÇAMENTO DO CAU – EXERCÍCIO 202</w:t>
      </w:r>
      <w:r w:rsidR="00B71F81">
        <w:rPr>
          <w:rFonts w:eastAsia="Arial Unicode MS"/>
          <w:color w:val="612141"/>
        </w:rPr>
        <w:t>4</w:t>
      </w:r>
      <w:bookmarkEnd w:id="75"/>
    </w:p>
    <w:tbl>
      <w:tblPr>
        <w:tblStyle w:val="Tabelacomgrade"/>
        <w:tblpPr w:leftFromText="141" w:rightFromText="141" w:vertAnchor="text" w:horzAnchor="margin" w:tblpY="54"/>
        <w:tblW w:w="9493" w:type="dxa"/>
        <w:tblLook w:val="04A0" w:firstRow="1" w:lastRow="0" w:firstColumn="1" w:lastColumn="0" w:noHBand="0" w:noVBand="1"/>
      </w:tblPr>
      <w:tblGrid>
        <w:gridCol w:w="7366"/>
        <w:gridCol w:w="2127"/>
      </w:tblGrid>
      <w:tr w:rsidR="00911843" w:rsidRPr="00321A4A" w14:paraId="7DC85341" w14:textId="77777777" w:rsidTr="00DB7D12">
        <w:trPr>
          <w:trHeight w:val="414"/>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14:paraId="7DC8533F" w14:textId="65BA6787" w:rsidR="00911843" w:rsidRPr="00911843" w:rsidRDefault="00911843" w:rsidP="00191C38">
            <w:pPr>
              <w:tabs>
                <w:tab w:val="left" w:pos="1418"/>
              </w:tabs>
              <w:spacing w:line="360" w:lineRule="auto"/>
              <w:jc w:val="center"/>
              <w:rPr>
                <w:b/>
                <w:bCs/>
                <w:color w:val="FFFFFF" w:themeColor="background1"/>
                <w:sz w:val="23"/>
                <w:szCs w:val="23"/>
              </w:rPr>
            </w:pPr>
            <w:r w:rsidRPr="00911843">
              <w:rPr>
                <w:b/>
                <w:bCs/>
                <w:color w:val="FFFFFF" w:themeColor="background1"/>
                <w:sz w:val="23"/>
                <w:szCs w:val="23"/>
              </w:rPr>
              <w:t>ESPECIFICAÇÃO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14:paraId="7DC85340" w14:textId="3B2294B6" w:rsidR="00911843" w:rsidRPr="00911843" w:rsidRDefault="00911843" w:rsidP="00191C38">
            <w:pPr>
              <w:tabs>
                <w:tab w:val="left" w:pos="1418"/>
              </w:tabs>
              <w:spacing w:line="360" w:lineRule="auto"/>
              <w:ind w:left="-25" w:firstLine="709"/>
              <w:rPr>
                <w:b/>
                <w:bCs/>
                <w:color w:val="FFFFFF" w:themeColor="background1"/>
                <w:sz w:val="23"/>
                <w:szCs w:val="23"/>
              </w:rPr>
            </w:pPr>
            <w:r w:rsidRPr="00911843">
              <w:rPr>
                <w:b/>
                <w:bCs/>
                <w:color w:val="FFFFFF" w:themeColor="background1"/>
                <w:sz w:val="23"/>
                <w:szCs w:val="23"/>
              </w:rPr>
              <w:t>DATA</w:t>
            </w:r>
          </w:p>
        </w:tc>
      </w:tr>
      <w:tr w:rsidR="00FB3EB3" w:rsidRPr="00120AED" w14:paraId="7DC8534D" w14:textId="77777777" w:rsidTr="000600C3">
        <w:trPr>
          <w:trHeight w:val="552"/>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4B" w14:textId="41AE6C56" w:rsidR="00FB3EB3" w:rsidRPr="00DB7D12" w:rsidRDefault="00FB3EB3" w:rsidP="00FB3EB3">
            <w:pPr>
              <w:tabs>
                <w:tab w:val="left" w:pos="1418"/>
              </w:tabs>
              <w:spacing w:line="360" w:lineRule="auto"/>
              <w:jc w:val="both"/>
              <w:rPr>
                <w:bCs/>
                <w:sz w:val="21"/>
                <w:szCs w:val="21"/>
              </w:rPr>
            </w:pPr>
            <w:r w:rsidRPr="00DB7D12">
              <w:rPr>
                <w:bCs/>
                <w:sz w:val="21"/>
                <w:szCs w:val="21"/>
              </w:rPr>
              <w:t>Análise e Aprovação das Diretrizes pela CPFi</w:t>
            </w:r>
            <w:r w:rsidR="00145476">
              <w:rPr>
                <w:bCs/>
                <w:sz w:val="21"/>
                <w:szCs w:val="21"/>
              </w:rPr>
              <w:t xml:space="preserve"> - Extraordinária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4C" w14:textId="42A9CB87" w:rsidR="00FB3EB3" w:rsidRPr="00DB7D12" w:rsidRDefault="00FB3EB3" w:rsidP="007677A4">
            <w:pPr>
              <w:spacing w:line="360" w:lineRule="auto"/>
              <w:jc w:val="right"/>
              <w:rPr>
                <w:bCs/>
                <w:sz w:val="21"/>
                <w:szCs w:val="21"/>
              </w:rPr>
            </w:pPr>
            <w:r w:rsidRPr="00DB7D12">
              <w:rPr>
                <w:bCs/>
                <w:sz w:val="21"/>
                <w:szCs w:val="21"/>
              </w:rPr>
              <w:t>1</w:t>
            </w:r>
            <w:r w:rsidR="00145476">
              <w:rPr>
                <w:bCs/>
                <w:sz w:val="21"/>
                <w:szCs w:val="21"/>
              </w:rPr>
              <w:t>5</w:t>
            </w:r>
            <w:r w:rsidRPr="00DB7D12">
              <w:rPr>
                <w:bCs/>
                <w:sz w:val="21"/>
                <w:szCs w:val="21"/>
              </w:rPr>
              <w:t>/09/2023</w:t>
            </w:r>
          </w:p>
        </w:tc>
      </w:tr>
      <w:tr w:rsidR="00FB3EB3" w:rsidRPr="00120AED" w14:paraId="7DC85353" w14:textId="77777777" w:rsidTr="000600C3">
        <w:trPr>
          <w:trHeight w:val="560"/>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1" w14:textId="25E86263" w:rsidR="00FB3EB3" w:rsidRPr="00DB7D12" w:rsidRDefault="00FB3EB3" w:rsidP="00FB3EB3">
            <w:pPr>
              <w:tabs>
                <w:tab w:val="left" w:pos="1418"/>
              </w:tabs>
              <w:spacing w:line="360" w:lineRule="auto"/>
              <w:jc w:val="both"/>
              <w:rPr>
                <w:bCs/>
                <w:sz w:val="21"/>
                <w:szCs w:val="21"/>
              </w:rPr>
            </w:pPr>
            <w:r w:rsidRPr="00DB7D12">
              <w:rPr>
                <w:bCs/>
                <w:sz w:val="21"/>
                <w:szCs w:val="21"/>
              </w:rPr>
              <w:t>Elaboração do documento das Diretrizes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2" w14:textId="149806E9" w:rsidR="00FB3EB3" w:rsidRPr="00DB7D12" w:rsidRDefault="00103BE5" w:rsidP="00FB3EB3">
            <w:pPr>
              <w:spacing w:line="360" w:lineRule="auto"/>
              <w:jc w:val="right"/>
              <w:rPr>
                <w:bCs/>
                <w:sz w:val="21"/>
                <w:szCs w:val="21"/>
              </w:rPr>
            </w:pPr>
            <w:r>
              <w:rPr>
                <w:bCs/>
                <w:sz w:val="21"/>
                <w:szCs w:val="21"/>
              </w:rPr>
              <w:t>15</w:t>
            </w:r>
            <w:r w:rsidR="00FB3EB3" w:rsidRPr="00DB7D12">
              <w:rPr>
                <w:bCs/>
                <w:sz w:val="21"/>
                <w:szCs w:val="21"/>
              </w:rPr>
              <w:t>/09/2023</w:t>
            </w:r>
          </w:p>
        </w:tc>
      </w:tr>
      <w:tr w:rsidR="00FB3EB3" w:rsidRPr="00120AED" w14:paraId="7DC85356" w14:textId="77777777" w:rsidTr="000600C3">
        <w:trPr>
          <w:trHeight w:val="554"/>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4" w14:textId="5F13253D" w:rsidR="00FB3EB3" w:rsidRPr="00DB7D12" w:rsidRDefault="00FB3EB3" w:rsidP="00FB3EB3">
            <w:pPr>
              <w:tabs>
                <w:tab w:val="left" w:pos="1418"/>
              </w:tabs>
              <w:spacing w:line="360" w:lineRule="auto"/>
              <w:jc w:val="both"/>
              <w:rPr>
                <w:bCs/>
                <w:sz w:val="21"/>
                <w:szCs w:val="21"/>
              </w:rPr>
            </w:pPr>
            <w:r w:rsidRPr="00DB7D12">
              <w:rPr>
                <w:bCs/>
                <w:sz w:val="21"/>
                <w:szCs w:val="21"/>
              </w:rPr>
              <w:t>Análise e Aprovação das Diretrizes pelo Plenário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5" w14:textId="75A34280" w:rsidR="00FB3EB3" w:rsidRPr="00DB7D12" w:rsidRDefault="00FB3EB3" w:rsidP="00FB3EB3">
            <w:pPr>
              <w:spacing w:line="360" w:lineRule="auto"/>
              <w:jc w:val="right"/>
              <w:rPr>
                <w:bCs/>
                <w:sz w:val="21"/>
                <w:szCs w:val="21"/>
              </w:rPr>
            </w:pPr>
            <w:r w:rsidRPr="00DB7D12">
              <w:rPr>
                <w:bCs/>
                <w:sz w:val="21"/>
                <w:szCs w:val="21"/>
              </w:rPr>
              <w:t>21 e 22/09/2023</w:t>
            </w:r>
          </w:p>
        </w:tc>
      </w:tr>
      <w:tr w:rsidR="00FB3EB3" w:rsidRPr="00120AED" w14:paraId="7DC8535C" w14:textId="77777777" w:rsidTr="000600C3">
        <w:trPr>
          <w:trHeight w:val="566"/>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A" w14:textId="1FD4F6C4" w:rsidR="00FB3EB3" w:rsidRPr="00DB7D12" w:rsidRDefault="00FB3EB3" w:rsidP="00FB3EB3">
            <w:pPr>
              <w:tabs>
                <w:tab w:val="left" w:pos="1418"/>
              </w:tabs>
              <w:spacing w:line="360" w:lineRule="auto"/>
              <w:jc w:val="both"/>
              <w:rPr>
                <w:bCs/>
                <w:sz w:val="21"/>
                <w:szCs w:val="21"/>
              </w:rPr>
            </w:pPr>
            <w:r w:rsidRPr="00DB7D12">
              <w:rPr>
                <w:bCs/>
                <w:sz w:val="21"/>
                <w:szCs w:val="21"/>
              </w:rPr>
              <w:t>Elaboração e envio da Proposta da Programação 2024 CAU/UF</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B" w14:textId="55EE9D52" w:rsidR="00FB3EB3" w:rsidRPr="00DB7D12" w:rsidRDefault="00FB3EB3" w:rsidP="00FB3EB3">
            <w:pPr>
              <w:spacing w:line="360" w:lineRule="auto"/>
              <w:jc w:val="right"/>
              <w:rPr>
                <w:bCs/>
                <w:sz w:val="21"/>
                <w:szCs w:val="21"/>
              </w:rPr>
            </w:pPr>
            <w:r w:rsidRPr="00DB7D12">
              <w:rPr>
                <w:bCs/>
                <w:sz w:val="21"/>
                <w:szCs w:val="21"/>
              </w:rPr>
              <w:t>2</w:t>
            </w:r>
            <w:r w:rsidR="00103BE5">
              <w:rPr>
                <w:bCs/>
                <w:sz w:val="21"/>
                <w:szCs w:val="21"/>
              </w:rPr>
              <w:t>7/09</w:t>
            </w:r>
            <w:r w:rsidRPr="00DB7D12">
              <w:rPr>
                <w:bCs/>
                <w:sz w:val="21"/>
                <w:szCs w:val="21"/>
              </w:rPr>
              <w:t xml:space="preserve"> a 27/10</w:t>
            </w:r>
            <w:r w:rsidR="007677A4" w:rsidRPr="00DB7D12">
              <w:rPr>
                <w:bCs/>
                <w:sz w:val="21"/>
                <w:szCs w:val="21"/>
              </w:rPr>
              <w:t>/2023</w:t>
            </w:r>
          </w:p>
        </w:tc>
      </w:tr>
      <w:tr w:rsidR="007677A4" w:rsidRPr="00120AED" w14:paraId="4E54D569" w14:textId="77777777" w:rsidTr="00DB7D12">
        <w:trPr>
          <w:trHeight w:val="836"/>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7B19B25" w14:textId="2724CBAC" w:rsidR="007677A4" w:rsidRPr="00DB7D12" w:rsidRDefault="007677A4" w:rsidP="00FB3EB3">
            <w:pPr>
              <w:tabs>
                <w:tab w:val="left" w:pos="1418"/>
              </w:tabs>
              <w:spacing w:line="360" w:lineRule="auto"/>
              <w:jc w:val="both"/>
              <w:rPr>
                <w:bCs/>
                <w:sz w:val="21"/>
                <w:szCs w:val="21"/>
              </w:rPr>
            </w:pPr>
            <w:r w:rsidRPr="00DB7D12">
              <w:rPr>
                <w:bCs/>
                <w:sz w:val="21"/>
                <w:szCs w:val="21"/>
              </w:rPr>
              <w:t>Assessoramento do CAU/BR, Análise das propostas e elaboração do parecer pela GERPLAN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399CCDB" w14:textId="75EB74F0" w:rsidR="007677A4" w:rsidRPr="00DB7D12" w:rsidRDefault="007677A4" w:rsidP="00FB3EB3">
            <w:pPr>
              <w:spacing w:line="360" w:lineRule="auto"/>
              <w:jc w:val="right"/>
              <w:rPr>
                <w:bCs/>
                <w:sz w:val="21"/>
                <w:szCs w:val="21"/>
              </w:rPr>
            </w:pPr>
            <w:r w:rsidRPr="00DB7D12">
              <w:rPr>
                <w:bCs/>
                <w:sz w:val="21"/>
                <w:szCs w:val="21"/>
              </w:rPr>
              <w:t>2</w:t>
            </w:r>
            <w:r w:rsidR="00103BE5">
              <w:rPr>
                <w:bCs/>
                <w:sz w:val="21"/>
                <w:szCs w:val="21"/>
              </w:rPr>
              <w:t>7</w:t>
            </w:r>
            <w:r w:rsidRPr="00DB7D12">
              <w:rPr>
                <w:bCs/>
                <w:sz w:val="21"/>
                <w:szCs w:val="21"/>
              </w:rPr>
              <w:t>/09 a 17/11/2023</w:t>
            </w:r>
          </w:p>
        </w:tc>
      </w:tr>
      <w:tr w:rsidR="006278E3" w:rsidRPr="00191C38" w14:paraId="66A40615" w14:textId="77777777" w:rsidTr="000600C3">
        <w:trPr>
          <w:trHeight w:val="556"/>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1F10B245" w14:textId="7C3A6C44" w:rsidR="006278E3" w:rsidRPr="00DB7D12" w:rsidRDefault="006278E3" w:rsidP="006278E3">
            <w:pPr>
              <w:tabs>
                <w:tab w:val="left" w:pos="1418"/>
              </w:tabs>
              <w:spacing w:line="360" w:lineRule="auto"/>
              <w:jc w:val="both"/>
              <w:rPr>
                <w:bCs/>
                <w:sz w:val="21"/>
                <w:szCs w:val="21"/>
              </w:rPr>
            </w:pPr>
            <w:r w:rsidRPr="00DB7D12">
              <w:rPr>
                <w:bCs/>
                <w:sz w:val="21"/>
                <w:szCs w:val="21"/>
              </w:rPr>
              <w:t>Consolidação do Plano de Ação do CAU 2024</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E93C972" w14:textId="68585719" w:rsidR="006278E3" w:rsidRPr="00DB7D12" w:rsidRDefault="006278E3" w:rsidP="006278E3">
            <w:pPr>
              <w:spacing w:line="360" w:lineRule="auto"/>
              <w:jc w:val="right"/>
              <w:rPr>
                <w:bCs/>
                <w:sz w:val="21"/>
                <w:szCs w:val="21"/>
              </w:rPr>
            </w:pPr>
            <w:r w:rsidRPr="00DB7D12">
              <w:rPr>
                <w:bCs/>
                <w:sz w:val="21"/>
                <w:szCs w:val="21"/>
              </w:rPr>
              <w:t>20 a 24/11/2023</w:t>
            </w:r>
          </w:p>
        </w:tc>
      </w:tr>
      <w:tr w:rsidR="00191C38" w:rsidRPr="00191C38" w14:paraId="17AF7210" w14:textId="77777777" w:rsidTr="00DB7D12">
        <w:trPr>
          <w:trHeight w:val="836"/>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323B73B8" w14:textId="3FE3131A" w:rsidR="00191C38" w:rsidRPr="00DB7D12" w:rsidRDefault="00191C38" w:rsidP="00191C38">
            <w:pPr>
              <w:tabs>
                <w:tab w:val="left" w:pos="1418"/>
              </w:tabs>
              <w:spacing w:line="360" w:lineRule="auto"/>
              <w:jc w:val="both"/>
              <w:rPr>
                <w:bCs/>
                <w:sz w:val="21"/>
                <w:szCs w:val="21"/>
              </w:rPr>
            </w:pPr>
            <w:r w:rsidRPr="00DB7D12">
              <w:rPr>
                <w:bCs/>
                <w:sz w:val="21"/>
                <w:szCs w:val="21"/>
              </w:rPr>
              <w:t>Prazo Final para envio das Deliberações de aprovação da proposta pela comissão e o plenário do CAU/UF</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DD32140" w14:textId="0560B4AD" w:rsidR="00191C38" w:rsidRPr="00DB7D12" w:rsidRDefault="00191C38" w:rsidP="00191C38">
            <w:pPr>
              <w:spacing w:line="360" w:lineRule="auto"/>
              <w:jc w:val="right"/>
              <w:rPr>
                <w:bCs/>
                <w:sz w:val="21"/>
                <w:szCs w:val="21"/>
              </w:rPr>
            </w:pPr>
            <w:r w:rsidRPr="00DB7D12">
              <w:rPr>
                <w:bCs/>
                <w:sz w:val="21"/>
                <w:szCs w:val="21"/>
              </w:rPr>
              <w:t>24/11/2023</w:t>
            </w:r>
          </w:p>
        </w:tc>
      </w:tr>
      <w:tr w:rsidR="00191C38" w:rsidRPr="00191C38" w14:paraId="49E7BEEF" w14:textId="77777777" w:rsidTr="000600C3">
        <w:trPr>
          <w:trHeight w:val="558"/>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7BD4FFD" w14:textId="39720EA8" w:rsidR="00191C38" w:rsidRPr="00DB7D12" w:rsidRDefault="00191C38" w:rsidP="00191C38">
            <w:pPr>
              <w:tabs>
                <w:tab w:val="left" w:pos="1418"/>
              </w:tabs>
              <w:spacing w:line="360" w:lineRule="auto"/>
              <w:jc w:val="both"/>
              <w:rPr>
                <w:bCs/>
                <w:sz w:val="21"/>
                <w:szCs w:val="21"/>
              </w:rPr>
            </w:pPr>
            <w:r w:rsidRPr="00DB7D12">
              <w:rPr>
                <w:bCs/>
                <w:sz w:val="21"/>
                <w:szCs w:val="21"/>
              </w:rPr>
              <w:t>Análise e aprovação da Programação 2024 pela CPFI</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4B25EB3" w14:textId="67A91633" w:rsidR="00191C38" w:rsidRPr="00DB7D12" w:rsidRDefault="00191C38" w:rsidP="00191C38">
            <w:pPr>
              <w:spacing w:line="360" w:lineRule="auto"/>
              <w:jc w:val="right"/>
              <w:rPr>
                <w:bCs/>
                <w:sz w:val="21"/>
                <w:szCs w:val="21"/>
              </w:rPr>
            </w:pPr>
            <w:r w:rsidRPr="00DB7D12">
              <w:rPr>
                <w:bCs/>
                <w:sz w:val="21"/>
                <w:szCs w:val="21"/>
              </w:rPr>
              <w:t>30/11 e 01/12/2023</w:t>
            </w:r>
          </w:p>
        </w:tc>
      </w:tr>
      <w:tr w:rsidR="00DB7D12" w:rsidRPr="00191C38" w14:paraId="4C8FBC49" w14:textId="77777777" w:rsidTr="000600C3">
        <w:trPr>
          <w:trHeight w:val="694"/>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581B6C1" w14:textId="3A713E25" w:rsidR="00DB7D12" w:rsidRPr="00DB7D12" w:rsidRDefault="00DB7D12" w:rsidP="00DB7D12">
            <w:pPr>
              <w:tabs>
                <w:tab w:val="left" w:pos="1418"/>
              </w:tabs>
              <w:spacing w:line="360" w:lineRule="auto"/>
              <w:jc w:val="both"/>
              <w:rPr>
                <w:bCs/>
                <w:sz w:val="21"/>
                <w:szCs w:val="21"/>
              </w:rPr>
            </w:pPr>
            <w:r w:rsidRPr="00DB7D12">
              <w:rPr>
                <w:bCs/>
                <w:sz w:val="21"/>
                <w:szCs w:val="21"/>
              </w:rPr>
              <w:t>Elaboração do documento que consolida a Programação 2024 do CAU</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1C4CE23B" w14:textId="2569D63A" w:rsidR="00DB7D12" w:rsidRPr="00DB7D12" w:rsidRDefault="00DB7D12" w:rsidP="00DB7D12">
            <w:pPr>
              <w:spacing w:line="360" w:lineRule="auto"/>
              <w:jc w:val="right"/>
              <w:rPr>
                <w:bCs/>
                <w:sz w:val="21"/>
                <w:szCs w:val="21"/>
              </w:rPr>
            </w:pPr>
            <w:r w:rsidRPr="00DB7D12">
              <w:rPr>
                <w:bCs/>
                <w:sz w:val="21"/>
                <w:szCs w:val="21"/>
              </w:rPr>
              <w:t>04 a 07/12/2023</w:t>
            </w:r>
          </w:p>
        </w:tc>
      </w:tr>
      <w:tr w:rsidR="000600C3" w:rsidRPr="00191C38" w14:paraId="31C677C9" w14:textId="77777777" w:rsidTr="000600C3">
        <w:trPr>
          <w:trHeight w:val="562"/>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88BB530" w14:textId="4C7E88B3" w:rsidR="000600C3" w:rsidRPr="00DB7D12" w:rsidRDefault="000600C3" w:rsidP="000600C3">
            <w:pPr>
              <w:tabs>
                <w:tab w:val="left" w:pos="1418"/>
              </w:tabs>
              <w:spacing w:line="360" w:lineRule="auto"/>
              <w:jc w:val="both"/>
              <w:rPr>
                <w:bCs/>
                <w:sz w:val="21"/>
                <w:szCs w:val="21"/>
              </w:rPr>
            </w:pPr>
            <w:r w:rsidRPr="007677A4">
              <w:rPr>
                <w:bCs/>
                <w:sz w:val="23"/>
                <w:szCs w:val="23"/>
              </w:rPr>
              <w:t>Análise e aprovação da Programação 2024 pelo Plenário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2B2D5F2" w14:textId="35E7DEE3" w:rsidR="000600C3" w:rsidRPr="00DB7D12" w:rsidRDefault="000600C3" w:rsidP="000600C3">
            <w:pPr>
              <w:spacing w:line="360" w:lineRule="auto"/>
              <w:jc w:val="right"/>
              <w:rPr>
                <w:bCs/>
                <w:sz w:val="21"/>
                <w:szCs w:val="21"/>
              </w:rPr>
            </w:pPr>
            <w:r w:rsidRPr="00191C38">
              <w:rPr>
                <w:bCs/>
                <w:sz w:val="23"/>
                <w:szCs w:val="23"/>
              </w:rPr>
              <w:t>1</w:t>
            </w:r>
            <w:r w:rsidR="00103BE5">
              <w:rPr>
                <w:bCs/>
                <w:sz w:val="23"/>
                <w:szCs w:val="23"/>
              </w:rPr>
              <w:t>3</w:t>
            </w:r>
            <w:r w:rsidRPr="00191C38">
              <w:rPr>
                <w:bCs/>
                <w:sz w:val="23"/>
                <w:szCs w:val="23"/>
              </w:rPr>
              <w:t xml:space="preserve"> e 1</w:t>
            </w:r>
            <w:r w:rsidR="00103BE5">
              <w:rPr>
                <w:bCs/>
                <w:sz w:val="23"/>
                <w:szCs w:val="23"/>
              </w:rPr>
              <w:t>4</w:t>
            </w:r>
            <w:r w:rsidRPr="00191C38">
              <w:rPr>
                <w:bCs/>
                <w:sz w:val="23"/>
                <w:szCs w:val="23"/>
              </w:rPr>
              <w:t>/12/2023</w:t>
            </w:r>
          </w:p>
        </w:tc>
      </w:tr>
      <w:tr w:rsidR="000600C3" w:rsidRPr="00191C38" w14:paraId="3CB19F56" w14:textId="77777777" w:rsidTr="000600C3">
        <w:trPr>
          <w:trHeight w:val="562"/>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12C5360D" w14:textId="61417B3C" w:rsidR="000600C3" w:rsidRPr="007677A4" w:rsidRDefault="000600C3" w:rsidP="000600C3">
            <w:pPr>
              <w:tabs>
                <w:tab w:val="left" w:pos="1418"/>
              </w:tabs>
              <w:spacing w:line="360" w:lineRule="auto"/>
              <w:jc w:val="both"/>
              <w:rPr>
                <w:bCs/>
                <w:sz w:val="23"/>
                <w:szCs w:val="23"/>
              </w:rPr>
            </w:pPr>
            <w:r w:rsidRPr="007677A4">
              <w:rPr>
                <w:bCs/>
                <w:sz w:val="23"/>
                <w:szCs w:val="23"/>
              </w:rPr>
              <w:t>Envio do Parecer da Programação 2024 aos CAU/UF</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32B74A7E" w14:textId="282187D6" w:rsidR="000600C3" w:rsidRPr="00191C38" w:rsidRDefault="000600C3" w:rsidP="000600C3">
            <w:pPr>
              <w:spacing w:line="360" w:lineRule="auto"/>
              <w:jc w:val="right"/>
              <w:rPr>
                <w:bCs/>
                <w:sz w:val="23"/>
                <w:szCs w:val="23"/>
              </w:rPr>
            </w:pPr>
            <w:r w:rsidRPr="00191C38">
              <w:rPr>
                <w:bCs/>
                <w:sz w:val="23"/>
                <w:szCs w:val="23"/>
              </w:rPr>
              <w:t>18 a 22/12/2023</w:t>
            </w:r>
          </w:p>
        </w:tc>
      </w:tr>
      <w:tr w:rsidR="000600C3" w:rsidRPr="00120AED" w14:paraId="7DC85362" w14:textId="77777777" w:rsidTr="0049438B">
        <w:trPr>
          <w:trHeight w:val="692"/>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60" w14:textId="61053807" w:rsidR="000600C3" w:rsidRPr="00911843" w:rsidRDefault="000600C3" w:rsidP="000600C3">
            <w:pPr>
              <w:tabs>
                <w:tab w:val="left" w:pos="1418"/>
              </w:tabs>
              <w:spacing w:line="360" w:lineRule="auto"/>
              <w:rPr>
                <w:bCs/>
                <w:sz w:val="23"/>
                <w:szCs w:val="23"/>
              </w:rPr>
            </w:pPr>
            <w:r w:rsidRPr="006278E3">
              <w:rPr>
                <w:bCs/>
                <w:sz w:val="23"/>
                <w:szCs w:val="23"/>
              </w:rPr>
              <w:t>Publicação do resumo da Programação 2024 no Diário Oficial da União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61" w14:textId="506C33E0" w:rsidR="000600C3" w:rsidRPr="00191C38" w:rsidRDefault="000600C3" w:rsidP="000600C3">
            <w:pPr>
              <w:tabs>
                <w:tab w:val="left" w:pos="1418"/>
              </w:tabs>
              <w:spacing w:line="360" w:lineRule="auto"/>
              <w:jc w:val="right"/>
              <w:rPr>
                <w:bCs/>
                <w:sz w:val="23"/>
                <w:szCs w:val="23"/>
              </w:rPr>
            </w:pPr>
            <w:r w:rsidRPr="00191C38">
              <w:rPr>
                <w:bCs/>
                <w:sz w:val="23"/>
                <w:szCs w:val="23"/>
              </w:rPr>
              <w:t>26 a 29/12/2023</w:t>
            </w:r>
          </w:p>
        </w:tc>
      </w:tr>
    </w:tbl>
    <w:p w14:paraId="0FC91609" w14:textId="63FC97FF" w:rsidR="002F595A" w:rsidRDefault="002F595A">
      <w:pPr>
        <w:rPr>
          <w:lang w:eastAsia="pt-BR"/>
        </w:rPr>
      </w:pPr>
      <w:r>
        <w:rPr>
          <w:lang w:eastAsia="pt-BR"/>
        </w:rPr>
        <w:br w:type="page"/>
      </w:r>
    </w:p>
    <w:p w14:paraId="7DC8536A" w14:textId="22BC9DB8" w:rsidR="007606D7" w:rsidRPr="007606D7" w:rsidRDefault="00091D40" w:rsidP="00F94E03">
      <w:pPr>
        <w:pStyle w:val="Ttulo1"/>
        <w:spacing w:after="0"/>
        <w:ind w:left="284" w:hanging="284"/>
        <w:rPr>
          <w:rFonts w:eastAsia="Arial Unicode MS"/>
        </w:rPr>
      </w:pPr>
      <w:bookmarkStart w:id="76" w:name="_Toc487558921"/>
      <w:bookmarkStart w:id="77" w:name="_Toc487559022"/>
      <w:bookmarkStart w:id="78" w:name="_Toc147404348"/>
      <w:r>
        <w:rPr>
          <w:rFonts w:eastAsia="Arial Unicode MS"/>
        </w:rPr>
        <w:t>ANEXOS</w:t>
      </w:r>
      <w:bookmarkEnd w:id="76"/>
      <w:bookmarkEnd w:id="77"/>
      <w:bookmarkEnd w:id="78"/>
      <w:r w:rsidR="00F3283B">
        <w:rPr>
          <w:rFonts w:eastAsia="Arial Unicode MS"/>
        </w:rPr>
        <w:t xml:space="preserve"> </w:t>
      </w:r>
    </w:p>
    <w:p w14:paraId="7DC8536B" w14:textId="457A228A" w:rsidR="0029084C" w:rsidRPr="00D27FB8" w:rsidRDefault="00DA0C5F" w:rsidP="007606D7">
      <w:pPr>
        <w:tabs>
          <w:tab w:val="right" w:leader="dot" w:pos="9071"/>
        </w:tabs>
        <w:spacing w:after="240" w:line="240" w:lineRule="auto"/>
        <w:jc w:val="both"/>
        <w:rPr>
          <w:b/>
          <w:i/>
          <w:iCs/>
          <w:color w:val="0070C0"/>
          <w:sz w:val="21"/>
          <w:szCs w:val="21"/>
        </w:rPr>
      </w:pPr>
      <w:hyperlink w:anchor="_ANEXO_I_–" w:history="1">
        <w:r w:rsidR="001249FE" w:rsidRPr="00D27FB8">
          <w:rPr>
            <w:rStyle w:val="Hyperlink"/>
            <w:b/>
            <w:i/>
            <w:iCs/>
            <w:color w:val="0070C0"/>
            <w:sz w:val="21"/>
            <w:szCs w:val="21"/>
          </w:rPr>
          <w:t xml:space="preserve">ANEXO I – Indicadores Institucionais e de Resultado </w:t>
        </w:r>
        <w:r w:rsidR="002F595A" w:rsidRPr="00D27FB8">
          <w:rPr>
            <w:rStyle w:val="Hyperlink"/>
            <w:b/>
            <w:i/>
            <w:iCs/>
            <w:color w:val="0070C0"/>
            <w:sz w:val="21"/>
            <w:szCs w:val="21"/>
          </w:rPr>
          <w:t xml:space="preserve">– </w:t>
        </w:r>
        <w:r w:rsidR="001249FE" w:rsidRPr="00D27FB8">
          <w:rPr>
            <w:rStyle w:val="Hyperlink"/>
            <w:b/>
            <w:i/>
            <w:iCs/>
            <w:color w:val="0070C0"/>
            <w:sz w:val="21"/>
            <w:szCs w:val="21"/>
          </w:rPr>
          <w:t>CAU</w:t>
        </w:r>
        <w:r w:rsidR="002F595A" w:rsidRPr="00D27FB8">
          <w:rPr>
            <w:rStyle w:val="Hyperlink"/>
            <w:b/>
            <w:i/>
            <w:iCs/>
            <w:color w:val="0070C0"/>
            <w:sz w:val="21"/>
            <w:szCs w:val="21"/>
          </w:rPr>
          <w:t xml:space="preserve"> </w:t>
        </w:r>
        <w:r w:rsidR="001249FE" w:rsidRPr="00D27FB8">
          <w:rPr>
            <w:rStyle w:val="Hyperlink"/>
            <w:b/>
            <w:i/>
            <w:iCs/>
            <w:color w:val="0070C0"/>
            <w:sz w:val="21"/>
            <w:szCs w:val="21"/>
          </w:rPr>
          <w:t>UF</w:t>
        </w:r>
        <w:r w:rsidR="002F595A" w:rsidRPr="00D27FB8">
          <w:rPr>
            <w:rStyle w:val="Hyperlink"/>
            <w:b/>
            <w:i/>
            <w:iCs/>
            <w:color w:val="0070C0"/>
            <w:sz w:val="21"/>
            <w:szCs w:val="21"/>
          </w:rPr>
          <w:t xml:space="preserve"> </w:t>
        </w:r>
      </w:hyperlink>
      <w:r w:rsidR="001249FE" w:rsidRPr="00D27FB8">
        <w:rPr>
          <w:b/>
          <w:i/>
          <w:iCs/>
          <w:color w:val="0070C0"/>
          <w:sz w:val="21"/>
          <w:szCs w:val="21"/>
        </w:rPr>
        <w:t xml:space="preserve"> </w:t>
      </w:r>
    </w:p>
    <w:p w14:paraId="7DC8536C" w14:textId="7AFC6B11" w:rsidR="001249FE" w:rsidRPr="00D27FB8" w:rsidRDefault="00DA0C5F" w:rsidP="007606D7">
      <w:pPr>
        <w:tabs>
          <w:tab w:val="right" w:leader="dot" w:pos="9071"/>
        </w:tabs>
        <w:spacing w:after="240" w:line="240" w:lineRule="auto"/>
        <w:jc w:val="both"/>
        <w:rPr>
          <w:b/>
          <w:i/>
          <w:iCs/>
          <w:color w:val="0070C0"/>
          <w:sz w:val="21"/>
          <w:szCs w:val="21"/>
        </w:rPr>
      </w:pPr>
      <w:hyperlink w:anchor="_ANEXO_II_–_1" w:history="1">
        <w:r w:rsidR="001249FE" w:rsidRPr="00D27FB8">
          <w:rPr>
            <w:rStyle w:val="Hyperlink"/>
            <w:b/>
            <w:i/>
            <w:iCs/>
            <w:color w:val="0070C0"/>
            <w:sz w:val="21"/>
            <w:szCs w:val="21"/>
          </w:rPr>
          <w:t>ANEXO II – Indicadores Institucionais e de Resultado – CAU BR</w:t>
        </w:r>
      </w:hyperlink>
    </w:p>
    <w:p w14:paraId="7DC8536D" w14:textId="1FD024D4" w:rsidR="0029084C" w:rsidRPr="00D27FB8" w:rsidRDefault="00DA0C5F" w:rsidP="007606D7">
      <w:pPr>
        <w:tabs>
          <w:tab w:val="right" w:leader="dot" w:pos="9071"/>
        </w:tabs>
        <w:spacing w:after="240" w:line="240" w:lineRule="auto"/>
        <w:jc w:val="both"/>
        <w:rPr>
          <w:b/>
          <w:i/>
          <w:iCs/>
          <w:color w:val="0070C0"/>
          <w:sz w:val="21"/>
          <w:szCs w:val="21"/>
        </w:rPr>
      </w:pPr>
      <w:hyperlink w:anchor="_ANEXO_III_–_1" w:history="1">
        <w:r w:rsidR="0029084C" w:rsidRPr="00D27FB8">
          <w:rPr>
            <w:rStyle w:val="Hyperlink"/>
            <w:b/>
            <w:i/>
            <w:iCs/>
            <w:color w:val="0070C0"/>
            <w:sz w:val="21"/>
            <w:szCs w:val="21"/>
          </w:rPr>
          <w:t>ANEXO III – CAU/UF – Posição de Arquitetos e Urbanistas, Empresas e RRT</w:t>
        </w:r>
      </w:hyperlink>
    </w:p>
    <w:p w14:paraId="7DC8536F" w14:textId="7503782B" w:rsidR="00A20365" w:rsidRPr="00D27FB8" w:rsidRDefault="00DA0C5F" w:rsidP="007606D7">
      <w:pPr>
        <w:tabs>
          <w:tab w:val="right" w:leader="dot" w:pos="9071"/>
        </w:tabs>
        <w:spacing w:after="240" w:line="240" w:lineRule="auto"/>
        <w:jc w:val="both"/>
        <w:rPr>
          <w:b/>
          <w:i/>
          <w:iCs/>
          <w:color w:val="0070C0"/>
          <w:sz w:val="21"/>
          <w:szCs w:val="21"/>
        </w:rPr>
      </w:pPr>
      <w:hyperlink w:anchor="_ANEXO_IV.II_–_1" w:history="1">
        <w:r w:rsidR="00A20365" w:rsidRPr="00D27FB8">
          <w:rPr>
            <w:rStyle w:val="Hyperlink"/>
            <w:b/>
            <w:i/>
            <w:iCs/>
            <w:color w:val="0070C0"/>
            <w:sz w:val="21"/>
            <w:szCs w:val="21"/>
          </w:rPr>
          <w:t xml:space="preserve">ANEXO </w:t>
        </w:r>
        <w:r w:rsidR="00764CF5" w:rsidRPr="00D27FB8">
          <w:rPr>
            <w:rStyle w:val="Hyperlink"/>
            <w:b/>
            <w:i/>
            <w:iCs/>
            <w:color w:val="0070C0"/>
            <w:sz w:val="21"/>
            <w:szCs w:val="21"/>
          </w:rPr>
          <w:t>I</w:t>
        </w:r>
        <w:r w:rsidR="007C5FA6" w:rsidRPr="00D27FB8">
          <w:rPr>
            <w:rStyle w:val="Hyperlink"/>
            <w:b/>
            <w:i/>
            <w:iCs/>
            <w:color w:val="0070C0"/>
            <w:sz w:val="21"/>
            <w:szCs w:val="21"/>
          </w:rPr>
          <w:t>V</w:t>
        </w:r>
        <w:r w:rsidR="00F95349" w:rsidRPr="00D27FB8">
          <w:rPr>
            <w:rStyle w:val="Hyperlink"/>
            <w:b/>
            <w:i/>
            <w:iCs/>
            <w:color w:val="0070C0"/>
            <w:sz w:val="21"/>
            <w:szCs w:val="21"/>
          </w:rPr>
          <w:t xml:space="preserve"> </w:t>
        </w:r>
        <w:r w:rsidR="00BE6C90" w:rsidRPr="00D27FB8">
          <w:rPr>
            <w:rStyle w:val="Hyperlink"/>
            <w:b/>
            <w:i/>
            <w:iCs/>
            <w:color w:val="0070C0"/>
            <w:sz w:val="21"/>
            <w:szCs w:val="21"/>
          </w:rPr>
          <w:t>–</w:t>
        </w:r>
        <w:r w:rsidR="007C5FA6" w:rsidRPr="00D27FB8">
          <w:rPr>
            <w:rStyle w:val="Hyperlink"/>
            <w:b/>
            <w:i/>
            <w:iCs/>
            <w:color w:val="0070C0"/>
            <w:sz w:val="21"/>
            <w:szCs w:val="21"/>
          </w:rPr>
          <w:t xml:space="preserve"> </w:t>
        </w:r>
        <w:r w:rsidR="006076EF" w:rsidRPr="00D27FB8">
          <w:rPr>
            <w:rStyle w:val="Hyperlink"/>
            <w:b/>
            <w:i/>
            <w:iCs/>
            <w:color w:val="0070C0"/>
            <w:sz w:val="21"/>
            <w:szCs w:val="21"/>
          </w:rPr>
          <w:t>Projeção da Quantidade de Pagantes x Receita Total do CAU</w:t>
        </w:r>
        <w:r w:rsidR="00F95349" w:rsidRPr="00D27FB8">
          <w:rPr>
            <w:rStyle w:val="Hyperlink"/>
            <w:b/>
            <w:i/>
            <w:iCs/>
            <w:color w:val="0070C0"/>
            <w:sz w:val="21"/>
            <w:szCs w:val="21"/>
          </w:rPr>
          <w:t xml:space="preserve"> –</w:t>
        </w:r>
        <w:r w:rsidR="006076EF" w:rsidRPr="00D27FB8">
          <w:rPr>
            <w:rStyle w:val="Hyperlink"/>
            <w:b/>
            <w:i/>
            <w:iCs/>
            <w:color w:val="0070C0"/>
            <w:sz w:val="21"/>
            <w:szCs w:val="21"/>
          </w:rPr>
          <w:t xml:space="preserve"> </w:t>
        </w:r>
        <w:r w:rsidR="004F44CF" w:rsidRPr="00D27FB8">
          <w:rPr>
            <w:rStyle w:val="Hyperlink"/>
            <w:b/>
            <w:i/>
            <w:iCs/>
            <w:color w:val="0070C0"/>
            <w:sz w:val="21"/>
            <w:szCs w:val="21"/>
          </w:rPr>
          <w:t>Exercício</w:t>
        </w:r>
        <w:r w:rsidR="00F95349" w:rsidRPr="00D27FB8">
          <w:rPr>
            <w:rStyle w:val="Hyperlink"/>
            <w:b/>
            <w:i/>
            <w:iCs/>
            <w:color w:val="0070C0"/>
            <w:sz w:val="21"/>
            <w:szCs w:val="21"/>
          </w:rPr>
          <w:t xml:space="preserve"> </w:t>
        </w:r>
        <w:r w:rsidR="004F44CF" w:rsidRPr="00D27FB8">
          <w:rPr>
            <w:rStyle w:val="Hyperlink"/>
            <w:b/>
            <w:i/>
            <w:iCs/>
            <w:color w:val="0070C0"/>
            <w:sz w:val="21"/>
            <w:szCs w:val="21"/>
          </w:rPr>
          <w:t>202</w:t>
        </w:r>
        <w:r w:rsidR="007A3C95">
          <w:rPr>
            <w:rStyle w:val="Hyperlink"/>
            <w:b/>
            <w:i/>
            <w:iCs/>
            <w:color w:val="0070C0"/>
            <w:sz w:val="21"/>
            <w:szCs w:val="21"/>
          </w:rPr>
          <w:t>4</w:t>
        </w:r>
        <w:r w:rsidR="00E93123" w:rsidRPr="00D27FB8">
          <w:rPr>
            <w:rStyle w:val="Hyperlink"/>
            <w:b/>
            <w:i/>
            <w:iCs/>
            <w:color w:val="0070C0"/>
            <w:sz w:val="21"/>
            <w:szCs w:val="21"/>
          </w:rPr>
          <w:t xml:space="preserve"> (100%)</w:t>
        </w:r>
      </w:hyperlink>
    </w:p>
    <w:p w14:paraId="3980560C" w14:textId="3C2F2B57" w:rsidR="00764CF5" w:rsidRPr="00D27FB8" w:rsidRDefault="00764CF5" w:rsidP="00764CF5">
      <w:pPr>
        <w:tabs>
          <w:tab w:val="right" w:leader="dot" w:pos="9071"/>
        </w:tabs>
        <w:spacing w:after="240" w:line="240" w:lineRule="auto"/>
        <w:jc w:val="both"/>
        <w:rPr>
          <w:rStyle w:val="Hyperlink"/>
          <w:b/>
          <w:i/>
          <w:iCs/>
          <w:color w:val="0070C0"/>
          <w:sz w:val="21"/>
          <w:szCs w:val="21"/>
        </w:rPr>
      </w:pPr>
      <w:r w:rsidRPr="00D27FB8">
        <w:rPr>
          <w:b/>
          <w:i/>
          <w:iCs/>
          <w:color w:val="0070C0"/>
          <w:sz w:val="21"/>
          <w:szCs w:val="21"/>
        </w:rPr>
        <w:fldChar w:fldCharType="begin"/>
      </w:r>
      <w:r w:rsidRPr="00D27FB8">
        <w:rPr>
          <w:b/>
          <w:i/>
          <w:iCs/>
          <w:color w:val="0070C0"/>
          <w:sz w:val="21"/>
          <w:szCs w:val="21"/>
        </w:rPr>
        <w:instrText>HYPERLINK  \l "_ANEXO_IX_–_1"</w:instrText>
      </w:r>
      <w:r w:rsidRPr="00D27FB8">
        <w:rPr>
          <w:b/>
          <w:i/>
          <w:iCs/>
          <w:color w:val="0070C0"/>
          <w:sz w:val="21"/>
          <w:szCs w:val="21"/>
        </w:rPr>
        <w:fldChar w:fldCharType="separate"/>
      </w:r>
      <w:r w:rsidRPr="00D27FB8">
        <w:rPr>
          <w:rStyle w:val="Hyperlink"/>
          <w:b/>
          <w:i/>
          <w:iCs/>
          <w:color w:val="0070C0"/>
          <w:sz w:val="21"/>
          <w:szCs w:val="21"/>
        </w:rPr>
        <w:t>ANEXO V – Projeção da Receita dos CAU/UF – Exercício 202</w:t>
      </w:r>
      <w:r w:rsidR="00C6418F">
        <w:rPr>
          <w:rStyle w:val="Hyperlink"/>
          <w:b/>
          <w:i/>
          <w:iCs/>
          <w:color w:val="0070C0"/>
          <w:sz w:val="21"/>
          <w:szCs w:val="21"/>
        </w:rPr>
        <w:t>4</w:t>
      </w:r>
      <w:r w:rsidRPr="00D27FB8">
        <w:rPr>
          <w:rStyle w:val="Hyperlink"/>
          <w:b/>
          <w:i/>
          <w:iCs/>
          <w:color w:val="0070C0"/>
          <w:sz w:val="21"/>
          <w:szCs w:val="21"/>
        </w:rPr>
        <w:t xml:space="preserve"> (80%)</w:t>
      </w:r>
    </w:p>
    <w:p w14:paraId="0B71CA6D" w14:textId="16A839EE" w:rsidR="00764CF5" w:rsidRPr="00D27FB8" w:rsidRDefault="00764CF5" w:rsidP="00764CF5">
      <w:pPr>
        <w:tabs>
          <w:tab w:val="right" w:leader="dot" w:pos="9071"/>
        </w:tabs>
        <w:spacing w:after="240" w:line="240" w:lineRule="auto"/>
        <w:jc w:val="both"/>
        <w:rPr>
          <w:b/>
          <w:i/>
          <w:iCs/>
          <w:color w:val="0070C0"/>
          <w:sz w:val="21"/>
          <w:szCs w:val="21"/>
        </w:rPr>
      </w:pPr>
      <w:r w:rsidRPr="00D27FB8">
        <w:rPr>
          <w:b/>
          <w:i/>
          <w:iCs/>
          <w:color w:val="0070C0"/>
          <w:sz w:val="21"/>
          <w:szCs w:val="21"/>
        </w:rPr>
        <w:fldChar w:fldCharType="end"/>
      </w:r>
      <w:hyperlink w:anchor="_ANEXO_X_–_1" w:history="1">
        <w:r w:rsidRPr="00D27FB8">
          <w:rPr>
            <w:rStyle w:val="Hyperlink"/>
            <w:b/>
            <w:i/>
            <w:iCs/>
            <w:color w:val="0070C0"/>
            <w:sz w:val="21"/>
            <w:szCs w:val="21"/>
          </w:rPr>
          <w:t>ANEXO VI – Fundo de Apoio Financeiro aos CAU/UF – Exercício 202</w:t>
        </w:r>
        <w:r w:rsidR="00C6418F">
          <w:rPr>
            <w:rStyle w:val="Hyperlink"/>
            <w:b/>
            <w:i/>
            <w:iCs/>
            <w:color w:val="0070C0"/>
            <w:sz w:val="21"/>
            <w:szCs w:val="21"/>
          </w:rPr>
          <w:t>4</w:t>
        </w:r>
        <w:r w:rsidRPr="00D27FB8">
          <w:rPr>
            <w:rStyle w:val="Hyperlink"/>
            <w:b/>
            <w:i/>
            <w:iCs/>
            <w:color w:val="0070C0"/>
            <w:sz w:val="21"/>
            <w:szCs w:val="21"/>
          </w:rPr>
          <w:t xml:space="preserve"> – Destinação dos Recursos por CAU/Básico</w:t>
        </w:r>
      </w:hyperlink>
      <w:r w:rsidR="00644EF7">
        <w:rPr>
          <w:rStyle w:val="Hyperlink"/>
          <w:b/>
          <w:i/>
          <w:iCs/>
          <w:color w:val="0070C0"/>
          <w:sz w:val="21"/>
          <w:szCs w:val="21"/>
        </w:rPr>
        <w:t xml:space="preserve"> (Repasse)</w:t>
      </w:r>
      <w:r w:rsidRPr="00D27FB8">
        <w:rPr>
          <w:b/>
          <w:i/>
          <w:iCs/>
          <w:color w:val="0070C0"/>
          <w:sz w:val="21"/>
          <w:szCs w:val="21"/>
        </w:rPr>
        <w:t xml:space="preserve"> </w:t>
      </w:r>
    </w:p>
    <w:p w14:paraId="276F76B0" w14:textId="2E8EDDC8" w:rsidR="00764CF5" w:rsidRPr="00D27FB8" w:rsidRDefault="00DA0C5F" w:rsidP="00764CF5">
      <w:pPr>
        <w:tabs>
          <w:tab w:val="right" w:leader="dot" w:pos="9071"/>
        </w:tabs>
        <w:spacing w:after="240" w:line="240" w:lineRule="auto"/>
        <w:jc w:val="both"/>
        <w:rPr>
          <w:b/>
          <w:i/>
          <w:iCs/>
          <w:color w:val="0070C0"/>
          <w:sz w:val="21"/>
          <w:szCs w:val="21"/>
        </w:rPr>
      </w:pPr>
      <w:hyperlink w:anchor="_ANEXO_X.I_–" w:history="1">
        <w:r w:rsidR="00764CF5" w:rsidRPr="00D27FB8">
          <w:rPr>
            <w:rStyle w:val="Hyperlink"/>
            <w:b/>
            <w:i/>
            <w:iCs/>
            <w:color w:val="0070C0"/>
            <w:sz w:val="21"/>
            <w:szCs w:val="21"/>
          </w:rPr>
          <w:t xml:space="preserve">ANEXO </w:t>
        </w:r>
        <w:r w:rsidR="00AB6B6E" w:rsidRPr="00D27FB8">
          <w:rPr>
            <w:rStyle w:val="Hyperlink"/>
            <w:b/>
            <w:i/>
            <w:iCs/>
            <w:color w:val="0070C0"/>
            <w:sz w:val="21"/>
            <w:szCs w:val="21"/>
          </w:rPr>
          <w:t>VI.I</w:t>
        </w:r>
        <w:r w:rsidR="00764CF5" w:rsidRPr="00D27FB8">
          <w:rPr>
            <w:rStyle w:val="Hyperlink"/>
            <w:b/>
            <w:i/>
            <w:iCs/>
            <w:color w:val="0070C0"/>
            <w:sz w:val="21"/>
            <w:szCs w:val="21"/>
          </w:rPr>
          <w:t xml:space="preserve"> – Fundo de Apoio Financeiro aos CAU/UF – Exercício 202</w:t>
        </w:r>
        <w:r w:rsidR="00C6418F">
          <w:rPr>
            <w:rStyle w:val="Hyperlink"/>
            <w:b/>
            <w:i/>
            <w:iCs/>
            <w:color w:val="0070C0"/>
            <w:sz w:val="21"/>
            <w:szCs w:val="21"/>
          </w:rPr>
          <w:t>4</w:t>
        </w:r>
        <w:r w:rsidR="00764CF5" w:rsidRPr="00D27FB8">
          <w:rPr>
            <w:rStyle w:val="Hyperlink"/>
            <w:b/>
            <w:i/>
            <w:iCs/>
            <w:color w:val="0070C0"/>
            <w:sz w:val="21"/>
            <w:szCs w:val="21"/>
          </w:rPr>
          <w:t xml:space="preserve"> – Participação dos CAU/UF e CAU/BR</w:t>
        </w:r>
      </w:hyperlink>
      <w:r w:rsidR="00644EF7">
        <w:rPr>
          <w:rStyle w:val="Hyperlink"/>
          <w:b/>
          <w:i/>
          <w:iCs/>
          <w:color w:val="0070C0"/>
          <w:sz w:val="21"/>
          <w:szCs w:val="21"/>
        </w:rPr>
        <w:t xml:space="preserve"> (</w:t>
      </w:r>
      <w:r w:rsidR="007B72BD">
        <w:rPr>
          <w:rStyle w:val="Hyperlink"/>
          <w:b/>
          <w:i/>
          <w:iCs/>
          <w:color w:val="0070C0"/>
          <w:sz w:val="21"/>
          <w:szCs w:val="21"/>
        </w:rPr>
        <w:t>Aporte)</w:t>
      </w:r>
      <w:r w:rsidR="00764CF5" w:rsidRPr="00D27FB8">
        <w:rPr>
          <w:b/>
          <w:i/>
          <w:iCs/>
          <w:color w:val="0070C0"/>
          <w:sz w:val="21"/>
          <w:szCs w:val="21"/>
        </w:rPr>
        <w:t xml:space="preserve"> </w:t>
      </w:r>
    </w:p>
    <w:p w14:paraId="7A291587" w14:textId="02FDFCA5" w:rsidR="00764CF5" w:rsidRPr="0009325F" w:rsidRDefault="00DA0C5F" w:rsidP="00764CF5">
      <w:pPr>
        <w:tabs>
          <w:tab w:val="right" w:leader="dot" w:pos="9071"/>
        </w:tabs>
        <w:spacing w:after="240" w:line="240" w:lineRule="auto"/>
        <w:jc w:val="both"/>
        <w:rPr>
          <w:b/>
          <w:i/>
          <w:iCs/>
          <w:color w:val="0070C0"/>
          <w:sz w:val="21"/>
          <w:szCs w:val="21"/>
        </w:rPr>
      </w:pPr>
      <w:hyperlink w:anchor="_ANEXO_XI_–_1" w:history="1">
        <w:r w:rsidR="00764CF5" w:rsidRPr="0009325F">
          <w:rPr>
            <w:rStyle w:val="Hyperlink"/>
            <w:b/>
            <w:i/>
            <w:iCs/>
            <w:color w:val="0070C0"/>
            <w:sz w:val="21"/>
            <w:szCs w:val="21"/>
          </w:rPr>
          <w:t xml:space="preserve">ANEXO </w:t>
        </w:r>
        <w:r w:rsidR="00AB6B6E" w:rsidRPr="0009325F">
          <w:rPr>
            <w:rStyle w:val="Hyperlink"/>
            <w:b/>
            <w:i/>
            <w:iCs/>
            <w:color w:val="0070C0"/>
            <w:sz w:val="21"/>
            <w:szCs w:val="21"/>
          </w:rPr>
          <w:t>VII</w:t>
        </w:r>
        <w:r w:rsidR="00764CF5" w:rsidRPr="0009325F">
          <w:rPr>
            <w:rStyle w:val="Hyperlink"/>
            <w:b/>
            <w:i/>
            <w:iCs/>
            <w:color w:val="0070C0"/>
            <w:sz w:val="21"/>
            <w:szCs w:val="21"/>
          </w:rPr>
          <w:t xml:space="preserve"> – Demonstrativo da Participação dos CAU/UF e do CAU/BR nas Despesas do Centro de Serviços Compartilhados (Serviços </w:t>
        </w:r>
        <w:r w:rsidR="007B72BD" w:rsidRPr="0009325F">
          <w:rPr>
            <w:rStyle w:val="Hyperlink"/>
            <w:b/>
            <w:i/>
            <w:iCs/>
            <w:color w:val="0070C0"/>
            <w:sz w:val="21"/>
            <w:szCs w:val="21"/>
          </w:rPr>
          <w:t>Tota</w:t>
        </w:r>
        <w:r w:rsidR="00D6509B" w:rsidRPr="0009325F">
          <w:rPr>
            <w:rStyle w:val="Hyperlink"/>
            <w:b/>
            <w:i/>
            <w:iCs/>
            <w:color w:val="0070C0"/>
            <w:sz w:val="21"/>
            <w:szCs w:val="21"/>
          </w:rPr>
          <w:t>is</w:t>
        </w:r>
        <w:r w:rsidR="00764CF5" w:rsidRPr="0009325F">
          <w:rPr>
            <w:rStyle w:val="Hyperlink"/>
            <w:b/>
            <w:i/>
            <w:iCs/>
            <w:color w:val="0070C0"/>
            <w:sz w:val="21"/>
            <w:szCs w:val="21"/>
          </w:rPr>
          <w:t>)</w:t>
        </w:r>
      </w:hyperlink>
    </w:p>
    <w:p w14:paraId="21F88C18" w14:textId="106A73E8" w:rsidR="00764CF5" w:rsidRPr="00D27FB8" w:rsidRDefault="00DA0C5F" w:rsidP="00764CF5">
      <w:pPr>
        <w:tabs>
          <w:tab w:val="right" w:leader="dot" w:pos="9071"/>
        </w:tabs>
        <w:spacing w:after="240" w:line="240" w:lineRule="auto"/>
        <w:jc w:val="both"/>
        <w:rPr>
          <w:b/>
          <w:i/>
          <w:iCs/>
          <w:color w:val="0070C0"/>
          <w:sz w:val="21"/>
          <w:szCs w:val="21"/>
        </w:rPr>
      </w:pPr>
      <w:hyperlink w:anchor="_ANEXO_XIII_–" w:history="1">
        <w:r w:rsidR="00764CF5" w:rsidRPr="00D27FB8">
          <w:rPr>
            <w:rStyle w:val="Hyperlink"/>
            <w:b/>
            <w:i/>
            <w:iCs/>
            <w:color w:val="0070C0"/>
            <w:sz w:val="21"/>
            <w:szCs w:val="21"/>
          </w:rPr>
          <w:t xml:space="preserve">ANEXO </w:t>
        </w:r>
        <w:r w:rsidR="00CC16F5" w:rsidRPr="00D27FB8">
          <w:rPr>
            <w:rStyle w:val="Hyperlink"/>
            <w:b/>
            <w:i/>
            <w:iCs/>
            <w:color w:val="0070C0"/>
            <w:sz w:val="21"/>
            <w:szCs w:val="21"/>
          </w:rPr>
          <w:t>V</w:t>
        </w:r>
        <w:r w:rsidR="00764CF5" w:rsidRPr="00D27FB8">
          <w:rPr>
            <w:rStyle w:val="Hyperlink"/>
            <w:b/>
            <w:i/>
            <w:iCs/>
            <w:color w:val="0070C0"/>
            <w:sz w:val="21"/>
            <w:szCs w:val="21"/>
          </w:rPr>
          <w:t>III – Ressarcimento de ta</w:t>
        </w:r>
        <w:r w:rsidR="007B1888">
          <w:rPr>
            <w:rStyle w:val="Hyperlink"/>
            <w:b/>
            <w:i/>
            <w:iCs/>
            <w:color w:val="0070C0"/>
            <w:sz w:val="21"/>
            <w:szCs w:val="21"/>
          </w:rPr>
          <w:t>rifas</w:t>
        </w:r>
        <w:r w:rsidR="00764CF5" w:rsidRPr="00D27FB8">
          <w:rPr>
            <w:rStyle w:val="Hyperlink"/>
            <w:b/>
            <w:i/>
            <w:iCs/>
            <w:color w:val="0070C0"/>
            <w:sz w:val="21"/>
            <w:szCs w:val="21"/>
          </w:rPr>
          <w:t xml:space="preserve"> bancárias aos CAU/UF</w:t>
        </w:r>
      </w:hyperlink>
    </w:p>
    <w:p w14:paraId="68D47458" w14:textId="0E5F26D9" w:rsidR="00764CF5" w:rsidRPr="00D27FB8" w:rsidRDefault="00DA0C5F" w:rsidP="00764CF5">
      <w:pPr>
        <w:tabs>
          <w:tab w:val="right" w:leader="dot" w:pos="9071"/>
        </w:tabs>
        <w:spacing w:after="240" w:line="240" w:lineRule="auto"/>
        <w:jc w:val="both"/>
        <w:rPr>
          <w:b/>
          <w:i/>
          <w:iCs/>
          <w:color w:val="0070C0"/>
          <w:sz w:val="21"/>
          <w:szCs w:val="21"/>
        </w:rPr>
      </w:pPr>
      <w:hyperlink r:id="rId26" w:history="1">
        <w:r w:rsidR="00764CF5" w:rsidRPr="00756F8A">
          <w:rPr>
            <w:rStyle w:val="Hyperlink"/>
            <w:b/>
            <w:i/>
            <w:iCs/>
            <w:sz w:val="21"/>
            <w:szCs w:val="21"/>
          </w:rPr>
          <w:t xml:space="preserve">ANEXO </w:t>
        </w:r>
        <w:r w:rsidR="00CC16F5" w:rsidRPr="00756F8A">
          <w:rPr>
            <w:rStyle w:val="Hyperlink"/>
            <w:b/>
            <w:i/>
            <w:iCs/>
            <w:sz w:val="21"/>
            <w:szCs w:val="21"/>
          </w:rPr>
          <w:t>IX</w:t>
        </w:r>
        <w:r w:rsidR="00764CF5" w:rsidRPr="00756F8A">
          <w:rPr>
            <w:rStyle w:val="Hyperlink"/>
            <w:b/>
            <w:i/>
            <w:iCs/>
            <w:sz w:val="21"/>
            <w:szCs w:val="21"/>
          </w:rPr>
          <w:t xml:space="preserve"> – Modelo para Elaboração da Programação do Plano de Ação e Orçamento – Exercício 202</w:t>
        </w:r>
        <w:r w:rsidR="00927574" w:rsidRPr="00756F8A">
          <w:rPr>
            <w:rStyle w:val="Hyperlink"/>
            <w:b/>
            <w:i/>
            <w:iCs/>
            <w:sz w:val="21"/>
            <w:szCs w:val="21"/>
          </w:rPr>
          <w:t>4</w:t>
        </w:r>
      </w:hyperlink>
    </w:p>
    <w:p w14:paraId="1E7D5362" w14:textId="0C8F3A2C" w:rsidR="000A7AEB" w:rsidRPr="004719E1" w:rsidRDefault="001C59BF" w:rsidP="00764CF5">
      <w:pPr>
        <w:tabs>
          <w:tab w:val="right" w:leader="dot" w:pos="9071"/>
        </w:tabs>
        <w:spacing w:after="240" w:line="240" w:lineRule="auto"/>
        <w:jc w:val="both"/>
        <w:rPr>
          <w:rStyle w:val="Hyperlink"/>
          <w:b/>
          <w:i/>
          <w:iCs/>
          <w:sz w:val="21"/>
          <w:szCs w:val="21"/>
        </w:rPr>
      </w:pPr>
      <w:r w:rsidRPr="004719E1">
        <w:rPr>
          <w:b/>
          <w:i/>
          <w:iCs/>
          <w:sz w:val="21"/>
          <w:szCs w:val="21"/>
        </w:rPr>
        <w:fldChar w:fldCharType="begin"/>
      </w:r>
      <w:r w:rsidRPr="004719E1">
        <w:rPr>
          <w:b/>
          <w:i/>
          <w:iCs/>
          <w:sz w:val="21"/>
          <w:szCs w:val="21"/>
        </w:rPr>
        <w:instrText xml:space="preserve"> HYPERLINK  \l "_ANEXO_X_–_2" </w:instrText>
      </w:r>
      <w:r w:rsidRPr="004719E1">
        <w:rPr>
          <w:b/>
          <w:i/>
          <w:iCs/>
          <w:sz w:val="21"/>
          <w:szCs w:val="21"/>
        </w:rPr>
        <w:fldChar w:fldCharType="separate"/>
      </w:r>
      <w:r w:rsidR="000A7AEB" w:rsidRPr="004719E1">
        <w:rPr>
          <w:rStyle w:val="Hyperlink"/>
          <w:b/>
          <w:i/>
          <w:iCs/>
          <w:sz w:val="21"/>
          <w:szCs w:val="21"/>
        </w:rPr>
        <w:t xml:space="preserve">ANEXO </w:t>
      </w:r>
      <w:r w:rsidR="00EB0AE6" w:rsidRPr="004719E1">
        <w:rPr>
          <w:rStyle w:val="Hyperlink"/>
          <w:b/>
          <w:i/>
          <w:iCs/>
          <w:sz w:val="21"/>
          <w:szCs w:val="21"/>
        </w:rPr>
        <w:t xml:space="preserve">X – </w:t>
      </w:r>
      <w:r w:rsidRPr="004719E1">
        <w:rPr>
          <w:rStyle w:val="Hyperlink"/>
          <w:rFonts w:eastAsia="Arial Unicode MS"/>
          <w:i/>
          <w:iCs/>
        </w:rPr>
        <w:t>Anexos dos Detalhamentos das Projeções da Receita do CAU</w:t>
      </w:r>
      <w:r w:rsidR="00A45BAF" w:rsidRPr="004719E1">
        <w:rPr>
          <w:rStyle w:val="Hyperlink"/>
          <w:b/>
          <w:i/>
          <w:iCs/>
          <w:sz w:val="21"/>
          <w:szCs w:val="21"/>
        </w:rPr>
        <w:t>:</w:t>
      </w:r>
    </w:p>
    <w:p w14:paraId="4A39E8FE" w14:textId="6EE70937" w:rsidR="00764CF5" w:rsidRPr="00A51790" w:rsidRDefault="001C59BF" w:rsidP="00E94498">
      <w:pPr>
        <w:pStyle w:val="PargrafodaLista"/>
        <w:numPr>
          <w:ilvl w:val="0"/>
          <w:numId w:val="21"/>
        </w:numPr>
        <w:tabs>
          <w:tab w:val="right" w:leader="dot" w:pos="9071"/>
        </w:tabs>
        <w:spacing w:after="240" w:line="360" w:lineRule="auto"/>
        <w:ind w:left="284" w:hanging="284"/>
        <w:jc w:val="both"/>
        <w:rPr>
          <w:b/>
          <w:sz w:val="21"/>
          <w:szCs w:val="21"/>
          <w:u w:val="single"/>
        </w:rPr>
      </w:pPr>
      <w:r w:rsidRPr="004719E1">
        <w:rPr>
          <w:rFonts w:eastAsiaTheme="minorHAnsi"/>
          <w:b/>
          <w:i/>
          <w:iCs/>
          <w:sz w:val="21"/>
          <w:szCs w:val="21"/>
          <w:lang w:eastAsia="en-US"/>
        </w:rPr>
        <w:fldChar w:fldCharType="end"/>
      </w:r>
      <w:r w:rsidR="00764CF5" w:rsidRPr="00A51790">
        <w:rPr>
          <w:b/>
          <w:sz w:val="21"/>
          <w:szCs w:val="21"/>
          <w:u w:val="single"/>
        </w:rPr>
        <w:t xml:space="preserve">ANEXO </w:t>
      </w:r>
      <w:r w:rsidR="005C3018" w:rsidRPr="00A51790">
        <w:rPr>
          <w:b/>
          <w:sz w:val="21"/>
          <w:szCs w:val="21"/>
          <w:u w:val="single"/>
        </w:rPr>
        <w:t>X</w:t>
      </w:r>
      <w:r w:rsidR="004B2C0B" w:rsidRPr="00A51790">
        <w:rPr>
          <w:b/>
          <w:sz w:val="21"/>
          <w:szCs w:val="21"/>
          <w:u w:val="single"/>
        </w:rPr>
        <w:t>.I</w:t>
      </w:r>
      <w:r w:rsidR="00764CF5" w:rsidRPr="00A51790">
        <w:rPr>
          <w:b/>
          <w:sz w:val="21"/>
          <w:szCs w:val="21"/>
          <w:u w:val="single"/>
        </w:rPr>
        <w:t xml:space="preserve"> – </w:t>
      </w:r>
      <w:r w:rsidR="003B2DA2">
        <w:rPr>
          <w:b/>
          <w:sz w:val="21"/>
          <w:szCs w:val="21"/>
          <w:u w:val="single"/>
        </w:rPr>
        <w:t>Detal</w:t>
      </w:r>
      <w:r w:rsidR="004C7477">
        <w:rPr>
          <w:b/>
          <w:sz w:val="21"/>
          <w:szCs w:val="21"/>
          <w:u w:val="single"/>
        </w:rPr>
        <w:t>ha</w:t>
      </w:r>
      <w:r w:rsidR="003B2DA2">
        <w:rPr>
          <w:b/>
          <w:sz w:val="21"/>
          <w:szCs w:val="21"/>
          <w:u w:val="single"/>
        </w:rPr>
        <w:t>mento da</w:t>
      </w:r>
      <w:r w:rsidR="004C7477">
        <w:rPr>
          <w:b/>
          <w:sz w:val="21"/>
          <w:szCs w:val="21"/>
          <w:u w:val="single"/>
        </w:rPr>
        <w:t xml:space="preserve"> </w:t>
      </w:r>
      <w:r w:rsidR="00764CF5" w:rsidRPr="00A51790">
        <w:rPr>
          <w:b/>
          <w:sz w:val="21"/>
          <w:szCs w:val="21"/>
          <w:u w:val="single"/>
        </w:rPr>
        <w:t>Projeção da Receita Total do CAU – Exercício 202</w:t>
      </w:r>
      <w:r w:rsidR="000C42BF">
        <w:rPr>
          <w:b/>
          <w:sz w:val="21"/>
          <w:szCs w:val="21"/>
          <w:u w:val="single"/>
        </w:rPr>
        <w:t>4</w:t>
      </w:r>
      <w:r w:rsidR="00764CF5" w:rsidRPr="00A51790">
        <w:rPr>
          <w:b/>
          <w:sz w:val="21"/>
          <w:szCs w:val="21"/>
          <w:u w:val="single"/>
        </w:rPr>
        <w:t xml:space="preserve"> (100%</w:t>
      </w:r>
      <w:r w:rsidR="00594DE4" w:rsidRPr="00A51790">
        <w:rPr>
          <w:b/>
          <w:sz w:val="21"/>
          <w:szCs w:val="21"/>
          <w:u w:val="single"/>
        </w:rPr>
        <w:t xml:space="preserve"> e 80%</w:t>
      </w:r>
      <w:r w:rsidR="00764CF5" w:rsidRPr="00A51790">
        <w:rPr>
          <w:b/>
          <w:sz w:val="21"/>
          <w:szCs w:val="21"/>
          <w:u w:val="single"/>
        </w:rPr>
        <w:t>)</w:t>
      </w:r>
    </w:p>
    <w:p w14:paraId="7DC85370" w14:textId="73752621" w:rsidR="00AF1B4D" w:rsidRPr="00A51790" w:rsidRDefault="00AF1B4D" w:rsidP="00E94498">
      <w:pPr>
        <w:pStyle w:val="PargrafodaLista"/>
        <w:numPr>
          <w:ilvl w:val="0"/>
          <w:numId w:val="21"/>
        </w:numPr>
        <w:tabs>
          <w:tab w:val="right" w:leader="dot" w:pos="9071"/>
        </w:tabs>
        <w:spacing w:after="240" w:line="360" w:lineRule="auto"/>
        <w:ind w:left="284" w:hanging="284"/>
        <w:jc w:val="both"/>
        <w:rPr>
          <w:b/>
          <w:sz w:val="21"/>
          <w:szCs w:val="21"/>
          <w:u w:val="single"/>
        </w:rPr>
      </w:pPr>
      <w:r w:rsidRPr="00A51790">
        <w:rPr>
          <w:b/>
          <w:sz w:val="21"/>
          <w:szCs w:val="21"/>
          <w:u w:val="single"/>
        </w:rPr>
        <w:t xml:space="preserve">ANEXO </w:t>
      </w:r>
      <w:r w:rsidR="005C3018" w:rsidRPr="00A51790">
        <w:rPr>
          <w:b/>
          <w:sz w:val="21"/>
          <w:szCs w:val="21"/>
          <w:u w:val="single"/>
        </w:rPr>
        <w:t>X</w:t>
      </w:r>
      <w:r w:rsidR="004B2C0B" w:rsidRPr="00A51790">
        <w:rPr>
          <w:b/>
          <w:sz w:val="21"/>
          <w:szCs w:val="21"/>
          <w:u w:val="single"/>
        </w:rPr>
        <w:t>.I</w:t>
      </w:r>
      <w:r w:rsidR="005C3018" w:rsidRPr="00A51790">
        <w:rPr>
          <w:b/>
          <w:sz w:val="21"/>
          <w:szCs w:val="21"/>
          <w:u w:val="single"/>
        </w:rPr>
        <w:t>I</w:t>
      </w:r>
      <w:r w:rsidRPr="00A51790">
        <w:rPr>
          <w:b/>
          <w:sz w:val="21"/>
          <w:szCs w:val="21"/>
          <w:u w:val="single"/>
        </w:rPr>
        <w:t xml:space="preserve"> – </w:t>
      </w:r>
      <w:r w:rsidR="004C7477">
        <w:rPr>
          <w:b/>
          <w:sz w:val="21"/>
          <w:szCs w:val="21"/>
          <w:u w:val="single"/>
        </w:rPr>
        <w:t>Detalhamento</w:t>
      </w:r>
      <w:r w:rsidR="004C7477" w:rsidRPr="00A51790">
        <w:rPr>
          <w:b/>
          <w:sz w:val="21"/>
          <w:szCs w:val="21"/>
          <w:u w:val="single"/>
        </w:rPr>
        <w:t xml:space="preserve"> </w:t>
      </w:r>
      <w:r w:rsidR="002951D8">
        <w:rPr>
          <w:b/>
          <w:sz w:val="21"/>
          <w:szCs w:val="21"/>
          <w:u w:val="single"/>
        </w:rPr>
        <w:t xml:space="preserve">da </w:t>
      </w:r>
      <w:r w:rsidRPr="00A51790">
        <w:rPr>
          <w:b/>
          <w:sz w:val="21"/>
          <w:szCs w:val="21"/>
          <w:u w:val="single"/>
        </w:rPr>
        <w:t>Projeção do Quantitativo</w:t>
      </w:r>
      <w:r w:rsidR="00192776" w:rsidRPr="00A51790">
        <w:rPr>
          <w:b/>
          <w:sz w:val="21"/>
          <w:szCs w:val="21"/>
          <w:u w:val="single"/>
        </w:rPr>
        <w:t>, Descontos e Valores</w:t>
      </w:r>
      <w:r w:rsidRPr="00A51790">
        <w:rPr>
          <w:b/>
          <w:sz w:val="21"/>
          <w:szCs w:val="21"/>
          <w:u w:val="single"/>
        </w:rPr>
        <w:t xml:space="preserve"> – Pessoa Física – Exercício 202</w:t>
      </w:r>
      <w:r w:rsidR="000C42BF">
        <w:rPr>
          <w:b/>
          <w:sz w:val="21"/>
          <w:szCs w:val="21"/>
          <w:u w:val="single"/>
        </w:rPr>
        <w:t>4</w:t>
      </w:r>
    </w:p>
    <w:p w14:paraId="7DC85375" w14:textId="1372547D" w:rsidR="0029084C" w:rsidRPr="00A51790" w:rsidRDefault="0029084C" w:rsidP="00E94498">
      <w:pPr>
        <w:pStyle w:val="PargrafodaLista"/>
        <w:numPr>
          <w:ilvl w:val="0"/>
          <w:numId w:val="21"/>
        </w:numPr>
        <w:tabs>
          <w:tab w:val="right" w:leader="dot" w:pos="9071"/>
        </w:tabs>
        <w:spacing w:after="240" w:line="360" w:lineRule="auto"/>
        <w:ind w:left="284" w:hanging="284"/>
        <w:jc w:val="both"/>
        <w:rPr>
          <w:b/>
          <w:sz w:val="21"/>
          <w:szCs w:val="21"/>
          <w:u w:val="single"/>
        </w:rPr>
      </w:pPr>
      <w:r w:rsidRPr="00A51790">
        <w:rPr>
          <w:b/>
          <w:sz w:val="21"/>
          <w:szCs w:val="21"/>
          <w:u w:val="single"/>
        </w:rPr>
        <w:t xml:space="preserve">ANEXO </w:t>
      </w:r>
      <w:r w:rsidR="004B2C0B" w:rsidRPr="00A51790">
        <w:rPr>
          <w:b/>
          <w:sz w:val="21"/>
          <w:szCs w:val="21"/>
          <w:u w:val="single"/>
        </w:rPr>
        <w:t>X.III</w:t>
      </w:r>
      <w:r w:rsidRPr="00A51790">
        <w:rPr>
          <w:b/>
          <w:sz w:val="21"/>
          <w:szCs w:val="21"/>
          <w:u w:val="single"/>
        </w:rPr>
        <w:t xml:space="preserve"> – </w:t>
      </w:r>
      <w:r w:rsidR="004C7477">
        <w:rPr>
          <w:b/>
          <w:sz w:val="21"/>
          <w:szCs w:val="21"/>
          <w:u w:val="single"/>
        </w:rPr>
        <w:t>Detalhamento</w:t>
      </w:r>
      <w:r w:rsidR="004C7477" w:rsidRPr="00A51790">
        <w:rPr>
          <w:b/>
          <w:sz w:val="21"/>
          <w:szCs w:val="21"/>
          <w:u w:val="single"/>
        </w:rPr>
        <w:t xml:space="preserve"> </w:t>
      </w:r>
      <w:r w:rsidR="002951D8">
        <w:rPr>
          <w:b/>
          <w:sz w:val="21"/>
          <w:szCs w:val="21"/>
          <w:u w:val="single"/>
        </w:rPr>
        <w:t xml:space="preserve">da </w:t>
      </w:r>
      <w:r w:rsidRPr="00A51790">
        <w:rPr>
          <w:b/>
          <w:sz w:val="21"/>
          <w:szCs w:val="21"/>
          <w:u w:val="single"/>
        </w:rPr>
        <w:t xml:space="preserve">Projeção do </w:t>
      </w:r>
      <w:r w:rsidR="00524493" w:rsidRPr="00A51790">
        <w:rPr>
          <w:b/>
          <w:sz w:val="21"/>
          <w:szCs w:val="21"/>
          <w:u w:val="single"/>
        </w:rPr>
        <w:t>Quantitativo, Descontos e Valores</w:t>
      </w:r>
      <w:r w:rsidRPr="00A51790">
        <w:rPr>
          <w:b/>
          <w:sz w:val="21"/>
          <w:szCs w:val="21"/>
          <w:u w:val="single"/>
        </w:rPr>
        <w:t xml:space="preserve"> – </w:t>
      </w:r>
      <w:r w:rsidR="004309DB" w:rsidRPr="00A51790">
        <w:rPr>
          <w:b/>
          <w:sz w:val="21"/>
          <w:szCs w:val="21"/>
          <w:u w:val="single"/>
        </w:rPr>
        <w:t xml:space="preserve">Pessoa Jurídica – </w:t>
      </w:r>
      <w:r w:rsidR="00751472" w:rsidRPr="00A51790">
        <w:rPr>
          <w:b/>
          <w:sz w:val="21"/>
          <w:szCs w:val="21"/>
          <w:u w:val="single"/>
        </w:rPr>
        <w:t>Exercício 202</w:t>
      </w:r>
      <w:r w:rsidR="00FF5D7B">
        <w:rPr>
          <w:b/>
          <w:sz w:val="21"/>
          <w:szCs w:val="21"/>
          <w:u w:val="single"/>
        </w:rPr>
        <w:t>4</w:t>
      </w:r>
    </w:p>
    <w:p w14:paraId="7DC85377" w14:textId="7F39C036" w:rsidR="0029084C" w:rsidRPr="00A51790" w:rsidRDefault="0029084C" w:rsidP="00E94498">
      <w:pPr>
        <w:pStyle w:val="PargrafodaLista"/>
        <w:numPr>
          <w:ilvl w:val="0"/>
          <w:numId w:val="21"/>
        </w:numPr>
        <w:tabs>
          <w:tab w:val="right" w:leader="dot" w:pos="9071"/>
        </w:tabs>
        <w:spacing w:after="240" w:line="360" w:lineRule="auto"/>
        <w:ind w:left="284" w:hanging="284"/>
        <w:jc w:val="both"/>
        <w:rPr>
          <w:b/>
          <w:sz w:val="21"/>
          <w:szCs w:val="21"/>
          <w:u w:val="single"/>
        </w:rPr>
      </w:pPr>
      <w:r w:rsidRPr="00A51790">
        <w:rPr>
          <w:b/>
          <w:sz w:val="21"/>
          <w:szCs w:val="21"/>
          <w:u w:val="single"/>
        </w:rPr>
        <w:t xml:space="preserve">ANEXO </w:t>
      </w:r>
      <w:r w:rsidR="004B2C0B" w:rsidRPr="00A51790">
        <w:rPr>
          <w:b/>
          <w:sz w:val="21"/>
          <w:szCs w:val="21"/>
          <w:u w:val="single"/>
        </w:rPr>
        <w:t>X.IV</w:t>
      </w:r>
      <w:r w:rsidRPr="00A51790">
        <w:rPr>
          <w:b/>
          <w:sz w:val="21"/>
          <w:szCs w:val="21"/>
          <w:u w:val="single"/>
        </w:rPr>
        <w:t xml:space="preserve"> – </w:t>
      </w:r>
      <w:r w:rsidR="004C7477">
        <w:rPr>
          <w:b/>
          <w:sz w:val="21"/>
          <w:szCs w:val="21"/>
          <w:u w:val="single"/>
        </w:rPr>
        <w:t>Detalhamento</w:t>
      </w:r>
      <w:r w:rsidR="004C7477" w:rsidRPr="00A51790">
        <w:rPr>
          <w:b/>
          <w:sz w:val="21"/>
          <w:szCs w:val="21"/>
          <w:u w:val="single"/>
        </w:rPr>
        <w:t xml:space="preserve"> </w:t>
      </w:r>
      <w:r w:rsidR="002951D8">
        <w:rPr>
          <w:b/>
          <w:sz w:val="21"/>
          <w:szCs w:val="21"/>
          <w:u w:val="single"/>
        </w:rPr>
        <w:t xml:space="preserve">da </w:t>
      </w:r>
      <w:r w:rsidRPr="00A51790">
        <w:rPr>
          <w:b/>
          <w:sz w:val="21"/>
          <w:szCs w:val="21"/>
          <w:u w:val="single"/>
        </w:rPr>
        <w:t>Projeção da</w:t>
      </w:r>
      <w:r w:rsidR="004309DB" w:rsidRPr="00A51790">
        <w:rPr>
          <w:b/>
          <w:sz w:val="21"/>
          <w:szCs w:val="21"/>
          <w:u w:val="single"/>
        </w:rPr>
        <w:t xml:space="preserve"> R</w:t>
      </w:r>
      <w:r w:rsidR="009A0F27" w:rsidRPr="00A51790">
        <w:rPr>
          <w:b/>
          <w:sz w:val="21"/>
          <w:szCs w:val="21"/>
          <w:u w:val="single"/>
        </w:rPr>
        <w:t xml:space="preserve">eceita de RRT – </w:t>
      </w:r>
      <w:r w:rsidR="00A10BC7" w:rsidRPr="00A51790">
        <w:rPr>
          <w:b/>
          <w:sz w:val="21"/>
          <w:szCs w:val="21"/>
          <w:u w:val="single"/>
        </w:rPr>
        <w:t>Rep</w:t>
      </w:r>
      <w:r w:rsidR="00E93123" w:rsidRPr="00A51790">
        <w:rPr>
          <w:b/>
          <w:sz w:val="21"/>
          <w:szCs w:val="21"/>
          <w:u w:val="single"/>
        </w:rPr>
        <w:t>rogramação</w:t>
      </w:r>
      <w:r w:rsidR="00751472" w:rsidRPr="00A51790">
        <w:rPr>
          <w:b/>
          <w:sz w:val="21"/>
          <w:szCs w:val="21"/>
          <w:u w:val="single"/>
        </w:rPr>
        <w:t xml:space="preserve"> 202</w:t>
      </w:r>
      <w:r w:rsidR="00FF5D7B">
        <w:rPr>
          <w:b/>
          <w:sz w:val="21"/>
          <w:szCs w:val="21"/>
          <w:u w:val="single"/>
        </w:rPr>
        <w:t>3</w:t>
      </w:r>
      <w:r w:rsidR="002D75E1" w:rsidRPr="00A51790">
        <w:rPr>
          <w:b/>
          <w:sz w:val="21"/>
          <w:szCs w:val="21"/>
          <w:u w:val="single"/>
        </w:rPr>
        <w:t xml:space="preserve"> </w:t>
      </w:r>
      <w:r w:rsidR="004309DB" w:rsidRPr="00A51790">
        <w:rPr>
          <w:b/>
          <w:sz w:val="21"/>
          <w:szCs w:val="21"/>
          <w:u w:val="single"/>
        </w:rPr>
        <w:t xml:space="preserve">x </w:t>
      </w:r>
      <w:r w:rsidR="00A10BC7" w:rsidRPr="00A51790">
        <w:rPr>
          <w:b/>
          <w:sz w:val="21"/>
          <w:szCs w:val="21"/>
          <w:u w:val="single"/>
        </w:rPr>
        <w:t>P</w:t>
      </w:r>
      <w:r w:rsidR="004309DB" w:rsidRPr="00A51790">
        <w:rPr>
          <w:b/>
          <w:sz w:val="21"/>
          <w:szCs w:val="21"/>
          <w:u w:val="single"/>
        </w:rPr>
        <w:t>rogramação 20</w:t>
      </w:r>
      <w:r w:rsidR="002F595A" w:rsidRPr="00A51790">
        <w:rPr>
          <w:b/>
          <w:sz w:val="21"/>
          <w:szCs w:val="21"/>
          <w:u w:val="single"/>
        </w:rPr>
        <w:t>2</w:t>
      </w:r>
      <w:r w:rsidR="00FF5D7B">
        <w:rPr>
          <w:b/>
          <w:sz w:val="21"/>
          <w:szCs w:val="21"/>
          <w:u w:val="single"/>
        </w:rPr>
        <w:t>4</w:t>
      </w:r>
    </w:p>
    <w:p w14:paraId="7DC85378" w14:textId="5BB8F534" w:rsidR="0029084C" w:rsidRPr="00A51790" w:rsidRDefault="0029084C" w:rsidP="00E94498">
      <w:pPr>
        <w:pStyle w:val="PargrafodaLista"/>
        <w:numPr>
          <w:ilvl w:val="0"/>
          <w:numId w:val="21"/>
        </w:numPr>
        <w:tabs>
          <w:tab w:val="right" w:leader="dot" w:pos="9071"/>
        </w:tabs>
        <w:spacing w:after="240" w:line="360" w:lineRule="auto"/>
        <w:ind w:left="284" w:hanging="284"/>
        <w:jc w:val="both"/>
        <w:rPr>
          <w:b/>
          <w:sz w:val="21"/>
          <w:szCs w:val="21"/>
          <w:u w:val="single"/>
        </w:rPr>
      </w:pPr>
      <w:r w:rsidRPr="00A51790">
        <w:rPr>
          <w:b/>
          <w:sz w:val="21"/>
          <w:szCs w:val="21"/>
          <w:u w:val="single"/>
        </w:rPr>
        <w:t xml:space="preserve">ANEXO </w:t>
      </w:r>
      <w:r w:rsidR="004B2C0B" w:rsidRPr="00A51790">
        <w:rPr>
          <w:b/>
          <w:sz w:val="21"/>
          <w:szCs w:val="21"/>
          <w:u w:val="single"/>
        </w:rPr>
        <w:t>X.V</w:t>
      </w:r>
      <w:r w:rsidRPr="00A51790">
        <w:rPr>
          <w:b/>
          <w:sz w:val="21"/>
          <w:szCs w:val="21"/>
          <w:u w:val="single"/>
        </w:rPr>
        <w:t xml:space="preserve"> – </w:t>
      </w:r>
      <w:r w:rsidR="004C7477">
        <w:rPr>
          <w:b/>
          <w:sz w:val="21"/>
          <w:szCs w:val="21"/>
          <w:u w:val="single"/>
        </w:rPr>
        <w:t>Detalhamento</w:t>
      </w:r>
      <w:r w:rsidR="004C7477" w:rsidRPr="00A51790">
        <w:rPr>
          <w:b/>
          <w:sz w:val="21"/>
          <w:szCs w:val="21"/>
          <w:u w:val="single"/>
        </w:rPr>
        <w:t xml:space="preserve"> </w:t>
      </w:r>
      <w:r w:rsidR="002951D8">
        <w:rPr>
          <w:b/>
          <w:sz w:val="21"/>
          <w:szCs w:val="21"/>
          <w:u w:val="single"/>
        </w:rPr>
        <w:t xml:space="preserve">da </w:t>
      </w:r>
      <w:r w:rsidRPr="00A51790">
        <w:rPr>
          <w:b/>
          <w:sz w:val="21"/>
          <w:szCs w:val="21"/>
          <w:u w:val="single"/>
        </w:rPr>
        <w:t>Projeção da Receita de</w:t>
      </w:r>
      <w:r w:rsidR="004309DB" w:rsidRPr="00A51790">
        <w:rPr>
          <w:b/>
          <w:sz w:val="21"/>
          <w:szCs w:val="21"/>
          <w:u w:val="single"/>
        </w:rPr>
        <w:t xml:space="preserve"> Taxas e Multas</w:t>
      </w:r>
      <w:r w:rsidR="00B23AA1" w:rsidRPr="00A51790">
        <w:rPr>
          <w:b/>
          <w:sz w:val="21"/>
          <w:szCs w:val="21"/>
          <w:u w:val="single"/>
        </w:rPr>
        <w:t xml:space="preserve"> do CAU</w:t>
      </w:r>
      <w:r w:rsidR="004309DB" w:rsidRPr="00A51790">
        <w:rPr>
          <w:b/>
          <w:sz w:val="21"/>
          <w:szCs w:val="21"/>
          <w:u w:val="single"/>
        </w:rPr>
        <w:t xml:space="preserve"> – </w:t>
      </w:r>
      <w:r w:rsidR="00751472" w:rsidRPr="00A51790">
        <w:rPr>
          <w:b/>
          <w:sz w:val="21"/>
          <w:szCs w:val="21"/>
          <w:u w:val="single"/>
        </w:rPr>
        <w:t>Exercício 202</w:t>
      </w:r>
      <w:r w:rsidR="00FF5D7B">
        <w:rPr>
          <w:b/>
          <w:sz w:val="21"/>
          <w:szCs w:val="21"/>
          <w:u w:val="single"/>
        </w:rPr>
        <w:t>4</w:t>
      </w:r>
    </w:p>
    <w:p w14:paraId="225D99F9" w14:textId="77777777" w:rsidR="00A45BAF" w:rsidRPr="00A71122" w:rsidRDefault="00A45BAF" w:rsidP="007606D7">
      <w:pPr>
        <w:tabs>
          <w:tab w:val="right" w:leader="dot" w:pos="9071"/>
        </w:tabs>
        <w:spacing w:after="240" w:line="240" w:lineRule="auto"/>
        <w:jc w:val="both"/>
        <w:rPr>
          <w:b/>
          <w:sz w:val="21"/>
          <w:szCs w:val="21"/>
          <w:u w:val="single"/>
        </w:rPr>
      </w:pPr>
    </w:p>
    <w:p w14:paraId="7DC85381" w14:textId="1BA16B54" w:rsidR="0037629D" w:rsidRDefault="0037629D" w:rsidP="006F1BF3">
      <w:pPr>
        <w:tabs>
          <w:tab w:val="right" w:leader="dot" w:pos="9071"/>
        </w:tabs>
        <w:spacing w:after="240" w:line="240" w:lineRule="auto"/>
        <w:jc w:val="both"/>
      </w:pPr>
    </w:p>
    <w:p w14:paraId="7DC85382" w14:textId="77777777" w:rsidR="00D80A3A" w:rsidRDefault="00D80A3A" w:rsidP="005332DD"/>
    <w:p w14:paraId="7DC85383" w14:textId="77777777" w:rsidR="00997D5B" w:rsidRDefault="00997D5B" w:rsidP="00A41827"/>
    <w:p w14:paraId="7DC85384" w14:textId="77777777" w:rsidR="00911843" w:rsidRDefault="00911843" w:rsidP="00A41827"/>
    <w:p w14:paraId="7DC85385" w14:textId="77777777" w:rsidR="00911843" w:rsidRDefault="00911843" w:rsidP="00A41827"/>
    <w:p w14:paraId="7DC85386" w14:textId="77777777" w:rsidR="00911843" w:rsidRDefault="00911843" w:rsidP="00A41827"/>
    <w:p w14:paraId="7DC85387" w14:textId="363B46AC" w:rsidR="00911843" w:rsidRDefault="00911843" w:rsidP="00A41827"/>
    <w:p w14:paraId="1B131140" w14:textId="77777777" w:rsidR="00DA1038" w:rsidRDefault="00DA1038" w:rsidP="00A41827"/>
    <w:p w14:paraId="7DC85388" w14:textId="53B69198" w:rsidR="00911843" w:rsidRDefault="00911843" w:rsidP="00A41827"/>
    <w:p w14:paraId="1DFC5BD9" w14:textId="755C4F52" w:rsidR="004E6D85" w:rsidRDefault="004E6D85" w:rsidP="00A41827"/>
    <w:p w14:paraId="715C0588" w14:textId="4BDC2830" w:rsidR="004E6D85" w:rsidRDefault="004E6D85" w:rsidP="00A41827"/>
    <w:p w14:paraId="57FE8590" w14:textId="3A9DC732" w:rsidR="00F913EB" w:rsidRDefault="00F913EB" w:rsidP="00A41827"/>
    <w:p w14:paraId="7DC85389" w14:textId="77777777" w:rsidR="00997D5B" w:rsidRDefault="00997D5B" w:rsidP="00A41827"/>
    <w:p w14:paraId="7DC8538A" w14:textId="77777777" w:rsidR="00997D5B" w:rsidRDefault="00997D5B" w:rsidP="00A41827"/>
    <w:p w14:paraId="7DC8538B" w14:textId="77777777" w:rsidR="00997D5B" w:rsidRDefault="00997D5B" w:rsidP="00A41827"/>
    <w:p w14:paraId="7DC8538C" w14:textId="77777777" w:rsidR="00997D5B" w:rsidRDefault="00997D5B" w:rsidP="00A41827"/>
    <w:p w14:paraId="7DC8538D" w14:textId="77777777" w:rsidR="00997D5B" w:rsidRPr="00A41827" w:rsidRDefault="00997D5B" w:rsidP="00A41827"/>
    <w:p w14:paraId="7DC8538E" w14:textId="4C122211" w:rsidR="00D80A3A" w:rsidRPr="00800B1B" w:rsidRDefault="00D80A3A" w:rsidP="00102273">
      <w:pPr>
        <w:pStyle w:val="Ttulo4"/>
        <w:spacing w:line="360" w:lineRule="auto"/>
        <w:jc w:val="center"/>
        <w:rPr>
          <w:rFonts w:eastAsia="Arial Unicode MS"/>
          <w:color w:val="612141"/>
        </w:rPr>
      </w:pPr>
      <w:bookmarkStart w:id="79" w:name="_ANEXO_I_–_1"/>
      <w:bookmarkStart w:id="80" w:name="_Toc424658689"/>
      <w:bookmarkStart w:id="81" w:name="_Toc487547246"/>
      <w:bookmarkStart w:id="82" w:name="_Hlk17033091"/>
      <w:bookmarkEnd w:id="79"/>
      <w:r w:rsidRPr="00800B1B">
        <w:rPr>
          <w:rFonts w:eastAsia="Arial Unicode MS"/>
          <w:color w:val="612141"/>
        </w:rPr>
        <w:t>ANEXO I – Indicadores Institucionais</w:t>
      </w:r>
      <w:bookmarkEnd w:id="80"/>
      <w:bookmarkEnd w:id="81"/>
      <w:r w:rsidR="00083E53" w:rsidRPr="00800B1B">
        <w:rPr>
          <w:rFonts w:eastAsia="Arial Unicode MS"/>
          <w:color w:val="612141"/>
        </w:rPr>
        <w:t xml:space="preserve"> e </w:t>
      </w:r>
      <w:r w:rsidR="004C0CF9" w:rsidRPr="00800B1B">
        <w:rPr>
          <w:rFonts w:eastAsia="Arial Unicode MS"/>
          <w:color w:val="612141"/>
        </w:rPr>
        <w:t xml:space="preserve">de </w:t>
      </w:r>
      <w:r w:rsidR="00083E53" w:rsidRPr="00800B1B">
        <w:rPr>
          <w:rFonts w:eastAsia="Arial Unicode MS"/>
          <w:color w:val="612141"/>
        </w:rPr>
        <w:t xml:space="preserve">Resultado </w:t>
      </w:r>
      <w:r w:rsidR="005B501E" w:rsidRPr="00800B1B">
        <w:rPr>
          <w:rFonts w:eastAsia="Arial Unicode MS"/>
          <w:color w:val="612141"/>
        </w:rPr>
        <w:t>–</w:t>
      </w:r>
      <w:r w:rsidR="00DA1038" w:rsidRPr="00800B1B">
        <w:rPr>
          <w:rFonts w:eastAsia="Arial Unicode MS"/>
          <w:color w:val="612141"/>
        </w:rPr>
        <w:t xml:space="preserve"> </w:t>
      </w:r>
      <w:r w:rsidR="00083E53" w:rsidRPr="00800B1B">
        <w:rPr>
          <w:rFonts w:eastAsia="Arial Unicode MS"/>
          <w:color w:val="612141"/>
        </w:rPr>
        <w:t>CAU UF</w:t>
      </w:r>
      <w:bookmarkEnd w:id="82"/>
    </w:p>
    <w:p w14:paraId="7DC8538F" w14:textId="10DE0592" w:rsidR="00D80A3A" w:rsidRDefault="00D80A3A" w:rsidP="00D80A3A">
      <w:pPr>
        <w:spacing w:line="360" w:lineRule="auto"/>
        <w:ind w:firstLine="851"/>
        <w:jc w:val="both"/>
        <w:rPr>
          <w:rFonts w:eastAsia="Arial Unicode MS" w:cs="Calibri"/>
          <w:sz w:val="24"/>
          <w:szCs w:val="24"/>
        </w:rPr>
      </w:pPr>
    </w:p>
    <w:p w14:paraId="308878FF" w14:textId="0D4556B9" w:rsidR="00517987" w:rsidRDefault="00556907" w:rsidP="00556907">
      <w:pPr>
        <w:tabs>
          <w:tab w:val="left" w:pos="3047"/>
        </w:tabs>
        <w:spacing w:line="360" w:lineRule="auto"/>
        <w:ind w:firstLine="851"/>
        <w:jc w:val="both"/>
        <w:rPr>
          <w:rFonts w:eastAsia="Arial Unicode MS" w:cs="Calibri"/>
          <w:sz w:val="24"/>
          <w:szCs w:val="24"/>
        </w:rPr>
      </w:pPr>
      <w:r>
        <w:rPr>
          <w:rFonts w:eastAsia="Arial Unicode MS" w:cs="Calibri"/>
          <w:sz w:val="24"/>
          <w:szCs w:val="24"/>
        </w:rPr>
        <w:tab/>
      </w:r>
    </w:p>
    <w:p w14:paraId="7DC85390" w14:textId="77777777" w:rsidR="00D80A3A" w:rsidRDefault="00D80A3A" w:rsidP="00D80A3A">
      <w:pPr>
        <w:spacing w:line="360" w:lineRule="auto"/>
        <w:rPr>
          <w:rFonts w:eastAsia="Arial Unicode MS" w:cs="Calibri"/>
          <w:sz w:val="24"/>
          <w:szCs w:val="24"/>
        </w:rPr>
      </w:pPr>
      <w:r>
        <w:rPr>
          <w:rFonts w:eastAsia="Arial Unicode MS" w:cs="Calibri"/>
          <w:sz w:val="24"/>
          <w:szCs w:val="24"/>
        </w:rPr>
        <w:br w:type="page"/>
      </w:r>
    </w:p>
    <w:p w14:paraId="7DC85391" w14:textId="77777777" w:rsidR="00D80A3A" w:rsidRDefault="00D80A3A" w:rsidP="00D80A3A">
      <w:pPr>
        <w:spacing w:line="360" w:lineRule="auto"/>
        <w:ind w:firstLine="851"/>
        <w:jc w:val="both"/>
        <w:rPr>
          <w:rFonts w:eastAsia="Arial Unicode MS" w:cs="Calibri"/>
          <w:sz w:val="24"/>
          <w:szCs w:val="24"/>
        </w:rPr>
        <w:sectPr w:rsidR="00D80A3A" w:rsidSect="008750ED">
          <w:headerReference w:type="default" r:id="rId27"/>
          <w:footerReference w:type="default" r:id="rId28"/>
          <w:headerReference w:type="first" r:id="rId29"/>
          <w:footerReference w:type="first" r:id="rId30"/>
          <w:pgSz w:w="11906" w:h="16838"/>
          <w:pgMar w:top="1701" w:right="1134" w:bottom="992" w:left="1701" w:header="709" w:footer="227" w:gutter="0"/>
          <w:cols w:space="708"/>
          <w:docGrid w:linePitch="360"/>
        </w:sectPr>
      </w:pPr>
    </w:p>
    <w:p w14:paraId="7DC85392" w14:textId="1DE0CE5C" w:rsidR="00F361F0" w:rsidRPr="004719E1" w:rsidRDefault="00AF1B4D" w:rsidP="001E2CF5">
      <w:pPr>
        <w:pStyle w:val="Ttulo5"/>
        <w:ind w:hanging="567"/>
        <w:jc w:val="left"/>
        <w:rPr>
          <w:rFonts w:eastAsia="Arial Unicode MS"/>
          <w:color w:val="auto"/>
        </w:rPr>
      </w:pPr>
      <w:bookmarkStart w:id="83" w:name="_ANEXO_I_–"/>
      <w:bookmarkStart w:id="84" w:name="_Toc83716313"/>
      <w:bookmarkEnd w:id="83"/>
      <w:r w:rsidRPr="004719E1">
        <w:rPr>
          <w:rFonts w:eastAsia="Arial Unicode MS"/>
          <w:color w:val="auto"/>
        </w:rPr>
        <w:t>ANEXO I – Indicadores Institucionais e de Resultado – CAU UF</w:t>
      </w:r>
      <w:bookmarkEnd w:id="84"/>
    </w:p>
    <w:tbl>
      <w:tblPr>
        <w:tblW w:w="15593" w:type="dxa"/>
        <w:tblInd w:w="-577" w:type="dxa"/>
        <w:tblLayout w:type="fixed"/>
        <w:tblCellMar>
          <w:left w:w="70" w:type="dxa"/>
          <w:right w:w="70" w:type="dxa"/>
        </w:tblCellMar>
        <w:tblLook w:val="04A0" w:firstRow="1" w:lastRow="0" w:firstColumn="1" w:lastColumn="0" w:noHBand="0" w:noVBand="1"/>
      </w:tblPr>
      <w:tblGrid>
        <w:gridCol w:w="1560"/>
        <w:gridCol w:w="1701"/>
        <w:gridCol w:w="1842"/>
        <w:gridCol w:w="4536"/>
        <w:gridCol w:w="2835"/>
        <w:gridCol w:w="709"/>
        <w:gridCol w:w="1276"/>
        <w:gridCol w:w="1134"/>
      </w:tblGrid>
      <w:tr w:rsidR="00F32CFF" w:rsidRPr="00E71C22" w14:paraId="74BBA866" w14:textId="77777777" w:rsidTr="003C22D5">
        <w:trPr>
          <w:trHeight w:val="1575"/>
        </w:trPr>
        <w:tc>
          <w:tcPr>
            <w:tcW w:w="1560"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6086699D" w14:textId="77777777" w:rsidR="00A510B9" w:rsidRPr="00A510B9" w:rsidRDefault="00A510B9" w:rsidP="00A510B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Perspectiva</w:t>
            </w:r>
          </w:p>
        </w:tc>
        <w:tc>
          <w:tcPr>
            <w:tcW w:w="1701" w:type="dxa"/>
            <w:tcBorders>
              <w:top w:val="single" w:sz="8" w:space="0" w:color="auto"/>
              <w:left w:val="nil"/>
              <w:bottom w:val="single" w:sz="8" w:space="0" w:color="auto"/>
              <w:right w:val="single" w:sz="4" w:space="0" w:color="auto"/>
            </w:tcBorders>
            <w:shd w:val="clear" w:color="auto" w:fill="ED7D31" w:themeFill="accent2"/>
            <w:vAlign w:val="center"/>
            <w:hideMark/>
          </w:tcPr>
          <w:p w14:paraId="1F8E9BE8" w14:textId="77777777" w:rsidR="00A510B9" w:rsidRPr="00A510B9" w:rsidRDefault="00A510B9" w:rsidP="00A510B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Objetivo Estratégico</w:t>
            </w:r>
          </w:p>
        </w:tc>
        <w:tc>
          <w:tcPr>
            <w:tcW w:w="1842" w:type="dxa"/>
            <w:tcBorders>
              <w:top w:val="single" w:sz="8" w:space="0" w:color="auto"/>
              <w:left w:val="nil"/>
              <w:bottom w:val="single" w:sz="8" w:space="0" w:color="auto"/>
              <w:right w:val="single" w:sz="4" w:space="0" w:color="auto"/>
            </w:tcBorders>
            <w:shd w:val="clear" w:color="auto" w:fill="ED7D31" w:themeFill="accent2"/>
            <w:vAlign w:val="center"/>
            <w:hideMark/>
          </w:tcPr>
          <w:p w14:paraId="3CFFCE07" w14:textId="1F622C87" w:rsidR="00A510B9" w:rsidRPr="00A510B9" w:rsidRDefault="00A510B9" w:rsidP="008517D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Indicador</w:t>
            </w:r>
          </w:p>
        </w:tc>
        <w:tc>
          <w:tcPr>
            <w:tcW w:w="4536" w:type="dxa"/>
            <w:tcBorders>
              <w:top w:val="single" w:sz="8" w:space="0" w:color="auto"/>
              <w:left w:val="nil"/>
              <w:bottom w:val="single" w:sz="8" w:space="0" w:color="auto"/>
              <w:right w:val="single" w:sz="4" w:space="0" w:color="auto"/>
            </w:tcBorders>
            <w:shd w:val="clear" w:color="auto" w:fill="ED7D31" w:themeFill="accent2"/>
            <w:vAlign w:val="center"/>
            <w:hideMark/>
          </w:tcPr>
          <w:p w14:paraId="3C8FA59B" w14:textId="77777777" w:rsidR="00A510B9" w:rsidRPr="00A510B9" w:rsidRDefault="00A510B9" w:rsidP="00A510B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Descrição</w:t>
            </w:r>
          </w:p>
        </w:tc>
        <w:tc>
          <w:tcPr>
            <w:tcW w:w="3544" w:type="dxa"/>
            <w:gridSpan w:val="2"/>
            <w:tcBorders>
              <w:top w:val="single" w:sz="8" w:space="0" w:color="auto"/>
              <w:left w:val="nil"/>
              <w:bottom w:val="single" w:sz="8" w:space="0" w:color="auto"/>
              <w:right w:val="single" w:sz="4" w:space="0" w:color="auto"/>
            </w:tcBorders>
            <w:shd w:val="clear" w:color="auto" w:fill="ED7D31" w:themeFill="accent2"/>
            <w:noWrap/>
            <w:vAlign w:val="center"/>
            <w:hideMark/>
          </w:tcPr>
          <w:p w14:paraId="6DD0F496" w14:textId="77777777" w:rsidR="00A510B9" w:rsidRPr="00A510B9" w:rsidRDefault="00A510B9" w:rsidP="00A510B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Fórmula de Cálculo</w:t>
            </w:r>
          </w:p>
        </w:tc>
        <w:tc>
          <w:tcPr>
            <w:tcW w:w="1276" w:type="dxa"/>
            <w:tcBorders>
              <w:top w:val="single" w:sz="8" w:space="0" w:color="auto"/>
              <w:left w:val="nil"/>
              <w:bottom w:val="single" w:sz="8" w:space="0" w:color="auto"/>
              <w:right w:val="single" w:sz="4" w:space="0" w:color="auto"/>
            </w:tcBorders>
            <w:shd w:val="clear" w:color="auto" w:fill="ED7D31" w:themeFill="accent2"/>
            <w:vAlign w:val="center"/>
            <w:hideMark/>
          </w:tcPr>
          <w:p w14:paraId="04441110" w14:textId="545C3FC2" w:rsidR="00A510B9" w:rsidRPr="00A510B9" w:rsidRDefault="00A510B9" w:rsidP="00A510B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Frequência</w:t>
            </w:r>
            <w:r w:rsidRPr="00A510B9">
              <w:rPr>
                <w:rFonts w:ascii="Calibri" w:eastAsia="Times New Roman" w:hAnsi="Calibri" w:cs="Calibri"/>
                <w:b/>
                <w:bCs/>
                <w:color w:val="FFFFFF"/>
                <w:sz w:val="20"/>
                <w:szCs w:val="20"/>
                <w:lang w:eastAsia="pt-BR"/>
              </w:rPr>
              <w:br/>
              <w:t>de Medição</w:t>
            </w:r>
          </w:p>
        </w:tc>
        <w:tc>
          <w:tcPr>
            <w:tcW w:w="1134" w:type="dxa"/>
            <w:tcBorders>
              <w:top w:val="single" w:sz="8" w:space="0" w:color="auto"/>
              <w:left w:val="nil"/>
              <w:bottom w:val="single" w:sz="8" w:space="0" w:color="auto"/>
              <w:right w:val="single" w:sz="8" w:space="0" w:color="auto"/>
            </w:tcBorders>
            <w:shd w:val="clear" w:color="auto" w:fill="ED7D31" w:themeFill="accent2"/>
            <w:vAlign w:val="center"/>
            <w:hideMark/>
          </w:tcPr>
          <w:p w14:paraId="424F3BF3" w14:textId="77777777" w:rsidR="00A510B9" w:rsidRPr="00A510B9" w:rsidRDefault="00A510B9" w:rsidP="00A510B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Fonte do Indicador</w:t>
            </w:r>
          </w:p>
        </w:tc>
      </w:tr>
      <w:tr w:rsidR="005D494E" w:rsidRPr="00E71C22" w14:paraId="241E36EA" w14:textId="77777777" w:rsidTr="00241217">
        <w:trPr>
          <w:trHeight w:val="1513"/>
        </w:trPr>
        <w:tc>
          <w:tcPr>
            <w:tcW w:w="156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E384A10"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Sociedade</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7E2F24"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Impactar significativamente o planejamento e a gestão do território</w:t>
            </w:r>
          </w:p>
        </w:tc>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E33E0F" w14:textId="288CA979" w:rsidR="00A510B9" w:rsidRPr="00A510B9" w:rsidRDefault="00A510B9" w:rsidP="00A510B9">
            <w:pPr>
              <w:spacing w:after="0" w:line="240" w:lineRule="auto"/>
              <w:jc w:val="center"/>
              <w:rPr>
                <w:rFonts w:ascii="Calibri" w:eastAsia="Times New Roman" w:hAnsi="Calibri" w:cs="Calibri"/>
                <w:color w:val="000000"/>
                <w:sz w:val="20"/>
                <w:szCs w:val="20"/>
                <w:lang w:eastAsia="pt-BR"/>
              </w:rPr>
            </w:pPr>
            <w:r w:rsidRPr="00A510B9">
              <w:rPr>
                <w:rFonts w:ascii="Calibri" w:eastAsia="Times New Roman" w:hAnsi="Calibri" w:cs="Calibri"/>
                <w:color w:val="000000"/>
                <w:sz w:val="20"/>
                <w:szCs w:val="20"/>
                <w:lang w:eastAsia="pt-BR"/>
              </w:rPr>
              <w:t xml:space="preserve">Índice de municípios que possuem </w:t>
            </w:r>
            <w:r w:rsidRPr="00A510B9">
              <w:rPr>
                <w:rFonts w:ascii="Calibri" w:eastAsia="Times New Roman" w:hAnsi="Calibri" w:cs="Calibri"/>
                <w:b/>
                <w:bCs/>
                <w:color w:val="000000"/>
                <w:sz w:val="20"/>
                <w:szCs w:val="20"/>
                <w:lang w:eastAsia="pt-BR"/>
              </w:rPr>
              <w:t>Plano Diretor</w:t>
            </w:r>
            <w:r w:rsidRPr="00A510B9">
              <w:rPr>
                <w:rFonts w:ascii="Calibri" w:eastAsia="Times New Roman" w:hAnsi="Calibri" w:cs="Calibri"/>
                <w:color w:val="000000"/>
                <w:sz w:val="20"/>
                <w:szCs w:val="20"/>
                <w:lang w:eastAsia="pt-BR"/>
              </w:rPr>
              <w:t xml:space="preserve">, em conformidade com os critérios da legislação (%) </w:t>
            </w:r>
            <w:r w:rsidRPr="00A510B9">
              <w:rPr>
                <w:rFonts w:ascii="Calibri" w:eastAsia="Times New Roman" w:hAnsi="Calibri" w:cs="Calibri"/>
                <w:color w:val="000000"/>
                <w:sz w:val="20"/>
                <w:szCs w:val="20"/>
                <w:lang w:eastAsia="pt-BR"/>
              </w:rPr>
              <w:br/>
            </w:r>
            <w:r w:rsidRPr="00A510B9">
              <w:rPr>
                <w:rFonts w:ascii="Calibri" w:eastAsia="Times New Roman" w:hAnsi="Calibri" w:cs="Calibri"/>
                <w:b/>
                <w:bCs/>
                <w:color w:val="000000"/>
                <w:sz w:val="20"/>
                <w:szCs w:val="20"/>
                <w:lang w:eastAsia="pt-BR"/>
              </w:rPr>
              <w:t xml:space="preserve">(CAU/UF) </w:t>
            </w:r>
          </w:p>
        </w:tc>
        <w:tc>
          <w:tcPr>
            <w:tcW w:w="453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D0B850" w14:textId="77777777" w:rsidR="00A510B9" w:rsidRPr="00A510B9" w:rsidRDefault="00A510B9" w:rsidP="00A510B9">
            <w:pPr>
              <w:spacing w:after="0" w:line="240" w:lineRule="auto"/>
              <w:jc w:val="both"/>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Mede se os municípios em cada UF estão melhorando sua consciência no desenvolvimento de políticas urbanas e ambientais</w:t>
            </w:r>
          </w:p>
        </w:tc>
        <w:tc>
          <w:tcPr>
            <w:tcW w:w="2835" w:type="dxa"/>
            <w:tcBorders>
              <w:top w:val="nil"/>
              <w:left w:val="nil"/>
              <w:bottom w:val="single" w:sz="4" w:space="0" w:color="auto"/>
              <w:right w:val="nil"/>
            </w:tcBorders>
            <w:shd w:val="clear" w:color="000000" w:fill="FFFFFF"/>
            <w:vAlign w:val="bottom"/>
            <w:hideMark/>
          </w:tcPr>
          <w:p w14:paraId="353BC070" w14:textId="43D215B8"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número</w:t>
            </w:r>
            <w:r w:rsidR="005D494E">
              <w:rPr>
                <w:rFonts w:ascii="Calibri" w:eastAsia="Times New Roman" w:hAnsi="Calibri" w:cs="Calibri"/>
                <w:sz w:val="20"/>
                <w:szCs w:val="20"/>
                <w:lang w:eastAsia="pt-BR"/>
              </w:rPr>
              <w:t>s</w:t>
            </w:r>
            <w:r w:rsidRPr="00A510B9">
              <w:rPr>
                <w:rFonts w:ascii="Calibri" w:eastAsia="Times New Roman" w:hAnsi="Calibri" w:cs="Calibri"/>
                <w:sz w:val="20"/>
                <w:szCs w:val="20"/>
                <w:lang w:eastAsia="pt-BR"/>
              </w:rPr>
              <w:t xml:space="preserve"> de municípios da UF que possuem Plano Diretor</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50524767" w14:textId="77777777" w:rsidR="00A510B9" w:rsidRPr="00A510B9" w:rsidRDefault="00A510B9" w:rsidP="00F1213C">
            <w:pPr>
              <w:spacing w:after="0" w:line="240" w:lineRule="auto"/>
              <w:ind w:left="-31"/>
              <w:jc w:val="center"/>
              <w:rPr>
                <w:rFonts w:ascii="Calibri" w:eastAsia="Times New Roman" w:hAnsi="Calibri" w:cs="Calibri"/>
                <w:color w:val="000000"/>
                <w:sz w:val="20"/>
                <w:szCs w:val="20"/>
                <w:lang w:eastAsia="pt-BR"/>
              </w:rPr>
            </w:pPr>
            <w:r w:rsidRPr="00A510B9">
              <w:rPr>
                <w:rFonts w:ascii="Calibri" w:eastAsia="Times New Roman" w:hAnsi="Calibri" w:cs="Calibri"/>
                <w:color w:val="000000"/>
                <w:sz w:val="20"/>
                <w:szCs w:val="20"/>
                <w:lang w:eastAsia="pt-BR"/>
              </w:rPr>
              <w:t>x 100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8A1587" w14:textId="77777777" w:rsidR="00A510B9" w:rsidRPr="00A510B9" w:rsidRDefault="00A510B9" w:rsidP="00A510B9">
            <w:pPr>
              <w:spacing w:after="0" w:line="240" w:lineRule="auto"/>
              <w:jc w:val="center"/>
              <w:rPr>
                <w:rFonts w:ascii="Calibri" w:eastAsia="Times New Roman" w:hAnsi="Calibri" w:cs="Calibri"/>
                <w:color w:val="000000"/>
                <w:sz w:val="20"/>
                <w:szCs w:val="20"/>
                <w:lang w:eastAsia="pt-BR"/>
              </w:rPr>
            </w:pPr>
            <w:r w:rsidRPr="00A510B9">
              <w:rPr>
                <w:rFonts w:ascii="Calibri" w:eastAsia="Times New Roman" w:hAnsi="Calibri" w:cs="Calibri"/>
                <w:color w:val="000000"/>
                <w:sz w:val="20"/>
                <w:szCs w:val="20"/>
                <w:lang w:eastAsia="pt-BR"/>
              </w:rPr>
              <w:t>Anual</w:t>
            </w:r>
          </w:p>
        </w:tc>
        <w:tc>
          <w:tcPr>
            <w:tcW w:w="1134" w:type="dxa"/>
            <w:vMerge w:val="restart"/>
            <w:tcBorders>
              <w:top w:val="nil"/>
              <w:left w:val="single" w:sz="4" w:space="0" w:color="auto"/>
              <w:bottom w:val="single" w:sz="4" w:space="0" w:color="auto"/>
              <w:right w:val="single" w:sz="8" w:space="0" w:color="auto"/>
            </w:tcBorders>
            <w:shd w:val="clear" w:color="000000" w:fill="FFFFFF"/>
            <w:vAlign w:val="center"/>
            <w:hideMark/>
          </w:tcPr>
          <w:p w14:paraId="6F68D773"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IBGE - Relatório Perfil dos Municípios Brasileiros                                                                                                                                                                                                                                                                                                          - IGEO</w:t>
            </w:r>
          </w:p>
        </w:tc>
      </w:tr>
      <w:tr w:rsidR="0017518A" w:rsidRPr="00E71C22" w14:paraId="557FDF8E" w14:textId="77777777" w:rsidTr="00D7736E">
        <w:trPr>
          <w:trHeight w:val="525"/>
        </w:trPr>
        <w:tc>
          <w:tcPr>
            <w:tcW w:w="1560" w:type="dxa"/>
            <w:vMerge/>
            <w:tcBorders>
              <w:top w:val="nil"/>
              <w:left w:val="single" w:sz="8" w:space="0" w:color="auto"/>
              <w:bottom w:val="single" w:sz="4" w:space="0" w:color="auto"/>
              <w:right w:val="single" w:sz="4" w:space="0" w:color="auto"/>
            </w:tcBorders>
            <w:vAlign w:val="center"/>
            <w:hideMark/>
          </w:tcPr>
          <w:p w14:paraId="362D6448"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auto"/>
              <w:right w:val="single" w:sz="4" w:space="0" w:color="auto"/>
            </w:tcBorders>
            <w:vAlign w:val="center"/>
            <w:hideMark/>
          </w:tcPr>
          <w:p w14:paraId="066CFD9E"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1842" w:type="dxa"/>
            <w:vMerge/>
            <w:tcBorders>
              <w:top w:val="nil"/>
              <w:left w:val="single" w:sz="4" w:space="0" w:color="auto"/>
              <w:bottom w:val="single" w:sz="4" w:space="0" w:color="auto"/>
              <w:right w:val="single" w:sz="4" w:space="0" w:color="auto"/>
            </w:tcBorders>
            <w:vAlign w:val="center"/>
            <w:hideMark/>
          </w:tcPr>
          <w:p w14:paraId="1E4A599D" w14:textId="77777777" w:rsidR="00A510B9" w:rsidRPr="00A510B9" w:rsidRDefault="00A510B9" w:rsidP="00A510B9">
            <w:pPr>
              <w:spacing w:after="0" w:line="240" w:lineRule="auto"/>
              <w:rPr>
                <w:rFonts w:ascii="Calibri" w:eastAsia="Times New Roman" w:hAnsi="Calibri" w:cs="Calibri"/>
                <w:color w:val="000000"/>
                <w:sz w:val="20"/>
                <w:szCs w:val="20"/>
                <w:lang w:eastAsia="pt-BR"/>
              </w:rPr>
            </w:pPr>
          </w:p>
        </w:tc>
        <w:tc>
          <w:tcPr>
            <w:tcW w:w="4536" w:type="dxa"/>
            <w:vMerge/>
            <w:tcBorders>
              <w:top w:val="nil"/>
              <w:left w:val="single" w:sz="4" w:space="0" w:color="auto"/>
              <w:bottom w:val="single" w:sz="4" w:space="0" w:color="auto"/>
              <w:right w:val="single" w:sz="4" w:space="0" w:color="auto"/>
            </w:tcBorders>
            <w:vAlign w:val="center"/>
            <w:hideMark/>
          </w:tcPr>
          <w:p w14:paraId="255C8CE4"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2835" w:type="dxa"/>
            <w:tcBorders>
              <w:top w:val="nil"/>
              <w:left w:val="nil"/>
              <w:bottom w:val="single" w:sz="4" w:space="0" w:color="auto"/>
              <w:right w:val="nil"/>
            </w:tcBorders>
            <w:shd w:val="clear" w:color="000000" w:fill="FFFFFF"/>
            <w:hideMark/>
          </w:tcPr>
          <w:p w14:paraId="6A95CAC9"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total de municípios da UF</w:t>
            </w:r>
          </w:p>
        </w:tc>
        <w:tc>
          <w:tcPr>
            <w:tcW w:w="709" w:type="dxa"/>
            <w:vMerge/>
            <w:tcBorders>
              <w:top w:val="nil"/>
              <w:left w:val="nil"/>
              <w:bottom w:val="single" w:sz="4" w:space="0" w:color="auto"/>
              <w:right w:val="single" w:sz="4" w:space="0" w:color="auto"/>
            </w:tcBorders>
            <w:vAlign w:val="center"/>
            <w:hideMark/>
          </w:tcPr>
          <w:p w14:paraId="0F91778F" w14:textId="77777777" w:rsidR="00A510B9" w:rsidRPr="00A510B9" w:rsidRDefault="00A510B9" w:rsidP="00A510B9">
            <w:pPr>
              <w:spacing w:after="0" w:line="240" w:lineRule="auto"/>
              <w:rPr>
                <w:rFonts w:ascii="Calibri" w:eastAsia="Times New Roman" w:hAnsi="Calibri" w:cs="Calibri"/>
                <w:color w:val="000000"/>
                <w:sz w:val="20"/>
                <w:szCs w:val="20"/>
                <w:lang w:eastAsia="pt-BR"/>
              </w:rPr>
            </w:pPr>
          </w:p>
        </w:tc>
        <w:tc>
          <w:tcPr>
            <w:tcW w:w="1276" w:type="dxa"/>
            <w:vMerge/>
            <w:tcBorders>
              <w:top w:val="nil"/>
              <w:left w:val="single" w:sz="4" w:space="0" w:color="auto"/>
              <w:bottom w:val="single" w:sz="4" w:space="0" w:color="auto"/>
              <w:right w:val="single" w:sz="4" w:space="0" w:color="auto"/>
            </w:tcBorders>
            <w:vAlign w:val="center"/>
            <w:hideMark/>
          </w:tcPr>
          <w:p w14:paraId="5AA46A10" w14:textId="77777777" w:rsidR="00A510B9" w:rsidRPr="00A510B9" w:rsidRDefault="00A510B9" w:rsidP="00A510B9">
            <w:pPr>
              <w:spacing w:after="0" w:line="240" w:lineRule="auto"/>
              <w:rPr>
                <w:rFonts w:ascii="Calibri" w:eastAsia="Times New Roman" w:hAnsi="Calibri" w:cs="Calibri"/>
                <w:color w:val="000000"/>
                <w:sz w:val="20"/>
                <w:szCs w:val="20"/>
                <w:lang w:eastAsia="pt-BR"/>
              </w:rPr>
            </w:pPr>
          </w:p>
        </w:tc>
        <w:tc>
          <w:tcPr>
            <w:tcW w:w="1134" w:type="dxa"/>
            <w:vMerge/>
            <w:tcBorders>
              <w:top w:val="nil"/>
              <w:left w:val="single" w:sz="4" w:space="0" w:color="auto"/>
              <w:bottom w:val="single" w:sz="4" w:space="0" w:color="auto"/>
              <w:right w:val="single" w:sz="8" w:space="0" w:color="auto"/>
            </w:tcBorders>
            <w:vAlign w:val="center"/>
            <w:hideMark/>
          </w:tcPr>
          <w:p w14:paraId="7085BBBB" w14:textId="77777777" w:rsidR="00A510B9" w:rsidRPr="00A510B9" w:rsidRDefault="00A510B9" w:rsidP="00A510B9">
            <w:pPr>
              <w:spacing w:after="0" w:line="240" w:lineRule="auto"/>
              <w:rPr>
                <w:rFonts w:ascii="Calibri" w:eastAsia="Times New Roman" w:hAnsi="Calibri" w:cs="Calibri"/>
                <w:sz w:val="20"/>
                <w:szCs w:val="20"/>
                <w:lang w:eastAsia="pt-BR"/>
              </w:rPr>
            </w:pPr>
          </w:p>
        </w:tc>
      </w:tr>
      <w:tr w:rsidR="005D494E" w:rsidRPr="00E71C22" w14:paraId="1E69AE4C" w14:textId="77777777" w:rsidTr="00241217">
        <w:trPr>
          <w:trHeight w:val="1978"/>
        </w:trPr>
        <w:tc>
          <w:tcPr>
            <w:tcW w:w="1560" w:type="dxa"/>
            <w:vMerge w:val="restart"/>
            <w:tcBorders>
              <w:top w:val="nil"/>
              <w:left w:val="single" w:sz="8" w:space="0" w:color="auto"/>
              <w:bottom w:val="single" w:sz="4" w:space="0" w:color="000000"/>
              <w:right w:val="single" w:sz="4" w:space="0" w:color="auto"/>
            </w:tcBorders>
            <w:shd w:val="clear" w:color="auto" w:fill="auto"/>
            <w:vAlign w:val="center"/>
            <w:hideMark/>
          </w:tcPr>
          <w:p w14:paraId="25B036B6"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Processos Internos (Excelência Organizacional)</w:t>
            </w:r>
          </w:p>
        </w:tc>
        <w:tc>
          <w:tcPr>
            <w:tcW w:w="170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2F9BB6"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Tornar a fiscalização um vetor de melhoria</w:t>
            </w:r>
          </w:p>
        </w:tc>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758CC7"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 xml:space="preserve">Índice da capacidade de fiscalização (%) </w:t>
            </w:r>
            <w:r w:rsidRPr="00A510B9">
              <w:rPr>
                <w:rFonts w:ascii="Calibri" w:eastAsia="Times New Roman" w:hAnsi="Calibri" w:cs="Calibri"/>
                <w:sz w:val="20"/>
                <w:szCs w:val="20"/>
                <w:lang w:eastAsia="pt-BR"/>
              </w:rPr>
              <w:br/>
            </w:r>
            <w:r w:rsidRPr="00A510B9">
              <w:rPr>
                <w:rFonts w:ascii="Calibri" w:eastAsia="Times New Roman" w:hAnsi="Calibri" w:cs="Calibri"/>
                <w:b/>
                <w:bCs/>
                <w:sz w:val="20"/>
                <w:szCs w:val="20"/>
                <w:lang w:eastAsia="pt-BR"/>
              </w:rPr>
              <w:t xml:space="preserve">(CAU/UF) </w:t>
            </w:r>
          </w:p>
        </w:tc>
        <w:tc>
          <w:tcPr>
            <w:tcW w:w="453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3ABFD0" w14:textId="2F030088" w:rsidR="00F72905" w:rsidRDefault="00A510B9" w:rsidP="00A510B9">
            <w:pPr>
              <w:spacing w:after="0" w:line="240" w:lineRule="auto"/>
              <w:jc w:val="both"/>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Indicador para medir a capacidade de fiscalização do CAU/UF. Compara a quantidade ações de fiscalização no período com a quantidade serviços de ações propostas de serem fiscalizadas, conforme a meta definida no Plano de Ação aprovado.</w:t>
            </w:r>
          </w:p>
          <w:p w14:paraId="75A68B47" w14:textId="6CDD7E94" w:rsidR="00A510B9" w:rsidRPr="00A510B9" w:rsidRDefault="00A510B9" w:rsidP="00A510B9">
            <w:pPr>
              <w:spacing w:after="0" w:line="240" w:lineRule="auto"/>
              <w:jc w:val="both"/>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Por ações de fiscalização entende-se todas as atividades profissionais "fiscalizáveis" pelo CAU, que constam nos 07 (sete) grupos de atividades da Resolução CAU/BR nº 21/2012, além dos itens: Placas de Obras; Editais de Concursos Públicos e Editais de Licitações; e de Fiscalização entre outros.</w:t>
            </w:r>
          </w:p>
        </w:tc>
        <w:tc>
          <w:tcPr>
            <w:tcW w:w="2835" w:type="dxa"/>
            <w:tcBorders>
              <w:top w:val="nil"/>
              <w:left w:val="nil"/>
              <w:bottom w:val="single" w:sz="4" w:space="0" w:color="auto"/>
              <w:right w:val="nil"/>
            </w:tcBorders>
            <w:shd w:val="clear" w:color="000000" w:fill="FFFFFF"/>
            <w:vAlign w:val="bottom"/>
            <w:hideMark/>
          </w:tcPr>
          <w:p w14:paraId="113A0C98"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 xml:space="preserve">quantidade de ações de fiscalização realizadas pelo CAU/UF no mês </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7B01E8F9" w14:textId="77777777" w:rsidR="00A510B9" w:rsidRPr="00A510B9" w:rsidRDefault="00A510B9" w:rsidP="0017518A">
            <w:pPr>
              <w:spacing w:after="0" w:line="240" w:lineRule="auto"/>
              <w:jc w:val="center"/>
              <w:rPr>
                <w:rFonts w:ascii="Calibri" w:eastAsia="Times New Roman" w:hAnsi="Calibri" w:cs="Calibri"/>
                <w:color w:val="000000"/>
                <w:sz w:val="20"/>
                <w:szCs w:val="20"/>
                <w:lang w:eastAsia="pt-BR"/>
              </w:rPr>
            </w:pPr>
            <w:r w:rsidRPr="00A510B9">
              <w:rPr>
                <w:rFonts w:ascii="Calibri" w:eastAsia="Times New Roman" w:hAnsi="Calibri" w:cs="Calibri"/>
                <w:color w:val="000000"/>
                <w:sz w:val="20"/>
                <w:szCs w:val="20"/>
                <w:lang w:eastAsia="pt-BR"/>
              </w:rPr>
              <w:t>x 100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539CC9"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br/>
              <w:t xml:space="preserve">Mensal </w:t>
            </w:r>
          </w:p>
        </w:tc>
        <w:tc>
          <w:tcPr>
            <w:tcW w:w="1134" w:type="dxa"/>
            <w:vMerge w:val="restart"/>
            <w:tcBorders>
              <w:top w:val="nil"/>
              <w:left w:val="single" w:sz="4" w:space="0" w:color="auto"/>
              <w:bottom w:val="single" w:sz="4" w:space="0" w:color="auto"/>
              <w:right w:val="single" w:sz="8" w:space="0" w:color="auto"/>
            </w:tcBorders>
            <w:shd w:val="clear" w:color="000000" w:fill="FFFFFF"/>
            <w:vAlign w:val="center"/>
            <w:hideMark/>
          </w:tcPr>
          <w:p w14:paraId="09B2761B"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 xml:space="preserve">SICCAU </w:t>
            </w:r>
          </w:p>
        </w:tc>
      </w:tr>
      <w:tr w:rsidR="0017518A" w:rsidRPr="00E71C22" w14:paraId="137087EC" w14:textId="77777777" w:rsidTr="0017518A">
        <w:trPr>
          <w:trHeight w:val="1967"/>
        </w:trPr>
        <w:tc>
          <w:tcPr>
            <w:tcW w:w="1560" w:type="dxa"/>
            <w:vMerge/>
            <w:tcBorders>
              <w:top w:val="nil"/>
              <w:left w:val="single" w:sz="8" w:space="0" w:color="auto"/>
              <w:bottom w:val="single" w:sz="4" w:space="0" w:color="000000"/>
              <w:right w:val="single" w:sz="4" w:space="0" w:color="auto"/>
            </w:tcBorders>
            <w:vAlign w:val="center"/>
            <w:hideMark/>
          </w:tcPr>
          <w:p w14:paraId="57504DD5"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000000"/>
              <w:right w:val="single" w:sz="4" w:space="0" w:color="auto"/>
            </w:tcBorders>
            <w:vAlign w:val="center"/>
            <w:hideMark/>
          </w:tcPr>
          <w:p w14:paraId="3EC6D55F"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1842" w:type="dxa"/>
            <w:vMerge/>
            <w:tcBorders>
              <w:top w:val="nil"/>
              <w:left w:val="single" w:sz="4" w:space="0" w:color="auto"/>
              <w:bottom w:val="single" w:sz="4" w:space="0" w:color="auto"/>
              <w:right w:val="single" w:sz="4" w:space="0" w:color="auto"/>
            </w:tcBorders>
            <w:vAlign w:val="center"/>
            <w:hideMark/>
          </w:tcPr>
          <w:p w14:paraId="6CF4740D"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4536" w:type="dxa"/>
            <w:vMerge/>
            <w:tcBorders>
              <w:top w:val="nil"/>
              <w:left w:val="single" w:sz="4" w:space="0" w:color="auto"/>
              <w:bottom w:val="single" w:sz="4" w:space="0" w:color="auto"/>
              <w:right w:val="single" w:sz="4" w:space="0" w:color="auto"/>
            </w:tcBorders>
            <w:vAlign w:val="center"/>
            <w:hideMark/>
          </w:tcPr>
          <w:p w14:paraId="79150F0E"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2835" w:type="dxa"/>
            <w:tcBorders>
              <w:top w:val="nil"/>
              <w:left w:val="nil"/>
              <w:bottom w:val="single" w:sz="4" w:space="0" w:color="auto"/>
              <w:right w:val="nil"/>
            </w:tcBorders>
            <w:shd w:val="clear" w:color="000000" w:fill="FFFFFF"/>
            <w:hideMark/>
          </w:tcPr>
          <w:p w14:paraId="37EF8180"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número de ações de fiscalização previstas no Plano de Ação aprovado</w:t>
            </w:r>
            <w:r w:rsidRPr="00A510B9">
              <w:rPr>
                <w:rFonts w:ascii="Calibri" w:eastAsia="Times New Roman" w:hAnsi="Calibri" w:cs="Calibri"/>
                <w:b/>
                <w:bCs/>
                <w:color w:val="FF0000"/>
                <w:sz w:val="20"/>
                <w:szCs w:val="20"/>
                <w:lang w:eastAsia="pt-BR"/>
              </w:rPr>
              <w:t xml:space="preserve"> </w:t>
            </w:r>
          </w:p>
        </w:tc>
        <w:tc>
          <w:tcPr>
            <w:tcW w:w="709" w:type="dxa"/>
            <w:vMerge/>
            <w:tcBorders>
              <w:top w:val="nil"/>
              <w:left w:val="nil"/>
              <w:bottom w:val="single" w:sz="4" w:space="0" w:color="auto"/>
              <w:right w:val="single" w:sz="4" w:space="0" w:color="auto"/>
            </w:tcBorders>
            <w:vAlign w:val="center"/>
            <w:hideMark/>
          </w:tcPr>
          <w:p w14:paraId="7A47D740" w14:textId="77777777" w:rsidR="00A510B9" w:rsidRPr="00A510B9" w:rsidRDefault="00A510B9" w:rsidP="00A510B9">
            <w:pPr>
              <w:spacing w:after="0" w:line="240" w:lineRule="auto"/>
              <w:rPr>
                <w:rFonts w:ascii="Calibri" w:eastAsia="Times New Roman" w:hAnsi="Calibri" w:cs="Calibri"/>
                <w:color w:val="000000"/>
                <w:sz w:val="20"/>
                <w:szCs w:val="20"/>
                <w:lang w:eastAsia="pt-BR"/>
              </w:rPr>
            </w:pPr>
          </w:p>
        </w:tc>
        <w:tc>
          <w:tcPr>
            <w:tcW w:w="1276" w:type="dxa"/>
            <w:vMerge/>
            <w:tcBorders>
              <w:top w:val="nil"/>
              <w:left w:val="single" w:sz="4" w:space="0" w:color="auto"/>
              <w:bottom w:val="single" w:sz="4" w:space="0" w:color="auto"/>
              <w:right w:val="single" w:sz="4" w:space="0" w:color="auto"/>
            </w:tcBorders>
            <w:vAlign w:val="center"/>
            <w:hideMark/>
          </w:tcPr>
          <w:p w14:paraId="3119A498"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8" w:space="0" w:color="auto"/>
            </w:tcBorders>
            <w:vAlign w:val="center"/>
            <w:hideMark/>
          </w:tcPr>
          <w:p w14:paraId="3FCC15E3" w14:textId="77777777" w:rsidR="00A510B9" w:rsidRPr="00A510B9" w:rsidRDefault="00A510B9" w:rsidP="00A510B9">
            <w:pPr>
              <w:spacing w:after="0" w:line="240" w:lineRule="auto"/>
              <w:rPr>
                <w:rFonts w:ascii="Calibri" w:eastAsia="Times New Roman" w:hAnsi="Calibri" w:cs="Calibri"/>
                <w:sz w:val="20"/>
                <w:szCs w:val="20"/>
                <w:lang w:eastAsia="pt-BR"/>
              </w:rPr>
            </w:pPr>
          </w:p>
        </w:tc>
      </w:tr>
    </w:tbl>
    <w:p w14:paraId="5C058081" w14:textId="77777777" w:rsidR="00996FD4" w:rsidRDefault="00996FD4" w:rsidP="0041600C">
      <w:pPr>
        <w:spacing w:after="0"/>
        <w:ind w:left="-567"/>
        <w:rPr>
          <w:rFonts w:asciiTheme="majorHAnsi" w:hAnsiTheme="majorHAnsi" w:cstheme="majorHAnsi"/>
          <w:b/>
          <w:bCs/>
        </w:rPr>
      </w:pPr>
    </w:p>
    <w:p w14:paraId="0D9D7422" w14:textId="77777777" w:rsidR="00996FD4" w:rsidRDefault="00996FD4" w:rsidP="0041600C">
      <w:pPr>
        <w:spacing w:after="0"/>
        <w:ind w:left="-567"/>
        <w:rPr>
          <w:rFonts w:asciiTheme="majorHAnsi" w:hAnsiTheme="majorHAnsi" w:cstheme="majorHAnsi"/>
          <w:b/>
          <w:bCs/>
        </w:rPr>
      </w:pPr>
    </w:p>
    <w:p w14:paraId="11739965" w14:textId="77777777" w:rsidR="00996FD4" w:rsidRDefault="00996FD4" w:rsidP="0041600C">
      <w:pPr>
        <w:spacing w:after="0"/>
        <w:ind w:left="-567"/>
        <w:rPr>
          <w:rFonts w:asciiTheme="majorHAnsi" w:hAnsiTheme="majorHAnsi" w:cstheme="majorHAnsi"/>
          <w:b/>
          <w:bCs/>
        </w:rPr>
      </w:pPr>
    </w:p>
    <w:p w14:paraId="4B47044A" w14:textId="77777777" w:rsidR="00996FD4" w:rsidRDefault="00996FD4" w:rsidP="0041600C">
      <w:pPr>
        <w:spacing w:after="0"/>
        <w:ind w:left="-567"/>
        <w:rPr>
          <w:rFonts w:asciiTheme="majorHAnsi" w:hAnsiTheme="majorHAnsi" w:cstheme="majorHAnsi"/>
          <w:b/>
          <w:bCs/>
        </w:rPr>
      </w:pPr>
    </w:p>
    <w:p w14:paraId="03539691" w14:textId="1AD07C8E" w:rsidR="00002E12" w:rsidRPr="004719E1" w:rsidRDefault="00002E12" w:rsidP="0041600C">
      <w:pPr>
        <w:spacing w:after="0"/>
        <w:ind w:left="-567"/>
        <w:rPr>
          <w:rFonts w:asciiTheme="majorHAnsi" w:hAnsiTheme="majorHAnsi" w:cstheme="majorHAnsi"/>
          <w:b/>
          <w:bCs/>
        </w:rPr>
      </w:pPr>
      <w:r w:rsidRPr="004719E1">
        <w:rPr>
          <w:rFonts w:asciiTheme="majorHAnsi" w:hAnsiTheme="majorHAnsi" w:cstheme="majorHAnsi"/>
          <w:b/>
          <w:bCs/>
        </w:rPr>
        <w:t>ANEXO I</w:t>
      </w:r>
      <w:r w:rsidR="007109CF" w:rsidRPr="004719E1">
        <w:rPr>
          <w:rFonts w:asciiTheme="majorHAnsi" w:hAnsiTheme="majorHAnsi" w:cstheme="majorHAnsi"/>
          <w:b/>
          <w:bCs/>
        </w:rPr>
        <w:t>.a</w:t>
      </w:r>
      <w:r w:rsidRPr="004719E1">
        <w:rPr>
          <w:rFonts w:asciiTheme="majorHAnsi" w:hAnsiTheme="majorHAnsi" w:cstheme="majorHAnsi"/>
          <w:b/>
          <w:bCs/>
        </w:rPr>
        <w:t xml:space="preserve"> – Indicadores Institucionais e de Resultado – CAU UF</w:t>
      </w:r>
    </w:p>
    <w:tbl>
      <w:tblPr>
        <w:tblW w:w="15593" w:type="dxa"/>
        <w:tblInd w:w="-577" w:type="dxa"/>
        <w:tblCellMar>
          <w:left w:w="70" w:type="dxa"/>
          <w:right w:w="70" w:type="dxa"/>
        </w:tblCellMar>
        <w:tblLook w:val="04A0" w:firstRow="1" w:lastRow="0" w:firstColumn="1" w:lastColumn="0" w:noHBand="0" w:noVBand="1"/>
      </w:tblPr>
      <w:tblGrid>
        <w:gridCol w:w="1467"/>
        <w:gridCol w:w="1794"/>
        <w:gridCol w:w="1842"/>
        <w:gridCol w:w="5402"/>
        <w:gridCol w:w="1969"/>
        <w:gridCol w:w="853"/>
        <w:gridCol w:w="1132"/>
        <w:gridCol w:w="1134"/>
      </w:tblGrid>
      <w:tr w:rsidR="00002E12" w:rsidRPr="00002E12" w14:paraId="002FA721" w14:textId="77777777" w:rsidTr="00335B2F">
        <w:trPr>
          <w:trHeight w:val="1575"/>
        </w:trPr>
        <w:tc>
          <w:tcPr>
            <w:tcW w:w="1467"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641AF0F6" w14:textId="77777777"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Perspectiva</w:t>
            </w:r>
          </w:p>
        </w:tc>
        <w:tc>
          <w:tcPr>
            <w:tcW w:w="1794" w:type="dxa"/>
            <w:tcBorders>
              <w:top w:val="single" w:sz="8" w:space="0" w:color="auto"/>
              <w:left w:val="nil"/>
              <w:bottom w:val="single" w:sz="8" w:space="0" w:color="auto"/>
              <w:right w:val="single" w:sz="4" w:space="0" w:color="auto"/>
            </w:tcBorders>
            <w:shd w:val="clear" w:color="auto" w:fill="ED7D31" w:themeFill="accent2"/>
            <w:vAlign w:val="center"/>
            <w:hideMark/>
          </w:tcPr>
          <w:p w14:paraId="789AFB35" w14:textId="77777777"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Objetivo Estratégico</w:t>
            </w:r>
          </w:p>
        </w:tc>
        <w:tc>
          <w:tcPr>
            <w:tcW w:w="1842" w:type="dxa"/>
            <w:tcBorders>
              <w:top w:val="single" w:sz="8" w:space="0" w:color="auto"/>
              <w:left w:val="nil"/>
              <w:bottom w:val="single" w:sz="8" w:space="0" w:color="auto"/>
              <w:right w:val="single" w:sz="4" w:space="0" w:color="auto"/>
            </w:tcBorders>
            <w:shd w:val="clear" w:color="auto" w:fill="ED7D31" w:themeFill="accent2"/>
            <w:vAlign w:val="center"/>
            <w:hideMark/>
          </w:tcPr>
          <w:p w14:paraId="6CA42B65" w14:textId="58D672F8"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Indicador</w:t>
            </w:r>
          </w:p>
        </w:tc>
        <w:tc>
          <w:tcPr>
            <w:tcW w:w="5402" w:type="dxa"/>
            <w:tcBorders>
              <w:top w:val="single" w:sz="8" w:space="0" w:color="auto"/>
              <w:left w:val="nil"/>
              <w:bottom w:val="single" w:sz="8" w:space="0" w:color="auto"/>
              <w:right w:val="single" w:sz="4" w:space="0" w:color="auto"/>
            </w:tcBorders>
            <w:shd w:val="clear" w:color="auto" w:fill="ED7D31" w:themeFill="accent2"/>
            <w:vAlign w:val="center"/>
            <w:hideMark/>
          </w:tcPr>
          <w:p w14:paraId="7121A75E" w14:textId="77777777"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Descrição</w:t>
            </w:r>
          </w:p>
        </w:tc>
        <w:tc>
          <w:tcPr>
            <w:tcW w:w="2822" w:type="dxa"/>
            <w:gridSpan w:val="2"/>
            <w:tcBorders>
              <w:top w:val="single" w:sz="8" w:space="0" w:color="auto"/>
              <w:left w:val="nil"/>
              <w:bottom w:val="single" w:sz="8" w:space="0" w:color="auto"/>
              <w:right w:val="single" w:sz="4" w:space="0" w:color="auto"/>
            </w:tcBorders>
            <w:shd w:val="clear" w:color="auto" w:fill="ED7D31" w:themeFill="accent2"/>
            <w:noWrap/>
            <w:vAlign w:val="center"/>
            <w:hideMark/>
          </w:tcPr>
          <w:p w14:paraId="331EADB8" w14:textId="77777777"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Fórmula de Cálculo</w:t>
            </w:r>
          </w:p>
        </w:tc>
        <w:tc>
          <w:tcPr>
            <w:tcW w:w="1132" w:type="dxa"/>
            <w:tcBorders>
              <w:top w:val="single" w:sz="8" w:space="0" w:color="auto"/>
              <w:left w:val="nil"/>
              <w:bottom w:val="single" w:sz="8" w:space="0" w:color="auto"/>
              <w:right w:val="single" w:sz="4" w:space="0" w:color="auto"/>
            </w:tcBorders>
            <w:shd w:val="clear" w:color="auto" w:fill="ED7D31" w:themeFill="accent2"/>
            <w:vAlign w:val="center"/>
            <w:hideMark/>
          </w:tcPr>
          <w:p w14:paraId="3AFB4D53" w14:textId="77777777"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Frequência</w:t>
            </w:r>
            <w:r w:rsidRPr="00002E12">
              <w:rPr>
                <w:rFonts w:ascii="Calibri" w:eastAsia="Times New Roman" w:hAnsi="Calibri" w:cs="Calibri"/>
                <w:b/>
                <w:bCs/>
                <w:color w:val="FFFFFF"/>
                <w:sz w:val="20"/>
                <w:szCs w:val="20"/>
                <w:lang w:eastAsia="pt-BR"/>
              </w:rPr>
              <w:br/>
              <w:t>de Medição</w:t>
            </w:r>
          </w:p>
        </w:tc>
        <w:tc>
          <w:tcPr>
            <w:tcW w:w="1134" w:type="dxa"/>
            <w:tcBorders>
              <w:top w:val="single" w:sz="8" w:space="0" w:color="auto"/>
              <w:left w:val="nil"/>
              <w:bottom w:val="single" w:sz="8" w:space="0" w:color="auto"/>
              <w:right w:val="single" w:sz="8" w:space="0" w:color="auto"/>
            </w:tcBorders>
            <w:shd w:val="clear" w:color="auto" w:fill="ED7D31" w:themeFill="accent2"/>
            <w:vAlign w:val="center"/>
            <w:hideMark/>
          </w:tcPr>
          <w:p w14:paraId="55D24F0E" w14:textId="77777777"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Fonte do Indicador</w:t>
            </w:r>
          </w:p>
        </w:tc>
      </w:tr>
      <w:tr w:rsidR="00002E12" w:rsidRPr="00002E12" w14:paraId="7522F6A8" w14:textId="77777777" w:rsidTr="00002E12">
        <w:trPr>
          <w:trHeight w:val="1797"/>
        </w:trPr>
        <w:tc>
          <w:tcPr>
            <w:tcW w:w="1467" w:type="dxa"/>
            <w:vMerge w:val="restart"/>
            <w:tcBorders>
              <w:top w:val="nil"/>
              <w:left w:val="single" w:sz="8" w:space="0" w:color="auto"/>
              <w:bottom w:val="single" w:sz="4" w:space="0" w:color="000000"/>
              <w:right w:val="single" w:sz="4" w:space="0" w:color="auto"/>
            </w:tcBorders>
            <w:shd w:val="clear" w:color="auto" w:fill="auto"/>
            <w:vAlign w:val="center"/>
            <w:hideMark/>
          </w:tcPr>
          <w:p w14:paraId="3F2B44B3"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Processos Internos (Excelência Organizacional)</w:t>
            </w:r>
          </w:p>
        </w:tc>
        <w:tc>
          <w:tcPr>
            <w:tcW w:w="17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F76B34"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Tornar a fiscalização um vetor de melhoria</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D8B2DD" w14:textId="1CD31F02" w:rsidR="000A48A1" w:rsidRPr="000A48A1" w:rsidRDefault="00002E12" w:rsidP="000A48A1">
            <w:pPr>
              <w:spacing w:after="0" w:line="240" w:lineRule="auto"/>
              <w:jc w:val="center"/>
              <w:rPr>
                <w:rFonts w:ascii="Calibri" w:eastAsia="Times New Roman" w:hAnsi="Calibri" w:cs="Calibri"/>
                <w:b/>
                <w:bCs/>
                <w:sz w:val="20"/>
                <w:szCs w:val="20"/>
                <w:lang w:eastAsia="pt-BR"/>
              </w:rPr>
            </w:pPr>
            <w:r w:rsidRPr="00002E12">
              <w:rPr>
                <w:rFonts w:ascii="Calibri" w:eastAsia="Times New Roman" w:hAnsi="Calibri" w:cs="Calibri"/>
                <w:sz w:val="20"/>
                <w:szCs w:val="20"/>
                <w:lang w:eastAsia="pt-BR"/>
              </w:rPr>
              <w:t>Índice de presença profissional nas obras e serviços fiscalizados (%)</w:t>
            </w:r>
            <w:r w:rsidRPr="00002E12">
              <w:rPr>
                <w:rFonts w:ascii="Calibri" w:eastAsia="Times New Roman" w:hAnsi="Calibri" w:cs="Calibri"/>
                <w:sz w:val="20"/>
                <w:szCs w:val="20"/>
                <w:lang w:eastAsia="pt-BR"/>
              </w:rPr>
              <w:br/>
            </w:r>
            <w:r w:rsidRPr="00002E12">
              <w:rPr>
                <w:rFonts w:ascii="Calibri" w:eastAsia="Times New Roman" w:hAnsi="Calibri" w:cs="Calibri"/>
                <w:b/>
                <w:bCs/>
                <w:sz w:val="20"/>
                <w:szCs w:val="20"/>
                <w:lang w:eastAsia="pt-BR"/>
              </w:rPr>
              <w:t>(CAU/</w:t>
            </w:r>
            <w:r w:rsidR="008A2242" w:rsidRPr="00002E12">
              <w:rPr>
                <w:rFonts w:ascii="Calibri" w:eastAsia="Times New Roman" w:hAnsi="Calibri" w:cs="Calibri"/>
                <w:b/>
                <w:bCs/>
                <w:sz w:val="20"/>
                <w:szCs w:val="20"/>
                <w:lang w:eastAsia="pt-BR"/>
              </w:rPr>
              <w:t>UF)</w:t>
            </w:r>
          </w:p>
        </w:tc>
        <w:tc>
          <w:tcPr>
            <w:tcW w:w="54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A67E5" w14:textId="77777777" w:rsidR="00002E12" w:rsidRDefault="00002E12" w:rsidP="00002E12">
            <w:pPr>
              <w:spacing w:after="0" w:line="240" w:lineRule="auto"/>
              <w:jc w:val="both"/>
              <w:rPr>
                <w:rFonts w:ascii="Calibri" w:eastAsia="Times New Roman" w:hAnsi="Calibri" w:cs="Calibri"/>
                <w:color w:val="000000"/>
                <w:sz w:val="20"/>
                <w:szCs w:val="20"/>
                <w:lang w:eastAsia="pt-BR"/>
              </w:rPr>
            </w:pPr>
            <w:r w:rsidRPr="00002E12">
              <w:rPr>
                <w:rFonts w:ascii="Calibri" w:eastAsia="Times New Roman" w:hAnsi="Calibri" w:cs="Calibri"/>
                <w:color w:val="000000"/>
                <w:sz w:val="20"/>
                <w:szCs w:val="20"/>
                <w:lang w:eastAsia="pt-BR"/>
              </w:rPr>
              <w:t>Pretende medir se a atividade de fiscalização está contribuindo para melhoria do exercício profissional da Arquitetura e Urbanismo. Com o tempo é esperado um aumento da conscientização da população e dos profissionais e, consequentemente, um aumento na percepção da presença profissional nos serviços em execução.</w:t>
            </w:r>
          </w:p>
          <w:p w14:paraId="4B527D42" w14:textId="645433B8" w:rsidR="00002E12" w:rsidRPr="00002E12" w:rsidRDefault="00002E12" w:rsidP="00002E12">
            <w:pPr>
              <w:spacing w:after="0" w:line="240" w:lineRule="auto"/>
              <w:jc w:val="both"/>
              <w:rPr>
                <w:rFonts w:ascii="Calibri" w:eastAsia="Times New Roman" w:hAnsi="Calibri" w:cs="Calibri"/>
                <w:color w:val="000000"/>
                <w:sz w:val="20"/>
                <w:szCs w:val="20"/>
                <w:lang w:eastAsia="pt-BR"/>
              </w:rPr>
            </w:pPr>
            <w:r w:rsidRPr="00002E12">
              <w:rPr>
                <w:rFonts w:ascii="Calibri" w:eastAsia="Times New Roman" w:hAnsi="Calibri" w:cs="Calibri"/>
                <w:color w:val="000000"/>
                <w:sz w:val="20"/>
                <w:szCs w:val="20"/>
                <w:lang w:eastAsia="pt-BR"/>
              </w:rPr>
              <w:t xml:space="preserve">Para este indicador, são consideradas regulares aquelas obras que, no momento da ação de fiscalização, apresentam </w:t>
            </w:r>
            <w:r w:rsidRPr="00002E12">
              <w:rPr>
                <w:rFonts w:ascii="Calibri" w:eastAsia="Times New Roman" w:hAnsi="Calibri" w:cs="Calibri"/>
                <w:b/>
                <w:bCs/>
                <w:color w:val="000000"/>
                <w:sz w:val="20"/>
                <w:szCs w:val="20"/>
                <w:u w:val="single"/>
                <w:lang w:eastAsia="pt-BR"/>
              </w:rPr>
              <w:t>ART ou RRT.</w:t>
            </w:r>
            <w:r w:rsidRPr="00002E12">
              <w:rPr>
                <w:rFonts w:ascii="Calibri" w:eastAsia="Times New Roman" w:hAnsi="Calibri" w:cs="Calibri"/>
                <w:color w:val="000000"/>
                <w:sz w:val="20"/>
                <w:szCs w:val="20"/>
                <w:lang w:eastAsia="pt-BR"/>
              </w:rPr>
              <w:t xml:space="preserve"> Essa presença só poderá ser notada se as obras e serviços forem fiscalizados. Por isso o denominador da fórmula é "obras e serviços fiscalizados".</w:t>
            </w:r>
          </w:p>
        </w:tc>
        <w:tc>
          <w:tcPr>
            <w:tcW w:w="1969" w:type="dxa"/>
            <w:tcBorders>
              <w:top w:val="single" w:sz="4" w:space="0" w:color="auto"/>
              <w:left w:val="nil"/>
              <w:bottom w:val="single" w:sz="4" w:space="0" w:color="auto"/>
              <w:right w:val="nil"/>
            </w:tcBorders>
            <w:shd w:val="clear" w:color="000000" w:fill="FFFFFF"/>
            <w:vAlign w:val="bottom"/>
            <w:hideMark/>
          </w:tcPr>
          <w:p w14:paraId="369C36ED"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quantidade de obras e serviços regulares</w:t>
            </w:r>
          </w:p>
        </w:tc>
        <w:tc>
          <w:tcPr>
            <w:tcW w:w="853" w:type="dxa"/>
            <w:vMerge w:val="restart"/>
            <w:tcBorders>
              <w:top w:val="single" w:sz="4" w:space="0" w:color="auto"/>
              <w:left w:val="nil"/>
              <w:bottom w:val="single" w:sz="4" w:space="0" w:color="auto"/>
              <w:right w:val="single" w:sz="4" w:space="0" w:color="auto"/>
            </w:tcBorders>
            <w:shd w:val="clear" w:color="000000" w:fill="FFFFFF"/>
            <w:vAlign w:val="center"/>
            <w:hideMark/>
          </w:tcPr>
          <w:p w14:paraId="21F3F5CB" w14:textId="77777777" w:rsidR="00002E12" w:rsidRPr="00002E12" w:rsidRDefault="00002E12" w:rsidP="00002E12">
            <w:pPr>
              <w:spacing w:after="0" w:line="240" w:lineRule="auto"/>
              <w:rPr>
                <w:rFonts w:ascii="Calibri" w:eastAsia="Times New Roman" w:hAnsi="Calibri" w:cs="Calibri"/>
                <w:color w:val="000000"/>
                <w:sz w:val="20"/>
                <w:szCs w:val="20"/>
                <w:lang w:eastAsia="pt-BR"/>
              </w:rPr>
            </w:pPr>
            <w:r w:rsidRPr="00002E12">
              <w:rPr>
                <w:rFonts w:ascii="Calibri" w:eastAsia="Times New Roman" w:hAnsi="Calibri" w:cs="Calibri"/>
                <w:color w:val="000000"/>
                <w:sz w:val="20"/>
                <w:szCs w:val="20"/>
                <w:lang w:eastAsia="pt-BR"/>
              </w:rPr>
              <w:t>x 100</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294277"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Mensal </w:t>
            </w:r>
          </w:p>
        </w:tc>
        <w:tc>
          <w:tcPr>
            <w:tcW w:w="1134" w:type="dxa"/>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14:paraId="74E7A146"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SICCAU </w:t>
            </w:r>
          </w:p>
        </w:tc>
      </w:tr>
      <w:tr w:rsidR="00002E12" w:rsidRPr="00002E12" w14:paraId="158D8EEA" w14:textId="77777777" w:rsidTr="00002E12">
        <w:trPr>
          <w:trHeight w:val="1671"/>
        </w:trPr>
        <w:tc>
          <w:tcPr>
            <w:tcW w:w="1467" w:type="dxa"/>
            <w:vMerge/>
            <w:tcBorders>
              <w:top w:val="nil"/>
              <w:left w:val="single" w:sz="8" w:space="0" w:color="auto"/>
              <w:bottom w:val="single" w:sz="4" w:space="0" w:color="000000"/>
              <w:right w:val="single" w:sz="4" w:space="0" w:color="auto"/>
            </w:tcBorders>
            <w:vAlign w:val="center"/>
            <w:hideMark/>
          </w:tcPr>
          <w:p w14:paraId="595D9187"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794" w:type="dxa"/>
            <w:vMerge/>
            <w:tcBorders>
              <w:top w:val="nil"/>
              <w:left w:val="single" w:sz="4" w:space="0" w:color="auto"/>
              <w:bottom w:val="single" w:sz="4" w:space="0" w:color="000000"/>
              <w:right w:val="single" w:sz="4" w:space="0" w:color="auto"/>
            </w:tcBorders>
            <w:vAlign w:val="center"/>
            <w:hideMark/>
          </w:tcPr>
          <w:p w14:paraId="75A4C3AD"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CF3C9AB"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5402" w:type="dxa"/>
            <w:vMerge/>
            <w:tcBorders>
              <w:top w:val="single" w:sz="4" w:space="0" w:color="auto"/>
              <w:left w:val="single" w:sz="4" w:space="0" w:color="auto"/>
              <w:bottom w:val="single" w:sz="4" w:space="0" w:color="auto"/>
              <w:right w:val="single" w:sz="4" w:space="0" w:color="auto"/>
            </w:tcBorders>
            <w:vAlign w:val="center"/>
            <w:hideMark/>
          </w:tcPr>
          <w:p w14:paraId="3F8C8ED8" w14:textId="77777777" w:rsidR="00002E12" w:rsidRPr="00002E12" w:rsidRDefault="00002E12" w:rsidP="00002E12">
            <w:pPr>
              <w:spacing w:after="0" w:line="240" w:lineRule="auto"/>
              <w:rPr>
                <w:rFonts w:ascii="Calibri" w:eastAsia="Times New Roman" w:hAnsi="Calibri" w:cs="Calibri"/>
                <w:color w:val="000000"/>
                <w:sz w:val="20"/>
                <w:szCs w:val="20"/>
                <w:lang w:eastAsia="pt-BR"/>
              </w:rPr>
            </w:pPr>
          </w:p>
        </w:tc>
        <w:tc>
          <w:tcPr>
            <w:tcW w:w="1969" w:type="dxa"/>
            <w:tcBorders>
              <w:top w:val="nil"/>
              <w:left w:val="nil"/>
              <w:bottom w:val="single" w:sz="4" w:space="0" w:color="auto"/>
              <w:right w:val="nil"/>
            </w:tcBorders>
            <w:shd w:val="clear" w:color="000000" w:fill="FFFFFF"/>
            <w:hideMark/>
          </w:tcPr>
          <w:p w14:paraId="0E50D9A0"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quantidade de obras e serviços fiscalizados pelo CAU/UF</w:t>
            </w:r>
          </w:p>
        </w:tc>
        <w:tc>
          <w:tcPr>
            <w:tcW w:w="853" w:type="dxa"/>
            <w:vMerge/>
            <w:tcBorders>
              <w:top w:val="single" w:sz="4" w:space="0" w:color="auto"/>
              <w:left w:val="nil"/>
              <w:bottom w:val="single" w:sz="4" w:space="0" w:color="auto"/>
              <w:right w:val="single" w:sz="4" w:space="0" w:color="auto"/>
            </w:tcBorders>
            <w:vAlign w:val="center"/>
            <w:hideMark/>
          </w:tcPr>
          <w:p w14:paraId="4EB98AD8" w14:textId="77777777" w:rsidR="00002E12" w:rsidRPr="00002E12" w:rsidRDefault="00002E12" w:rsidP="00002E12">
            <w:pPr>
              <w:spacing w:after="0" w:line="240" w:lineRule="auto"/>
              <w:rPr>
                <w:rFonts w:ascii="Calibri" w:eastAsia="Times New Roman" w:hAnsi="Calibri" w:cs="Calibri"/>
                <w:color w:val="000000"/>
                <w:sz w:val="20"/>
                <w:szCs w:val="20"/>
                <w:lang w:eastAsia="pt-BR"/>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3F105164"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134" w:type="dxa"/>
            <w:vMerge/>
            <w:tcBorders>
              <w:top w:val="single" w:sz="4" w:space="0" w:color="auto"/>
              <w:left w:val="single" w:sz="4" w:space="0" w:color="auto"/>
              <w:bottom w:val="single" w:sz="4" w:space="0" w:color="auto"/>
              <w:right w:val="single" w:sz="8" w:space="0" w:color="auto"/>
            </w:tcBorders>
            <w:vAlign w:val="center"/>
            <w:hideMark/>
          </w:tcPr>
          <w:p w14:paraId="700F49C2" w14:textId="77777777" w:rsidR="00002E12" w:rsidRPr="00002E12" w:rsidRDefault="00002E12" w:rsidP="00002E12">
            <w:pPr>
              <w:spacing w:after="0" w:line="240" w:lineRule="auto"/>
              <w:rPr>
                <w:rFonts w:ascii="Calibri" w:eastAsia="Times New Roman" w:hAnsi="Calibri" w:cs="Calibri"/>
                <w:sz w:val="20"/>
                <w:szCs w:val="20"/>
                <w:lang w:eastAsia="pt-BR"/>
              </w:rPr>
            </w:pPr>
          </w:p>
        </w:tc>
      </w:tr>
      <w:tr w:rsidR="00002E12" w:rsidRPr="00002E12" w14:paraId="4CA7A989" w14:textId="77777777" w:rsidTr="00002E12">
        <w:trPr>
          <w:trHeight w:val="870"/>
        </w:trPr>
        <w:tc>
          <w:tcPr>
            <w:tcW w:w="1467" w:type="dxa"/>
            <w:vMerge/>
            <w:tcBorders>
              <w:top w:val="nil"/>
              <w:left w:val="single" w:sz="8" w:space="0" w:color="auto"/>
              <w:bottom w:val="single" w:sz="4" w:space="0" w:color="000000"/>
              <w:right w:val="single" w:sz="4" w:space="0" w:color="auto"/>
            </w:tcBorders>
            <w:vAlign w:val="center"/>
            <w:hideMark/>
          </w:tcPr>
          <w:p w14:paraId="72B06F29"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794" w:type="dxa"/>
            <w:vMerge/>
            <w:tcBorders>
              <w:top w:val="nil"/>
              <w:left w:val="single" w:sz="4" w:space="0" w:color="auto"/>
              <w:bottom w:val="single" w:sz="4" w:space="0" w:color="000000"/>
              <w:right w:val="single" w:sz="4" w:space="0" w:color="auto"/>
            </w:tcBorders>
            <w:vAlign w:val="center"/>
            <w:hideMark/>
          </w:tcPr>
          <w:p w14:paraId="75A57506"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874E34" w14:textId="5637A0A9"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Índice de RRT por profissional ativo (Qtd)</w:t>
            </w:r>
            <w:r w:rsidRPr="00002E12">
              <w:rPr>
                <w:rFonts w:ascii="Calibri" w:eastAsia="Times New Roman" w:hAnsi="Calibri" w:cs="Calibri"/>
                <w:sz w:val="20"/>
                <w:szCs w:val="20"/>
                <w:lang w:eastAsia="pt-BR"/>
              </w:rPr>
              <w:br/>
            </w:r>
            <w:r w:rsidRPr="00002E12">
              <w:rPr>
                <w:rFonts w:ascii="Calibri" w:eastAsia="Times New Roman" w:hAnsi="Calibri" w:cs="Calibri"/>
                <w:b/>
                <w:bCs/>
                <w:sz w:val="20"/>
                <w:szCs w:val="20"/>
                <w:lang w:eastAsia="pt-BR"/>
              </w:rPr>
              <w:t>(CAU/UF</w:t>
            </w:r>
            <w:r w:rsidR="000A48A1">
              <w:rPr>
                <w:rFonts w:ascii="Calibri" w:eastAsia="Times New Roman" w:hAnsi="Calibri" w:cs="Calibri"/>
                <w:b/>
                <w:bCs/>
                <w:sz w:val="20"/>
                <w:szCs w:val="20"/>
                <w:lang w:eastAsia="pt-BR"/>
              </w:rPr>
              <w:t>)</w:t>
            </w:r>
          </w:p>
        </w:tc>
        <w:tc>
          <w:tcPr>
            <w:tcW w:w="54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D017CD" w14:textId="77777777" w:rsidR="00002E12" w:rsidRPr="00002E12" w:rsidRDefault="00002E12" w:rsidP="00002E12">
            <w:pPr>
              <w:spacing w:after="0" w:line="240" w:lineRule="auto"/>
              <w:jc w:val="both"/>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Mede se a fiscalização está melhorando o exercício profissional da Arquitetura e Urbanismo. Se esse índice aumentar, significa que os profissionais em cada UF estão tendo melhor entendimento de suas responsabilidades e deveres, com maior nível de registro de seus serviços. </w:t>
            </w:r>
          </w:p>
        </w:tc>
        <w:tc>
          <w:tcPr>
            <w:tcW w:w="2822" w:type="dxa"/>
            <w:gridSpan w:val="2"/>
            <w:tcBorders>
              <w:top w:val="single" w:sz="4" w:space="0" w:color="auto"/>
              <w:left w:val="nil"/>
              <w:bottom w:val="single" w:sz="4" w:space="0" w:color="auto"/>
              <w:right w:val="single" w:sz="4" w:space="0" w:color="000000"/>
            </w:tcBorders>
            <w:shd w:val="clear" w:color="000000" w:fill="FFFFFF"/>
            <w:vAlign w:val="bottom"/>
            <w:hideMark/>
          </w:tcPr>
          <w:p w14:paraId="662DF76D"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número total de RRT registrados (pagos) por mês</w:t>
            </w:r>
          </w:p>
        </w:tc>
        <w:tc>
          <w:tcPr>
            <w:tcW w:w="11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79F647"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Mensal </w:t>
            </w:r>
          </w:p>
        </w:tc>
        <w:tc>
          <w:tcPr>
            <w:tcW w:w="1134" w:type="dxa"/>
            <w:vMerge w:val="restart"/>
            <w:tcBorders>
              <w:top w:val="nil"/>
              <w:left w:val="single" w:sz="4" w:space="0" w:color="auto"/>
              <w:bottom w:val="single" w:sz="4" w:space="0" w:color="auto"/>
              <w:right w:val="single" w:sz="8" w:space="0" w:color="auto"/>
            </w:tcBorders>
            <w:shd w:val="clear" w:color="000000" w:fill="FFFFFF"/>
            <w:vAlign w:val="center"/>
            <w:hideMark/>
          </w:tcPr>
          <w:p w14:paraId="3DE9C7ED"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SICCAU E IGEO</w:t>
            </w:r>
          </w:p>
        </w:tc>
      </w:tr>
      <w:tr w:rsidR="00002E12" w:rsidRPr="00002E12" w14:paraId="04ED6566" w14:textId="77777777" w:rsidTr="00002E12">
        <w:trPr>
          <w:trHeight w:val="870"/>
        </w:trPr>
        <w:tc>
          <w:tcPr>
            <w:tcW w:w="1467" w:type="dxa"/>
            <w:vMerge/>
            <w:tcBorders>
              <w:top w:val="nil"/>
              <w:left w:val="single" w:sz="8" w:space="0" w:color="auto"/>
              <w:bottom w:val="single" w:sz="4" w:space="0" w:color="000000"/>
              <w:right w:val="single" w:sz="4" w:space="0" w:color="auto"/>
            </w:tcBorders>
            <w:vAlign w:val="center"/>
            <w:hideMark/>
          </w:tcPr>
          <w:p w14:paraId="571FCFD3"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794" w:type="dxa"/>
            <w:vMerge/>
            <w:tcBorders>
              <w:top w:val="nil"/>
              <w:left w:val="single" w:sz="4" w:space="0" w:color="auto"/>
              <w:bottom w:val="single" w:sz="4" w:space="0" w:color="000000"/>
              <w:right w:val="single" w:sz="4" w:space="0" w:color="auto"/>
            </w:tcBorders>
            <w:vAlign w:val="center"/>
            <w:hideMark/>
          </w:tcPr>
          <w:p w14:paraId="7A74B06F"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842" w:type="dxa"/>
            <w:vMerge/>
            <w:tcBorders>
              <w:top w:val="nil"/>
              <w:left w:val="single" w:sz="4" w:space="0" w:color="auto"/>
              <w:bottom w:val="single" w:sz="4" w:space="0" w:color="auto"/>
              <w:right w:val="single" w:sz="4" w:space="0" w:color="auto"/>
            </w:tcBorders>
            <w:vAlign w:val="center"/>
            <w:hideMark/>
          </w:tcPr>
          <w:p w14:paraId="69A189E8"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5402" w:type="dxa"/>
            <w:vMerge/>
            <w:tcBorders>
              <w:top w:val="nil"/>
              <w:left w:val="single" w:sz="4" w:space="0" w:color="auto"/>
              <w:bottom w:val="single" w:sz="4" w:space="0" w:color="auto"/>
              <w:right w:val="single" w:sz="4" w:space="0" w:color="auto"/>
            </w:tcBorders>
            <w:vAlign w:val="center"/>
            <w:hideMark/>
          </w:tcPr>
          <w:p w14:paraId="75348596"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2822" w:type="dxa"/>
            <w:gridSpan w:val="2"/>
            <w:tcBorders>
              <w:top w:val="single" w:sz="4" w:space="0" w:color="auto"/>
              <w:left w:val="nil"/>
              <w:bottom w:val="single" w:sz="4" w:space="0" w:color="auto"/>
              <w:right w:val="single" w:sz="4" w:space="0" w:color="000000"/>
            </w:tcBorders>
            <w:shd w:val="clear" w:color="000000" w:fill="FFFFFF"/>
            <w:hideMark/>
          </w:tcPr>
          <w:p w14:paraId="7AF5B271"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 total de profissionais ativos </w:t>
            </w:r>
          </w:p>
        </w:tc>
        <w:tc>
          <w:tcPr>
            <w:tcW w:w="1132" w:type="dxa"/>
            <w:vMerge/>
            <w:tcBorders>
              <w:top w:val="nil"/>
              <w:left w:val="single" w:sz="4" w:space="0" w:color="auto"/>
              <w:bottom w:val="single" w:sz="4" w:space="0" w:color="auto"/>
              <w:right w:val="single" w:sz="4" w:space="0" w:color="auto"/>
            </w:tcBorders>
            <w:vAlign w:val="center"/>
            <w:hideMark/>
          </w:tcPr>
          <w:p w14:paraId="3ECB8912"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8" w:space="0" w:color="auto"/>
            </w:tcBorders>
            <w:vAlign w:val="center"/>
            <w:hideMark/>
          </w:tcPr>
          <w:p w14:paraId="2156404C" w14:textId="77777777" w:rsidR="00002E12" w:rsidRPr="00002E12" w:rsidRDefault="00002E12" w:rsidP="00002E12">
            <w:pPr>
              <w:spacing w:after="0" w:line="240" w:lineRule="auto"/>
              <w:rPr>
                <w:rFonts w:ascii="Calibri" w:eastAsia="Times New Roman" w:hAnsi="Calibri" w:cs="Calibri"/>
                <w:sz w:val="20"/>
                <w:szCs w:val="20"/>
                <w:lang w:eastAsia="pt-BR"/>
              </w:rPr>
            </w:pPr>
          </w:p>
        </w:tc>
      </w:tr>
      <w:tr w:rsidR="00002E12" w:rsidRPr="00002E12" w14:paraId="37267939" w14:textId="77777777" w:rsidTr="00002E12">
        <w:trPr>
          <w:trHeight w:val="946"/>
        </w:trPr>
        <w:tc>
          <w:tcPr>
            <w:tcW w:w="1467" w:type="dxa"/>
            <w:vMerge/>
            <w:tcBorders>
              <w:top w:val="nil"/>
              <w:left w:val="single" w:sz="8" w:space="0" w:color="auto"/>
              <w:bottom w:val="single" w:sz="4" w:space="0" w:color="000000"/>
              <w:right w:val="single" w:sz="4" w:space="0" w:color="auto"/>
            </w:tcBorders>
            <w:vAlign w:val="center"/>
            <w:hideMark/>
          </w:tcPr>
          <w:p w14:paraId="2257BFF7"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794" w:type="dxa"/>
            <w:vMerge/>
            <w:tcBorders>
              <w:top w:val="nil"/>
              <w:left w:val="single" w:sz="4" w:space="0" w:color="auto"/>
              <w:bottom w:val="single" w:sz="4" w:space="0" w:color="000000"/>
              <w:right w:val="single" w:sz="4" w:space="0" w:color="auto"/>
            </w:tcBorders>
            <w:vAlign w:val="center"/>
            <w:hideMark/>
          </w:tcPr>
          <w:p w14:paraId="1B6C2C44"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EAF5C3" w14:textId="78847A4A"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Índice de capacidade de atendimento de denúncias (%)</w:t>
            </w:r>
            <w:r w:rsidRPr="00002E12">
              <w:rPr>
                <w:rFonts w:ascii="Calibri" w:eastAsia="Times New Roman" w:hAnsi="Calibri" w:cs="Calibri"/>
                <w:sz w:val="20"/>
                <w:szCs w:val="20"/>
                <w:lang w:eastAsia="pt-BR"/>
              </w:rPr>
              <w:br/>
            </w:r>
            <w:r w:rsidRPr="00002E12">
              <w:rPr>
                <w:rFonts w:ascii="Calibri" w:eastAsia="Times New Roman" w:hAnsi="Calibri" w:cs="Calibri"/>
                <w:b/>
                <w:bCs/>
                <w:sz w:val="20"/>
                <w:szCs w:val="20"/>
                <w:lang w:eastAsia="pt-BR"/>
              </w:rPr>
              <w:t>(CAU/UF)</w:t>
            </w:r>
          </w:p>
        </w:tc>
        <w:tc>
          <w:tcPr>
            <w:tcW w:w="54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E2F124" w14:textId="77777777" w:rsidR="00002E12" w:rsidRPr="00002E12" w:rsidRDefault="00002E12" w:rsidP="00002E12">
            <w:pPr>
              <w:spacing w:after="0" w:line="240" w:lineRule="auto"/>
              <w:jc w:val="both"/>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Indicador para medir se os CAU/UF possuem a capacidade necessária para fiscalização do atendimento das denúncias. Compara a quantidade de denúncias atendida/fiscalizada com a quantidade de denúncias recebida. </w:t>
            </w:r>
          </w:p>
        </w:tc>
        <w:tc>
          <w:tcPr>
            <w:tcW w:w="1969" w:type="dxa"/>
            <w:tcBorders>
              <w:top w:val="nil"/>
              <w:left w:val="nil"/>
              <w:bottom w:val="single" w:sz="4" w:space="0" w:color="auto"/>
              <w:right w:val="nil"/>
            </w:tcBorders>
            <w:shd w:val="clear" w:color="000000" w:fill="FFFFFF"/>
            <w:vAlign w:val="bottom"/>
            <w:hideMark/>
          </w:tcPr>
          <w:p w14:paraId="0449A782"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quantidade de denúncias atendidas</w:t>
            </w:r>
          </w:p>
        </w:tc>
        <w:tc>
          <w:tcPr>
            <w:tcW w:w="853" w:type="dxa"/>
            <w:vMerge w:val="restart"/>
            <w:tcBorders>
              <w:top w:val="nil"/>
              <w:left w:val="nil"/>
              <w:bottom w:val="single" w:sz="4" w:space="0" w:color="auto"/>
              <w:right w:val="single" w:sz="4" w:space="0" w:color="auto"/>
            </w:tcBorders>
            <w:shd w:val="clear" w:color="000000" w:fill="FFFFFF"/>
            <w:vAlign w:val="center"/>
            <w:hideMark/>
          </w:tcPr>
          <w:p w14:paraId="18ABC6E6"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X 100</w:t>
            </w:r>
          </w:p>
        </w:tc>
        <w:tc>
          <w:tcPr>
            <w:tcW w:w="11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FA2087"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br/>
              <w:t xml:space="preserve">Mensal </w:t>
            </w:r>
          </w:p>
        </w:tc>
        <w:tc>
          <w:tcPr>
            <w:tcW w:w="1134" w:type="dxa"/>
            <w:vMerge w:val="restart"/>
            <w:tcBorders>
              <w:top w:val="nil"/>
              <w:left w:val="single" w:sz="4" w:space="0" w:color="auto"/>
              <w:bottom w:val="single" w:sz="4" w:space="0" w:color="auto"/>
              <w:right w:val="single" w:sz="8" w:space="0" w:color="auto"/>
            </w:tcBorders>
            <w:shd w:val="clear" w:color="000000" w:fill="FFFFFF"/>
            <w:vAlign w:val="center"/>
            <w:hideMark/>
          </w:tcPr>
          <w:p w14:paraId="66BE8CA5"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SICCAU </w:t>
            </w:r>
          </w:p>
        </w:tc>
      </w:tr>
      <w:tr w:rsidR="00002E12" w:rsidRPr="00002E12" w14:paraId="40084D3C" w14:textId="77777777" w:rsidTr="00002E12">
        <w:trPr>
          <w:trHeight w:val="870"/>
        </w:trPr>
        <w:tc>
          <w:tcPr>
            <w:tcW w:w="1467" w:type="dxa"/>
            <w:vMerge/>
            <w:tcBorders>
              <w:top w:val="nil"/>
              <w:left w:val="single" w:sz="8" w:space="0" w:color="auto"/>
              <w:bottom w:val="single" w:sz="4" w:space="0" w:color="000000"/>
              <w:right w:val="single" w:sz="4" w:space="0" w:color="auto"/>
            </w:tcBorders>
            <w:vAlign w:val="center"/>
            <w:hideMark/>
          </w:tcPr>
          <w:p w14:paraId="5A054D08"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794" w:type="dxa"/>
            <w:vMerge/>
            <w:tcBorders>
              <w:top w:val="nil"/>
              <w:left w:val="single" w:sz="4" w:space="0" w:color="auto"/>
              <w:bottom w:val="single" w:sz="4" w:space="0" w:color="000000"/>
              <w:right w:val="single" w:sz="4" w:space="0" w:color="auto"/>
            </w:tcBorders>
            <w:vAlign w:val="center"/>
            <w:hideMark/>
          </w:tcPr>
          <w:p w14:paraId="18691722"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842" w:type="dxa"/>
            <w:vMerge/>
            <w:tcBorders>
              <w:top w:val="nil"/>
              <w:left w:val="single" w:sz="4" w:space="0" w:color="auto"/>
              <w:bottom w:val="single" w:sz="4" w:space="0" w:color="auto"/>
              <w:right w:val="single" w:sz="4" w:space="0" w:color="auto"/>
            </w:tcBorders>
            <w:vAlign w:val="center"/>
            <w:hideMark/>
          </w:tcPr>
          <w:p w14:paraId="12A9240F"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5402" w:type="dxa"/>
            <w:vMerge/>
            <w:tcBorders>
              <w:top w:val="nil"/>
              <w:left w:val="single" w:sz="4" w:space="0" w:color="auto"/>
              <w:bottom w:val="single" w:sz="4" w:space="0" w:color="auto"/>
              <w:right w:val="single" w:sz="4" w:space="0" w:color="auto"/>
            </w:tcBorders>
            <w:vAlign w:val="center"/>
            <w:hideMark/>
          </w:tcPr>
          <w:p w14:paraId="7DD90978"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969" w:type="dxa"/>
            <w:tcBorders>
              <w:top w:val="nil"/>
              <w:left w:val="nil"/>
              <w:bottom w:val="single" w:sz="4" w:space="0" w:color="auto"/>
              <w:right w:val="nil"/>
            </w:tcBorders>
            <w:shd w:val="clear" w:color="000000" w:fill="FFFFFF"/>
            <w:hideMark/>
          </w:tcPr>
          <w:p w14:paraId="0A4D3F60"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número de denúncias recebidas</w:t>
            </w:r>
          </w:p>
        </w:tc>
        <w:tc>
          <w:tcPr>
            <w:tcW w:w="853" w:type="dxa"/>
            <w:vMerge/>
            <w:tcBorders>
              <w:top w:val="nil"/>
              <w:left w:val="nil"/>
              <w:bottom w:val="single" w:sz="4" w:space="0" w:color="auto"/>
              <w:right w:val="single" w:sz="4" w:space="0" w:color="auto"/>
            </w:tcBorders>
            <w:vAlign w:val="center"/>
            <w:hideMark/>
          </w:tcPr>
          <w:p w14:paraId="5085063D"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132" w:type="dxa"/>
            <w:vMerge/>
            <w:tcBorders>
              <w:top w:val="nil"/>
              <w:left w:val="single" w:sz="4" w:space="0" w:color="auto"/>
              <w:bottom w:val="single" w:sz="4" w:space="0" w:color="auto"/>
              <w:right w:val="single" w:sz="4" w:space="0" w:color="auto"/>
            </w:tcBorders>
            <w:vAlign w:val="center"/>
            <w:hideMark/>
          </w:tcPr>
          <w:p w14:paraId="1A4D2D20"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8" w:space="0" w:color="auto"/>
            </w:tcBorders>
            <w:vAlign w:val="center"/>
            <w:hideMark/>
          </w:tcPr>
          <w:p w14:paraId="1DC8EBBC" w14:textId="77777777" w:rsidR="00002E12" w:rsidRPr="00002E12" w:rsidRDefault="00002E12" w:rsidP="00002E12">
            <w:pPr>
              <w:spacing w:after="0" w:line="240" w:lineRule="auto"/>
              <w:rPr>
                <w:rFonts w:ascii="Calibri" w:eastAsia="Times New Roman" w:hAnsi="Calibri" w:cs="Calibri"/>
                <w:sz w:val="20"/>
                <w:szCs w:val="20"/>
                <w:lang w:eastAsia="pt-BR"/>
              </w:rPr>
            </w:pPr>
          </w:p>
        </w:tc>
      </w:tr>
    </w:tbl>
    <w:p w14:paraId="049F606E" w14:textId="0AD7931A" w:rsidR="00BB3C89" w:rsidRPr="004719E1" w:rsidRDefault="00BB3C89" w:rsidP="00BB3C89">
      <w:pPr>
        <w:spacing w:after="0"/>
        <w:ind w:left="-567"/>
        <w:rPr>
          <w:rFonts w:asciiTheme="majorHAnsi" w:hAnsiTheme="majorHAnsi" w:cstheme="majorHAnsi"/>
          <w:b/>
          <w:bCs/>
        </w:rPr>
      </w:pPr>
      <w:r w:rsidRPr="004719E1">
        <w:rPr>
          <w:rFonts w:asciiTheme="majorHAnsi" w:hAnsiTheme="majorHAnsi" w:cstheme="majorHAnsi"/>
          <w:b/>
          <w:bCs/>
        </w:rPr>
        <w:t>ANEXO I.b – Indicadores Institucionais e de Resultado – CAU UF</w:t>
      </w:r>
    </w:p>
    <w:tbl>
      <w:tblPr>
        <w:tblW w:w="15593" w:type="dxa"/>
        <w:tblInd w:w="-577" w:type="dxa"/>
        <w:tblLayout w:type="fixed"/>
        <w:tblCellMar>
          <w:left w:w="70" w:type="dxa"/>
          <w:right w:w="70" w:type="dxa"/>
        </w:tblCellMar>
        <w:tblLook w:val="04A0" w:firstRow="1" w:lastRow="0" w:firstColumn="1" w:lastColumn="0" w:noHBand="0" w:noVBand="1"/>
      </w:tblPr>
      <w:tblGrid>
        <w:gridCol w:w="1560"/>
        <w:gridCol w:w="1854"/>
        <w:gridCol w:w="2195"/>
        <w:gridCol w:w="4677"/>
        <w:gridCol w:w="2047"/>
        <w:gridCol w:w="930"/>
        <w:gridCol w:w="1134"/>
        <w:gridCol w:w="1196"/>
      </w:tblGrid>
      <w:tr w:rsidR="009C3E25" w:rsidRPr="00FC5F96" w14:paraId="14F1D6EB" w14:textId="77777777" w:rsidTr="00996FD4">
        <w:trPr>
          <w:trHeight w:val="1575"/>
        </w:trPr>
        <w:tc>
          <w:tcPr>
            <w:tcW w:w="1560"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3204176D" w14:textId="77777777"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Perspectiva</w:t>
            </w:r>
          </w:p>
        </w:tc>
        <w:tc>
          <w:tcPr>
            <w:tcW w:w="1854" w:type="dxa"/>
            <w:tcBorders>
              <w:top w:val="single" w:sz="8" w:space="0" w:color="auto"/>
              <w:left w:val="nil"/>
              <w:bottom w:val="single" w:sz="8" w:space="0" w:color="auto"/>
              <w:right w:val="single" w:sz="4" w:space="0" w:color="auto"/>
            </w:tcBorders>
            <w:shd w:val="clear" w:color="auto" w:fill="ED7D31" w:themeFill="accent2"/>
            <w:vAlign w:val="center"/>
            <w:hideMark/>
          </w:tcPr>
          <w:p w14:paraId="62038F28" w14:textId="77777777"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Objetivo Estratégico</w:t>
            </w:r>
          </w:p>
        </w:tc>
        <w:tc>
          <w:tcPr>
            <w:tcW w:w="2195" w:type="dxa"/>
            <w:tcBorders>
              <w:top w:val="single" w:sz="8" w:space="0" w:color="auto"/>
              <w:left w:val="nil"/>
              <w:bottom w:val="single" w:sz="8" w:space="0" w:color="auto"/>
              <w:right w:val="single" w:sz="4" w:space="0" w:color="auto"/>
            </w:tcBorders>
            <w:shd w:val="clear" w:color="auto" w:fill="ED7D31" w:themeFill="accent2"/>
            <w:vAlign w:val="center"/>
            <w:hideMark/>
          </w:tcPr>
          <w:p w14:paraId="3D97D436" w14:textId="3ACA3FF1"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Indicador</w:t>
            </w:r>
          </w:p>
        </w:tc>
        <w:tc>
          <w:tcPr>
            <w:tcW w:w="4677" w:type="dxa"/>
            <w:tcBorders>
              <w:top w:val="single" w:sz="8" w:space="0" w:color="auto"/>
              <w:left w:val="nil"/>
              <w:bottom w:val="single" w:sz="8" w:space="0" w:color="auto"/>
              <w:right w:val="single" w:sz="4" w:space="0" w:color="auto"/>
            </w:tcBorders>
            <w:shd w:val="clear" w:color="auto" w:fill="ED7D31" w:themeFill="accent2"/>
            <w:vAlign w:val="center"/>
            <w:hideMark/>
          </w:tcPr>
          <w:p w14:paraId="04B4FDED" w14:textId="77777777"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Descrição</w:t>
            </w:r>
          </w:p>
        </w:tc>
        <w:tc>
          <w:tcPr>
            <w:tcW w:w="2977" w:type="dxa"/>
            <w:gridSpan w:val="2"/>
            <w:tcBorders>
              <w:top w:val="single" w:sz="8" w:space="0" w:color="auto"/>
              <w:left w:val="nil"/>
              <w:bottom w:val="single" w:sz="8" w:space="0" w:color="auto"/>
              <w:right w:val="single" w:sz="4" w:space="0" w:color="auto"/>
            </w:tcBorders>
            <w:shd w:val="clear" w:color="auto" w:fill="ED7D31" w:themeFill="accent2"/>
            <w:noWrap/>
            <w:vAlign w:val="center"/>
            <w:hideMark/>
          </w:tcPr>
          <w:p w14:paraId="2E7E2C90" w14:textId="77777777"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Fórmula de Cálculo</w:t>
            </w:r>
          </w:p>
        </w:tc>
        <w:tc>
          <w:tcPr>
            <w:tcW w:w="1134" w:type="dxa"/>
            <w:tcBorders>
              <w:top w:val="single" w:sz="8" w:space="0" w:color="auto"/>
              <w:left w:val="nil"/>
              <w:bottom w:val="single" w:sz="8" w:space="0" w:color="auto"/>
              <w:right w:val="single" w:sz="4" w:space="0" w:color="auto"/>
            </w:tcBorders>
            <w:shd w:val="clear" w:color="auto" w:fill="ED7D31" w:themeFill="accent2"/>
            <w:vAlign w:val="center"/>
            <w:hideMark/>
          </w:tcPr>
          <w:p w14:paraId="39806462" w14:textId="77777777"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Frequência</w:t>
            </w:r>
            <w:r w:rsidRPr="00FC5F96">
              <w:rPr>
                <w:rFonts w:ascii="Calibri" w:eastAsia="Times New Roman" w:hAnsi="Calibri" w:cs="Calibri"/>
                <w:b/>
                <w:bCs/>
                <w:color w:val="FFFFFF"/>
                <w:sz w:val="20"/>
                <w:szCs w:val="20"/>
                <w:lang w:eastAsia="pt-BR"/>
              </w:rPr>
              <w:br/>
              <w:t>de Medição</w:t>
            </w:r>
          </w:p>
        </w:tc>
        <w:tc>
          <w:tcPr>
            <w:tcW w:w="1196" w:type="dxa"/>
            <w:tcBorders>
              <w:top w:val="single" w:sz="8" w:space="0" w:color="auto"/>
              <w:left w:val="nil"/>
              <w:bottom w:val="single" w:sz="8" w:space="0" w:color="auto"/>
              <w:right w:val="single" w:sz="8" w:space="0" w:color="auto"/>
            </w:tcBorders>
            <w:shd w:val="clear" w:color="auto" w:fill="ED7D31" w:themeFill="accent2"/>
            <w:vAlign w:val="center"/>
            <w:hideMark/>
          </w:tcPr>
          <w:p w14:paraId="0D97D5CD" w14:textId="77777777"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Fonte do Indicador</w:t>
            </w:r>
          </w:p>
        </w:tc>
      </w:tr>
      <w:tr w:rsidR="009C3E25" w:rsidRPr="00FC5F96" w14:paraId="174EBE58" w14:textId="77777777" w:rsidTr="00996FD4">
        <w:trPr>
          <w:trHeight w:val="1230"/>
        </w:trPr>
        <w:tc>
          <w:tcPr>
            <w:tcW w:w="1560" w:type="dxa"/>
            <w:vMerge w:val="restart"/>
            <w:tcBorders>
              <w:top w:val="nil"/>
              <w:left w:val="single" w:sz="8" w:space="0" w:color="auto"/>
              <w:bottom w:val="single" w:sz="4" w:space="0" w:color="000000"/>
              <w:right w:val="single" w:sz="4" w:space="0" w:color="auto"/>
            </w:tcBorders>
            <w:shd w:val="clear" w:color="auto" w:fill="auto"/>
            <w:vAlign w:val="center"/>
            <w:hideMark/>
          </w:tcPr>
          <w:p w14:paraId="1CCEA6C0"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Processos Internos (Excelência Organizacional)</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DFE220"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Tornar a fiscalização um vetor de melhoria</w:t>
            </w:r>
          </w:p>
        </w:tc>
        <w:tc>
          <w:tcPr>
            <w:tcW w:w="21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F2BF51" w14:textId="7206E3D8"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Índice de eficiência na conclusão de processos de fiscalização (%)</w:t>
            </w:r>
            <w:r w:rsidRPr="00FC5F96">
              <w:rPr>
                <w:rFonts w:ascii="Calibri" w:eastAsia="Times New Roman" w:hAnsi="Calibri" w:cs="Calibri"/>
                <w:sz w:val="20"/>
                <w:szCs w:val="20"/>
                <w:lang w:eastAsia="pt-BR"/>
              </w:rPr>
              <w:br/>
            </w:r>
            <w:r w:rsidRPr="00FC5F96">
              <w:rPr>
                <w:rFonts w:ascii="Calibri" w:eastAsia="Times New Roman" w:hAnsi="Calibri" w:cs="Calibri"/>
                <w:b/>
                <w:bCs/>
                <w:sz w:val="20"/>
                <w:szCs w:val="20"/>
                <w:lang w:eastAsia="pt-BR"/>
              </w:rPr>
              <w:t>(CAU/UF)</w:t>
            </w:r>
          </w:p>
        </w:tc>
        <w:tc>
          <w:tcPr>
            <w:tcW w:w="46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A24A29" w14:textId="77777777" w:rsidR="00FC5F96" w:rsidRPr="00FC5F96" w:rsidRDefault="00FC5F96" w:rsidP="00FC5F96">
            <w:pPr>
              <w:spacing w:after="0" w:line="240" w:lineRule="auto"/>
              <w:jc w:val="both"/>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Para tornar a fiscalização um vetor de melhoria do exercício da Arquitetura e Urbanismo é preciso concluir os processos de fiscalização em tempo razoável. Dessa forma, é possível dar uma resposta à sociedade sobre as questões julgadas e buscar o reconhecimento do trabalho sendo realizado.</w:t>
            </w:r>
          </w:p>
        </w:tc>
        <w:tc>
          <w:tcPr>
            <w:tcW w:w="2047" w:type="dxa"/>
            <w:tcBorders>
              <w:top w:val="single" w:sz="4" w:space="0" w:color="auto"/>
              <w:left w:val="nil"/>
              <w:bottom w:val="single" w:sz="4" w:space="0" w:color="auto"/>
              <w:right w:val="nil"/>
            </w:tcBorders>
            <w:shd w:val="clear" w:color="000000" w:fill="FFFFFF"/>
            <w:vAlign w:val="bottom"/>
            <w:hideMark/>
          </w:tcPr>
          <w:p w14:paraId="7103E886"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número de processos de fiscalização concluídos no semestre</w:t>
            </w:r>
          </w:p>
        </w:tc>
        <w:tc>
          <w:tcPr>
            <w:tcW w:w="930" w:type="dxa"/>
            <w:vMerge w:val="restart"/>
            <w:tcBorders>
              <w:top w:val="single" w:sz="4" w:space="0" w:color="auto"/>
              <w:left w:val="nil"/>
              <w:bottom w:val="single" w:sz="4" w:space="0" w:color="auto"/>
              <w:right w:val="single" w:sz="4" w:space="0" w:color="auto"/>
            </w:tcBorders>
            <w:shd w:val="clear" w:color="000000" w:fill="FFFFFF"/>
            <w:vAlign w:val="center"/>
            <w:hideMark/>
          </w:tcPr>
          <w:p w14:paraId="3DFC5085" w14:textId="77777777" w:rsidR="00FC5F96" w:rsidRPr="00FC5F96" w:rsidRDefault="00FC5F96" w:rsidP="00173988">
            <w:pPr>
              <w:spacing w:after="0" w:line="240" w:lineRule="auto"/>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x 100</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A9D144"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Semestral</w:t>
            </w:r>
          </w:p>
        </w:tc>
        <w:tc>
          <w:tcPr>
            <w:tcW w:w="1196" w:type="dxa"/>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14:paraId="74CDD419"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SICCAU</w:t>
            </w:r>
          </w:p>
        </w:tc>
      </w:tr>
      <w:tr w:rsidR="00FC5F96" w:rsidRPr="00FC5F96" w14:paraId="118278A7" w14:textId="77777777" w:rsidTr="00996FD4">
        <w:trPr>
          <w:trHeight w:val="974"/>
        </w:trPr>
        <w:tc>
          <w:tcPr>
            <w:tcW w:w="1560" w:type="dxa"/>
            <w:vMerge/>
            <w:tcBorders>
              <w:top w:val="nil"/>
              <w:left w:val="single" w:sz="8" w:space="0" w:color="auto"/>
              <w:bottom w:val="single" w:sz="4" w:space="0" w:color="000000"/>
              <w:right w:val="single" w:sz="4" w:space="0" w:color="auto"/>
            </w:tcBorders>
            <w:vAlign w:val="center"/>
            <w:hideMark/>
          </w:tcPr>
          <w:p w14:paraId="42E8E1CD"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854" w:type="dxa"/>
            <w:vMerge/>
            <w:tcBorders>
              <w:top w:val="nil"/>
              <w:left w:val="single" w:sz="4" w:space="0" w:color="auto"/>
              <w:bottom w:val="single" w:sz="4" w:space="0" w:color="000000"/>
              <w:right w:val="single" w:sz="4" w:space="0" w:color="auto"/>
            </w:tcBorders>
            <w:vAlign w:val="center"/>
            <w:hideMark/>
          </w:tcPr>
          <w:p w14:paraId="7B2B5946"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195" w:type="dxa"/>
            <w:vMerge/>
            <w:tcBorders>
              <w:top w:val="single" w:sz="4" w:space="0" w:color="auto"/>
              <w:left w:val="single" w:sz="4" w:space="0" w:color="auto"/>
              <w:bottom w:val="single" w:sz="4" w:space="0" w:color="auto"/>
              <w:right w:val="single" w:sz="4" w:space="0" w:color="auto"/>
            </w:tcBorders>
            <w:vAlign w:val="center"/>
            <w:hideMark/>
          </w:tcPr>
          <w:p w14:paraId="490CD089"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4677" w:type="dxa"/>
            <w:vMerge/>
            <w:tcBorders>
              <w:top w:val="single" w:sz="4" w:space="0" w:color="auto"/>
              <w:left w:val="single" w:sz="4" w:space="0" w:color="auto"/>
              <w:bottom w:val="single" w:sz="4" w:space="0" w:color="auto"/>
              <w:right w:val="single" w:sz="4" w:space="0" w:color="auto"/>
            </w:tcBorders>
            <w:vAlign w:val="center"/>
            <w:hideMark/>
          </w:tcPr>
          <w:p w14:paraId="0BA8E639"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047" w:type="dxa"/>
            <w:tcBorders>
              <w:top w:val="nil"/>
              <w:left w:val="nil"/>
              <w:bottom w:val="single" w:sz="4" w:space="0" w:color="auto"/>
              <w:right w:val="nil"/>
            </w:tcBorders>
            <w:shd w:val="clear" w:color="000000" w:fill="FFFFFF"/>
            <w:hideMark/>
          </w:tcPr>
          <w:p w14:paraId="6994D300"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 xml:space="preserve"> número total de processos de fiscalização em aberto no ano</w:t>
            </w:r>
          </w:p>
        </w:tc>
        <w:tc>
          <w:tcPr>
            <w:tcW w:w="930" w:type="dxa"/>
            <w:vMerge/>
            <w:tcBorders>
              <w:top w:val="single" w:sz="4" w:space="0" w:color="auto"/>
              <w:left w:val="nil"/>
              <w:bottom w:val="single" w:sz="4" w:space="0" w:color="auto"/>
              <w:right w:val="single" w:sz="4" w:space="0" w:color="auto"/>
            </w:tcBorders>
            <w:vAlign w:val="center"/>
            <w:hideMark/>
          </w:tcPr>
          <w:p w14:paraId="0D6F8CFB"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8034D4"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196" w:type="dxa"/>
            <w:vMerge/>
            <w:tcBorders>
              <w:top w:val="single" w:sz="4" w:space="0" w:color="auto"/>
              <w:left w:val="single" w:sz="4" w:space="0" w:color="auto"/>
              <w:bottom w:val="single" w:sz="4" w:space="0" w:color="auto"/>
              <w:right w:val="single" w:sz="8" w:space="0" w:color="auto"/>
            </w:tcBorders>
            <w:vAlign w:val="center"/>
            <w:hideMark/>
          </w:tcPr>
          <w:p w14:paraId="507772F8" w14:textId="77777777" w:rsidR="00FC5F96" w:rsidRPr="00FC5F96" w:rsidRDefault="00FC5F96" w:rsidP="00FC5F96">
            <w:pPr>
              <w:spacing w:after="0" w:line="240" w:lineRule="auto"/>
              <w:rPr>
                <w:rFonts w:ascii="Calibri" w:eastAsia="Times New Roman" w:hAnsi="Calibri" w:cs="Calibri"/>
                <w:sz w:val="20"/>
                <w:szCs w:val="20"/>
                <w:lang w:eastAsia="pt-BR"/>
              </w:rPr>
            </w:pPr>
          </w:p>
        </w:tc>
      </w:tr>
      <w:tr w:rsidR="009C3E25" w:rsidRPr="00FC5F96" w14:paraId="1760225D" w14:textId="77777777" w:rsidTr="00996FD4">
        <w:trPr>
          <w:trHeight w:val="1116"/>
        </w:trPr>
        <w:tc>
          <w:tcPr>
            <w:tcW w:w="1560" w:type="dxa"/>
            <w:vMerge/>
            <w:tcBorders>
              <w:top w:val="nil"/>
              <w:left w:val="single" w:sz="8" w:space="0" w:color="auto"/>
              <w:bottom w:val="single" w:sz="4" w:space="0" w:color="000000"/>
              <w:right w:val="single" w:sz="4" w:space="0" w:color="auto"/>
            </w:tcBorders>
            <w:vAlign w:val="center"/>
            <w:hideMark/>
          </w:tcPr>
          <w:p w14:paraId="555B4900"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854" w:type="dxa"/>
            <w:vMerge/>
            <w:tcBorders>
              <w:top w:val="nil"/>
              <w:left w:val="single" w:sz="4" w:space="0" w:color="auto"/>
              <w:bottom w:val="single" w:sz="4" w:space="0" w:color="000000"/>
              <w:right w:val="single" w:sz="4" w:space="0" w:color="auto"/>
            </w:tcBorders>
            <w:vAlign w:val="center"/>
            <w:hideMark/>
          </w:tcPr>
          <w:p w14:paraId="2A0C76E5"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19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39E644"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Índice da capacidade de articulação institucional para fiscalização (%)</w:t>
            </w:r>
            <w:r w:rsidRPr="00FC5F96">
              <w:rPr>
                <w:rFonts w:ascii="Calibri" w:eastAsia="Times New Roman" w:hAnsi="Calibri" w:cs="Calibri"/>
                <w:sz w:val="20"/>
                <w:szCs w:val="20"/>
                <w:lang w:eastAsia="pt-BR"/>
              </w:rPr>
              <w:br/>
            </w:r>
            <w:r w:rsidRPr="00FC5F96">
              <w:rPr>
                <w:rFonts w:ascii="Calibri" w:eastAsia="Times New Roman" w:hAnsi="Calibri" w:cs="Calibri"/>
                <w:b/>
                <w:bCs/>
                <w:sz w:val="20"/>
                <w:szCs w:val="20"/>
                <w:lang w:eastAsia="pt-BR"/>
              </w:rPr>
              <w:t>(CAU/UF)</w:t>
            </w:r>
          </w:p>
        </w:tc>
        <w:tc>
          <w:tcPr>
            <w:tcW w:w="46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438596" w14:textId="2CF65F49" w:rsidR="00FC5F96" w:rsidRPr="00FC5F96" w:rsidRDefault="00FC5F96" w:rsidP="00FC5F96">
            <w:pPr>
              <w:spacing w:after="0" w:line="240" w:lineRule="auto"/>
              <w:jc w:val="both"/>
              <w:rPr>
                <w:rFonts w:ascii="Calibri" w:eastAsia="Times New Roman" w:hAnsi="Calibri" w:cs="Calibri"/>
                <w:sz w:val="20"/>
                <w:szCs w:val="20"/>
                <w:lang w:eastAsia="pt-BR"/>
              </w:rPr>
            </w:pPr>
            <w:r w:rsidRPr="00FC5F96">
              <w:rPr>
                <w:rFonts w:ascii="Calibri" w:eastAsia="Times New Roman" w:hAnsi="Calibri" w:cs="Calibri"/>
                <w:b/>
                <w:bCs/>
                <w:sz w:val="20"/>
                <w:szCs w:val="20"/>
                <w:lang w:eastAsia="pt-BR"/>
              </w:rPr>
              <w:t xml:space="preserve">Envolve ações de </w:t>
            </w:r>
            <w:r w:rsidRPr="00FC5F96">
              <w:rPr>
                <w:rFonts w:ascii="Calibri" w:eastAsia="Times New Roman" w:hAnsi="Calibri" w:cs="Calibri"/>
                <w:sz w:val="20"/>
                <w:szCs w:val="20"/>
                <w:lang w:eastAsia="pt-BR"/>
              </w:rPr>
              <w:t>Cooperação Técnica para Fiscalização,</w:t>
            </w:r>
            <w:r w:rsidR="009C3E25">
              <w:rPr>
                <w:rFonts w:ascii="Calibri" w:eastAsia="Times New Roman" w:hAnsi="Calibri" w:cs="Calibri"/>
                <w:sz w:val="20"/>
                <w:szCs w:val="20"/>
                <w:lang w:eastAsia="pt-BR"/>
              </w:rPr>
              <w:t xml:space="preserve"> </w:t>
            </w:r>
            <w:r w:rsidRPr="00FC5F96">
              <w:rPr>
                <w:rFonts w:ascii="Calibri" w:eastAsia="Times New Roman" w:hAnsi="Calibri" w:cs="Calibri"/>
                <w:sz w:val="20"/>
                <w:szCs w:val="20"/>
                <w:lang w:eastAsia="pt-BR"/>
              </w:rPr>
              <w:t>Compartilhamento de Plataforma de Georreferenciamento, etc. Os t</w:t>
            </w:r>
            <w:r w:rsidRPr="00FC5F96">
              <w:rPr>
                <w:rFonts w:ascii="Calibri" w:eastAsia="Times New Roman" w:hAnsi="Calibri" w:cs="Calibri"/>
                <w:b/>
                <w:bCs/>
                <w:sz w:val="20"/>
                <w:szCs w:val="20"/>
                <w:lang w:eastAsia="pt-BR"/>
              </w:rPr>
              <w:t>ermos devem estar publicados</w:t>
            </w:r>
            <w:r w:rsidRPr="00FC5F96">
              <w:rPr>
                <w:rFonts w:ascii="Calibri" w:eastAsia="Times New Roman" w:hAnsi="Calibri" w:cs="Calibri"/>
                <w:sz w:val="20"/>
                <w:szCs w:val="20"/>
                <w:lang w:eastAsia="pt-BR"/>
              </w:rPr>
              <w:t xml:space="preserve"> no Portal da Transparência do CAU/UF</w:t>
            </w:r>
            <w:r w:rsidR="009C3E25">
              <w:rPr>
                <w:rFonts w:ascii="Calibri" w:eastAsia="Times New Roman" w:hAnsi="Calibri" w:cs="Calibri"/>
                <w:sz w:val="20"/>
                <w:szCs w:val="20"/>
                <w:lang w:eastAsia="pt-BR"/>
              </w:rPr>
              <w:t>.</w:t>
            </w:r>
          </w:p>
        </w:tc>
        <w:tc>
          <w:tcPr>
            <w:tcW w:w="2047" w:type="dxa"/>
            <w:tcBorders>
              <w:top w:val="nil"/>
              <w:left w:val="nil"/>
              <w:bottom w:val="single" w:sz="4" w:space="0" w:color="auto"/>
              <w:right w:val="nil"/>
            </w:tcBorders>
            <w:shd w:val="clear" w:color="000000" w:fill="FFFFFF"/>
            <w:vAlign w:val="bottom"/>
            <w:hideMark/>
          </w:tcPr>
          <w:p w14:paraId="34689EE3" w14:textId="38C6FFA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quantidade de termos de cooperação técnica e parcerias para racionalização da</w:t>
            </w:r>
            <w:r w:rsidR="009C3E25">
              <w:rPr>
                <w:rFonts w:ascii="Calibri" w:eastAsia="Times New Roman" w:hAnsi="Calibri" w:cs="Calibri"/>
                <w:sz w:val="20"/>
                <w:szCs w:val="20"/>
                <w:lang w:eastAsia="pt-BR"/>
              </w:rPr>
              <w:t>s</w:t>
            </w:r>
            <w:r w:rsidRPr="00FC5F96">
              <w:rPr>
                <w:rFonts w:ascii="Calibri" w:eastAsia="Times New Roman" w:hAnsi="Calibri" w:cs="Calibri"/>
                <w:sz w:val="20"/>
                <w:szCs w:val="20"/>
                <w:lang w:eastAsia="pt-BR"/>
              </w:rPr>
              <w:t xml:space="preserve"> ações de fiscalização</w:t>
            </w:r>
          </w:p>
        </w:tc>
        <w:tc>
          <w:tcPr>
            <w:tcW w:w="930" w:type="dxa"/>
            <w:vMerge w:val="restart"/>
            <w:tcBorders>
              <w:top w:val="nil"/>
              <w:left w:val="nil"/>
              <w:bottom w:val="single" w:sz="4" w:space="0" w:color="auto"/>
              <w:right w:val="single" w:sz="4" w:space="0" w:color="auto"/>
            </w:tcBorders>
            <w:shd w:val="clear" w:color="000000" w:fill="FFFFFF"/>
            <w:vAlign w:val="center"/>
            <w:hideMark/>
          </w:tcPr>
          <w:p w14:paraId="2CA44AAD"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x 100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D18B04"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Semestral</w:t>
            </w:r>
          </w:p>
        </w:tc>
        <w:tc>
          <w:tcPr>
            <w:tcW w:w="119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42CEECD3"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 xml:space="preserve">Portal da Transparência do CAU/UF </w:t>
            </w:r>
          </w:p>
        </w:tc>
      </w:tr>
      <w:tr w:rsidR="00FC5F96" w:rsidRPr="00FC5F96" w14:paraId="73EC8958" w14:textId="77777777" w:rsidTr="00996FD4">
        <w:trPr>
          <w:trHeight w:val="1002"/>
        </w:trPr>
        <w:tc>
          <w:tcPr>
            <w:tcW w:w="1560" w:type="dxa"/>
            <w:vMerge/>
            <w:tcBorders>
              <w:top w:val="nil"/>
              <w:left w:val="single" w:sz="8" w:space="0" w:color="auto"/>
              <w:bottom w:val="single" w:sz="4" w:space="0" w:color="000000"/>
              <w:right w:val="single" w:sz="4" w:space="0" w:color="auto"/>
            </w:tcBorders>
            <w:vAlign w:val="center"/>
            <w:hideMark/>
          </w:tcPr>
          <w:p w14:paraId="5E12F6BE"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854" w:type="dxa"/>
            <w:vMerge/>
            <w:tcBorders>
              <w:top w:val="nil"/>
              <w:left w:val="single" w:sz="4" w:space="0" w:color="auto"/>
              <w:bottom w:val="single" w:sz="4" w:space="0" w:color="000000"/>
              <w:right w:val="single" w:sz="4" w:space="0" w:color="auto"/>
            </w:tcBorders>
            <w:vAlign w:val="center"/>
            <w:hideMark/>
          </w:tcPr>
          <w:p w14:paraId="1890B044"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195" w:type="dxa"/>
            <w:vMerge/>
            <w:tcBorders>
              <w:top w:val="nil"/>
              <w:left w:val="single" w:sz="4" w:space="0" w:color="auto"/>
              <w:bottom w:val="single" w:sz="4" w:space="0" w:color="auto"/>
              <w:right w:val="single" w:sz="4" w:space="0" w:color="auto"/>
            </w:tcBorders>
            <w:vAlign w:val="center"/>
            <w:hideMark/>
          </w:tcPr>
          <w:p w14:paraId="01C6E0FF"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4677" w:type="dxa"/>
            <w:vMerge/>
            <w:tcBorders>
              <w:top w:val="nil"/>
              <w:left w:val="single" w:sz="4" w:space="0" w:color="auto"/>
              <w:bottom w:val="single" w:sz="4" w:space="0" w:color="auto"/>
              <w:right w:val="single" w:sz="4" w:space="0" w:color="auto"/>
            </w:tcBorders>
            <w:vAlign w:val="center"/>
            <w:hideMark/>
          </w:tcPr>
          <w:p w14:paraId="45B24445"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047" w:type="dxa"/>
            <w:tcBorders>
              <w:top w:val="nil"/>
              <w:left w:val="nil"/>
              <w:bottom w:val="single" w:sz="4" w:space="0" w:color="auto"/>
              <w:right w:val="nil"/>
            </w:tcBorders>
            <w:shd w:val="clear" w:color="000000" w:fill="FFFFFF"/>
            <w:hideMark/>
          </w:tcPr>
          <w:p w14:paraId="62F1D64C"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número de termos e parcerias previstos no Plano de Ação</w:t>
            </w:r>
          </w:p>
        </w:tc>
        <w:tc>
          <w:tcPr>
            <w:tcW w:w="930" w:type="dxa"/>
            <w:vMerge/>
            <w:tcBorders>
              <w:top w:val="nil"/>
              <w:left w:val="nil"/>
              <w:bottom w:val="single" w:sz="4" w:space="0" w:color="auto"/>
              <w:right w:val="single" w:sz="4" w:space="0" w:color="auto"/>
            </w:tcBorders>
            <w:vAlign w:val="center"/>
            <w:hideMark/>
          </w:tcPr>
          <w:p w14:paraId="72B6FA2C"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70A85EA5"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196" w:type="dxa"/>
            <w:vMerge/>
            <w:tcBorders>
              <w:top w:val="nil"/>
              <w:left w:val="single" w:sz="4" w:space="0" w:color="auto"/>
              <w:bottom w:val="single" w:sz="4" w:space="0" w:color="000000"/>
              <w:right w:val="single" w:sz="8" w:space="0" w:color="auto"/>
            </w:tcBorders>
            <w:vAlign w:val="center"/>
            <w:hideMark/>
          </w:tcPr>
          <w:p w14:paraId="0643D91B" w14:textId="77777777" w:rsidR="00FC5F96" w:rsidRPr="00FC5F96" w:rsidRDefault="00FC5F96" w:rsidP="00FC5F96">
            <w:pPr>
              <w:spacing w:after="0" w:line="240" w:lineRule="auto"/>
              <w:rPr>
                <w:rFonts w:ascii="Calibri" w:eastAsia="Times New Roman" w:hAnsi="Calibri" w:cs="Calibri"/>
                <w:sz w:val="20"/>
                <w:szCs w:val="20"/>
                <w:lang w:eastAsia="pt-BR"/>
              </w:rPr>
            </w:pPr>
          </w:p>
        </w:tc>
      </w:tr>
      <w:tr w:rsidR="009C3E25" w:rsidRPr="00FC5F96" w14:paraId="127CE0CE" w14:textId="77777777" w:rsidTr="00996FD4">
        <w:trPr>
          <w:trHeight w:val="1402"/>
        </w:trPr>
        <w:tc>
          <w:tcPr>
            <w:tcW w:w="1560" w:type="dxa"/>
            <w:vMerge/>
            <w:tcBorders>
              <w:top w:val="nil"/>
              <w:left w:val="single" w:sz="8" w:space="0" w:color="auto"/>
              <w:bottom w:val="single" w:sz="4" w:space="0" w:color="000000"/>
              <w:right w:val="single" w:sz="4" w:space="0" w:color="auto"/>
            </w:tcBorders>
            <w:vAlign w:val="center"/>
            <w:hideMark/>
          </w:tcPr>
          <w:p w14:paraId="545DD912"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854" w:type="dxa"/>
            <w:vMerge/>
            <w:tcBorders>
              <w:top w:val="nil"/>
              <w:left w:val="single" w:sz="4" w:space="0" w:color="auto"/>
              <w:bottom w:val="single" w:sz="4" w:space="0" w:color="000000"/>
              <w:right w:val="single" w:sz="4" w:space="0" w:color="auto"/>
            </w:tcBorders>
            <w:vAlign w:val="center"/>
            <w:hideMark/>
          </w:tcPr>
          <w:p w14:paraId="2F5D7B28"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19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4A6B6C"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Índice produtividade de fiscalização (%)</w:t>
            </w:r>
            <w:r w:rsidRPr="00FC5F96">
              <w:rPr>
                <w:rFonts w:ascii="Calibri" w:eastAsia="Times New Roman" w:hAnsi="Calibri" w:cs="Calibri"/>
                <w:sz w:val="20"/>
                <w:szCs w:val="20"/>
                <w:lang w:eastAsia="pt-BR"/>
              </w:rPr>
              <w:br/>
            </w:r>
            <w:r w:rsidRPr="00FC5F96">
              <w:rPr>
                <w:rFonts w:ascii="Calibri" w:eastAsia="Times New Roman" w:hAnsi="Calibri" w:cs="Calibri"/>
                <w:b/>
                <w:bCs/>
                <w:sz w:val="20"/>
                <w:szCs w:val="20"/>
                <w:lang w:eastAsia="pt-BR"/>
              </w:rPr>
              <w:t>(CAU/UF)</w:t>
            </w:r>
          </w:p>
        </w:tc>
        <w:tc>
          <w:tcPr>
            <w:tcW w:w="467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07E96C" w14:textId="4E4858FD" w:rsidR="00FC5F96" w:rsidRPr="00FC5F96" w:rsidRDefault="00FC5F96" w:rsidP="00FC5F96">
            <w:pPr>
              <w:spacing w:after="0" w:line="240" w:lineRule="auto"/>
              <w:jc w:val="both"/>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 xml:space="preserve">Indicador para medir se os CAU/UF a capacidade de fiscalização por hora trabalhada do fiscal. Compara a quantidade de ações de fiscalização realizadas no mês com a quantidade de horas de fiscalização. </w:t>
            </w:r>
            <w:r w:rsidRPr="00FC5F96">
              <w:rPr>
                <w:rFonts w:ascii="Calibri" w:eastAsia="Times New Roman" w:hAnsi="Calibri" w:cs="Calibri"/>
                <w:b/>
                <w:bCs/>
                <w:sz w:val="20"/>
                <w:szCs w:val="20"/>
                <w:lang w:eastAsia="pt-BR"/>
              </w:rPr>
              <w:t>Para calcular o número</w:t>
            </w:r>
            <w:r w:rsidRPr="00FC5F96">
              <w:rPr>
                <w:rFonts w:ascii="Calibri" w:eastAsia="Times New Roman" w:hAnsi="Calibri" w:cs="Calibri"/>
                <w:sz w:val="20"/>
                <w:szCs w:val="20"/>
                <w:lang w:eastAsia="pt-BR"/>
              </w:rPr>
              <w:t xml:space="preserve"> de horas de fiscalização utiliza-se a quantidade de fiscais x horas trabalhadas por mês.</w:t>
            </w:r>
          </w:p>
        </w:tc>
        <w:tc>
          <w:tcPr>
            <w:tcW w:w="2047" w:type="dxa"/>
            <w:tcBorders>
              <w:top w:val="nil"/>
              <w:left w:val="nil"/>
              <w:bottom w:val="single" w:sz="4" w:space="0" w:color="auto"/>
              <w:right w:val="nil"/>
            </w:tcBorders>
            <w:shd w:val="clear" w:color="000000" w:fill="FFFFFF"/>
            <w:vAlign w:val="bottom"/>
            <w:hideMark/>
          </w:tcPr>
          <w:p w14:paraId="7492B03E"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quantidade mensal de ações de fiscalização realizada</w:t>
            </w:r>
          </w:p>
        </w:tc>
        <w:tc>
          <w:tcPr>
            <w:tcW w:w="930" w:type="dxa"/>
            <w:vMerge w:val="restart"/>
            <w:tcBorders>
              <w:top w:val="nil"/>
              <w:left w:val="nil"/>
              <w:bottom w:val="single" w:sz="4" w:space="0" w:color="auto"/>
              <w:right w:val="single" w:sz="4" w:space="0" w:color="auto"/>
            </w:tcBorders>
            <w:shd w:val="clear" w:color="000000" w:fill="FFFFFF"/>
            <w:vAlign w:val="center"/>
            <w:hideMark/>
          </w:tcPr>
          <w:p w14:paraId="3A803CD3"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x 100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AA3FB2"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Mensal</w:t>
            </w:r>
          </w:p>
        </w:tc>
        <w:tc>
          <w:tcPr>
            <w:tcW w:w="119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725A6FB8"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SICCAU</w:t>
            </w:r>
          </w:p>
        </w:tc>
      </w:tr>
      <w:tr w:rsidR="00FC5F96" w:rsidRPr="00FC5F96" w14:paraId="4CBA73CB" w14:textId="77777777" w:rsidTr="00996FD4">
        <w:trPr>
          <w:trHeight w:val="1248"/>
        </w:trPr>
        <w:tc>
          <w:tcPr>
            <w:tcW w:w="1560" w:type="dxa"/>
            <w:vMerge/>
            <w:tcBorders>
              <w:top w:val="nil"/>
              <w:left w:val="single" w:sz="8" w:space="0" w:color="auto"/>
              <w:bottom w:val="single" w:sz="4" w:space="0" w:color="000000"/>
              <w:right w:val="single" w:sz="4" w:space="0" w:color="auto"/>
            </w:tcBorders>
            <w:vAlign w:val="center"/>
            <w:hideMark/>
          </w:tcPr>
          <w:p w14:paraId="5BC8F528"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854" w:type="dxa"/>
            <w:vMerge/>
            <w:tcBorders>
              <w:top w:val="nil"/>
              <w:left w:val="single" w:sz="4" w:space="0" w:color="auto"/>
              <w:bottom w:val="single" w:sz="4" w:space="0" w:color="000000"/>
              <w:right w:val="single" w:sz="4" w:space="0" w:color="auto"/>
            </w:tcBorders>
            <w:vAlign w:val="center"/>
            <w:hideMark/>
          </w:tcPr>
          <w:p w14:paraId="4771F3D2"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195" w:type="dxa"/>
            <w:vMerge/>
            <w:tcBorders>
              <w:top w:val="nil"/>
              <w:left w:val="single" w:sz="4" w:space="0" w:color="auto"/>
              <w:bottom w:val="single" w:sz="4" w:space="0" w:color="auto"/>
              <w:right w:val="single" w:sz="4" w:space="0" w:color="auto"/>
            </w:tcBorders>
            <w:vAlign w:val="center"/>
            <w:hideMark/>
          </w:tcPr>
          <w:p w14:paraId="79A39587"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4677" w:type="dxa"/>
            <w:vMerge/>
            <w:tcBorders>
              <w:top w:val="nil"/>
              <w:left w:val="single" w:sz="4" w:space="0" w:color="auto"/>
              <w:bottom w:val="single" w:sz="4" w:space="0" w:color="000000"/>
              <w:right w:val="single" w:sz="4" w:space="0" w:color="auto"/>
            </w:tcBorders>
            <w:vAlign w:val="center"/>
            <w:hideMark/>
          </w:tcPr>
          <w:p w14:paraId="13AC5EDF"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047" w:type="dxa"/>
            <w:tcBorders>
              <w:top w:val="nil"/>
              <w:left w:val="nil"/>
              <w:bottom w:val="single" w:sz="4" w:space="0" w:color="auto"/>
              <w:right w:val="nil"/>
            </w:tcBorders>
            <w:shd w:val="clear" w:color="000000" w:fill="FFFFFF"/>
            <w:hideMark/>
          </w:tcPr>
          <w:p w14:paraId="56C04A2E"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número de horas de fiscalização mensal</w:t>
            </w:r>
          </w:p>
        </w:tc>
        <w:tc>
          <w:tcPr>
            <w:tcW w:w="930" w:type="dxa"/>
            <w:vMerge/>
            <w:tcBorders>
              <w:top w:val="nil"/>
              <w:left w:val="nil"/>
              <w:bottom w:val="single" w:sz="4" w:space="0" w:color="auto"/>
              <w:right w:val="single" w:sz="4" w:space="0" w:color="auto"/>
            </w:tcBorders>
            <w:vAlign w:val="center"/>
            <w:hideMark/>
          </w:tcPr>
          <w:p w14:paraId="29EAB741"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2C850BB6"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196" w:type="dxa"/>
            <w:vMerge/>
            <w:tcBorders>
              <w:top w:val="nil"/>
              <w:left w:val="single" w:sz="4" w:space="0" w:color="auto"/>
              <w:bottom w:val="single" w:sz="4" w:space="0" w:color="000000"/>
              <w:right w:val="single" w:sz="8" w:space="0" w:color="auto"/>
            </w:tcBorders>
            <w:vAlign w:val="center"/>
            <w:hideMark/>
          </w:tcPr>
          <w:p w14:paraId="071F0975" w14:textId="77777777" w:rsidR="00FC5F96" w:rsidRPr="00FC5F96" w:rsidRDefault="00FC5F96" w:rsidP="00FC5F96">
            <w:pPr>
              <w:spacing w:after="0" w:line="240" w:lineRule="auto"/>
              <w:rPr>
                <w:rFonts w:ascii="Calibri" w:eastAsia="Times New Roman" w:hAnsi="Calibri" w:cs="Calibri"/>
                <w:sz w:val="20"/>
                <w:szCs w:val="20"/>
                <w:lang w:eastAsia="pt-BR"/>
              </w:rPr>
            </w:pPr>
          </w:p>
        </w:tc>
      </w:tr>
    </w:tbl>
    <w:p w14:paraId="776F62C0" w14:textId="1A81D7CE" w:rsidR="00A43218" w:rsidRPr="004719E1" w:rsidRDefault="00BB3C89" w:rsidP="00BB3C89">
      <w:pPr>
        <w:spacing w:after="0"/>
        <w:ind w:left="-567"/>
        <w:rPr>
          <w:rFonts w:asciiTheme="majorHAnsi" w:hAnsiTheme="majorHAnsi" w:cstheme="majorHAnsi"/>
          <w:b/>
          <w:bCs/>
        </w:rPr>
      </w:pPr>
      <w:r w:rsidRPr="004719E1">
        <w:rPr>
          <w:rFonts w:asciiTheme="majorHAnsi" w:hAnsiTheme="majorHAnsi" w:cstheme="majorHAnsi"/>
          <w:b/>
          <w:bCs/>
        </w:rPr>
        <w:t>ANEXO I.c – Indicadores Institucionais e de Resultado – CAU UF</w:t>
      </w:r>
    </w:p>
    <w:tbl>
      <w:tblPr>
        <w:tblW w:w="15593" w:type="dxa"/>
        <w:tblInd w:w="-577" w:type="dxa"/>
        <w:tblCellMar>
          <w:left w:w="70" w:type="dxa"/>
          <w:right w:w="70" w:type="dxa"/>
        </w:tblCellMar>
        <w:tblLook w:val="04A0" w:firstRow="1" w:lastRow="0" w:firstColumn="1" w:lastColumn="0" w:noHBand="0" w:noVBand="1"/>
      </w:tblPr>
      <w:tblGrid>
        <w:gridCol w:w="1498"/>
        <w:gridCol w:w="1904"/>
        <w:gridCol w:w="2410"/>
        <w:gridCol w:w="4474"/>
        <w:gridCol w:w="2188"/>
        <w:gridCol w:w="710"/>
        <w:gridCol w:w="1133"/>
        <w:gridCol w:w="1276"/>
      </w:tblGrid>
      <w:tr w:rsidR="00D86B8D" w:rsidRPr="009C37C2" w14:paraId="1085DB9C" w14:textId="77777777" w:rsidTr="00996FD4">
        <w:trPr>
          <w:trHeight w:val="1575"/>
        </w:trPr>
        <w:tc>
          <w:tcPr>
            <w:tcW w:w="1498"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1199C212" w14:textId="77777777"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Perspectiva</w:t>
            </w:r>
          </w:p>
        </w:tc>
        <w:tc>
          <w:tcPr>
            <w:tcW w:w="1904" w:type="dxa"/>
            <w:tcBorders>
              <w:top w:val="single" w:sz="8" w:space="0" w:color="auto"/>
              <w:left w:val="nil"/>
              <w:bottom w:val="single" w:sz="8" w:space="0" w:color="auto"/>
              <w:right w:val="single" w:sz="4" w:space="0" w:color="auto"/>
            </w:tcBorders>
            <w:shd w:val="clear" w:color="auto" w:fill="ED7D31" w:themeFill="accent2"/>
            <w:vAlign w:val="center"/>
            <w:hideMark/>
          </w:tcPr>
          <w:p w14:paraId="52B6F8BE" w14:textId="77777777"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Objetivo Estratégico</w:t>
            </w:r>
          </w:p>
        </w:tc>
        <w:tc>
          <w:tcPr>
            <w:tcW w:w="2410" w:type="dxa"/>
            <w:tcBorders>
              <w:top w:val="single" w:sz="8" w:space="0" w:color="auto"/>
              <w:left w:val="nil"/>
              <w:bottom w:val="single" w:sz="8" w:space="0" w:color="auto"/>
              <w:right w:val="single" w:sz="4" w:space="0" w:color="auto"/>
            </w:tcBorders>
            <w:shd w:val="clear" w:color="auto" w:fill="ED7D31" w:themeFill="accent2"/>
            <w:vAlign w:val="center"/>
            <w:hideMark/>
          </w:tcPr>
          <w:p w14:paraId="50716072" w14:textId="22E2610E"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Indicador</w:t>
            </w:r>
          </w:p>
        </w:tc>
        <w:tc>
          <w:tcPr>
            <w:tcW w:w="4474" w:type="dxa"/>
            <w:tcBorders>
              <w:top w:val="single" w:sz="8" w:space="0" w:color="auto"/>
              <w:left w:val="nil"/>
              <w:bottom w:val="single" w:sz="8" w:space="0" w:color="auto"/>
              <w:right w:val="single" w:sz="4" w:space="0" w:color="auto"/>
            </w:tcBorders>
            <w:shd w:val="clear" w:color="auto" w:fill="ED7D31" w:themeFill="accent2"/>
            <w:vAlign w:val="center"/>
            <w:hideMark/>
          </w:tcPr>
          <w:p w14:paraId="288DE3EF" w14:textId="77777777"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Descrição</w:t>
            </w:r>
          </w:p>
        </w:tc>
        <w:tc>
          <w:tcPr>
            <w:tcW w:w="2898" w:type="dxa"/>
            <w:gridSpan w:val="2"/>
            <w:tcBorders>
              <w:top w:val="single" w:sz="8" w:space="0" w:color="auto"/>
              <w:left w:val="nil"/>
              <w:bottom w:val="single" w:sz="8" w:space="0" w:color="auto"/>
              <w:right w:val="single" w:sz="4" w:space="0" w:color="auto"/>
            </w:tcBorders>
            <w:shd w:val="clear" w:color="auto" w:fill="ED7D31" w:themeFill="accent2"/>
            <w:noWrap/>
            <w:vAlign w:val="center"/>
            <w:hideMark/>
          </w:tcPr>
          <w:p w14:paraId="666E1E97" w14:textId="77777777"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Fórmula de Cálculo</w:t>
            </w:r>
          </w:p>
        </w:tc>
        <w:tc>
          <w:tcPr>
            <w:tcW w:w="1133" w:type="dxa"/>
            <w:tcBorders>
              <w:top w:val="single" w:sz="8" w:space="0" w:color="auto"/>
              <w:left w:val="nil"/>
              <w:bottom w:val="single" w:sz="8" w:space="0" w:color="auto"/>
              <w:right w:val="single" w:sz="4" w:space="0" w:color="auto"/>
            </w:tcBorders>
            <w:shd w:val="clear" w:color="auto" w:fill="ED7D31" w:themeFill="accent2"/>
            <w:vAlign w:val="center"/>
            <w:hideMark/>
          </w:tcPr>
          <w:p w14:paraId="29986DBC" w14:textId="77777777"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Frequência</w:t>
            </w:r>
            <w:r w:rsidRPr="009C37C2">
              <w:rPr>
                <w:rFonts w:ascii="Calibri" w:eastAsia="Times New Roman" w:hAnsi="Calibri" w:cs="Calibri"/>
                <w:b/>
                <w:bCs/>
                <w:color w:val="FFFFFF"/>
                <w:sz w:val="20"/>
                <w:szCs w:val="20"/>
                <w:lang w:eastAsia="pt-BR"/>
              </w:rPr>
              <w:br/>
              <w:t>de Medição</w:t>
            </w:r>
          </w:p>
        </w:tc>
        <w:tc>
          <w:tcPr>
            <w:tcW w:w="1276" w:type="dxa"/>
            <w:tcBorders>
              <w:top w:val="single" w:sz="8" w:space="0" w:color="auto"/>
              <w:left w:val="nil"/>
              <w:bottom w:val="single" w:sz="8" w:space="0" w:color="auto"/>
              <w:right w:val="single" w:sz="8" w:space="0" w:color="auto"/>
            </w:tcBorders>
            <w:shd w:val="clear" w:color="auto" w:fill="ED7D31" w:themeFill="accent2"/>
            <w:vAlign w:val="center"/>
            <w:hideMark/>
          </w:tcPr>
          <w:p w14:paraId="57B687D5" w14:textId="77777777"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Fonte do Indicador</w:t>
            </w:r>
          </w:p>
        </w:tc>
      </w:tr>
      <w:tr w:rsidR="00D86B8D" w:rsidRPr="009C37C2" w14:paraId="0D146871" w14:textId="77777777" w:rsidTr="00996FD4">
        <w:trPr>
          <w:trHeight w:val="1230"/>
        </w:trPr>
        <w:tc>
          <w:tcPr>
            <w:tcW w:w="1498" w:type="dxa"/>
            <w:vMerge w:val="restart"/>
            <w:tcBorders>
              <w:top w:val="nil"/>
              <w:left w:val="single" w:sz="8" w:space="0" w:color="auto"/>
              <w:bottom w:val="single" w:sz="4" w:space="0" w:color="000000"/>
              <w:right w:val="single" w:sz="4" w:space="0" w:color="auto"/>
            </w:tcBorders>
            <w:shd w:val="clear" w:color="auto" w:fill="auto"/>
            <w:vAlign w:val="center"/>
            <w:hideMark/>
          </w:tcPr>
          <w:p w14:paraId="7A46B25B"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Processos Internos (Excelência Organizacional)</w:t>
            </w:r>
          </w:p>
        </w:tc>
        <w:tc>
          <w:tcPr>
            <w:tcW w:w="19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535403A"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Tornar a fiscalização um vetor de melhoria</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EDAB96"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Índice de regularidade no CAU (%)</w:t>
            </w:r>
            <w:r w:rsidRPr="009C37C2">
              <w:rPr>
                <w:rFonts w:ascii="Calibri" w:eastAsia="Times New Roman" w:hAnsi="Calibri" w:cs="Calibri"/>
                <w:sz w:val="20"/>
                <w:szCs w:val="20"/>
                <w:lang w:eastAsia="pt-BR"/>
              </w:rPr>
              <w:br/>
            </w:r>
            <w:r w:rsidRPr="009C37C2">
              <w:rPr>
                <w:rFonts w:ascii="Calibri" w:eastAsia="Times New Roman" w:hAnsi="Calibri" w:cs="Calibri"/>
                <w:b/>
                <w:bCs/>
                <w:sz w:val="20"/>
                <w:szCs w:val="20"/>
                <w:lang w:eastAsia="pt-BR"/>
              </w:rPr>
              <w:t>(CAU/UF)</w:t>
            </w:r>
          </w:p>
        </w:tc>
        <w:tc>
          <w:tcPr>
            <w:tcW w:w="447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6DC9460" w14:textId="77777777" w:rsidR="009C37C2" w:rsidRPr="009C37C2" w:rsidRDefault="009C37C2" w:rsidP="009C37C2">
            <w:pPr>
              <w:spacing w:after="0" w:line="240" w:lineRule="auto"/>
              <w:jc w:val="both"/>
              <w:rPr>
                <w:rFonts w:ascii="Calibri" w:eastAsia="Times New Roman" w:hAnsi="Calibri" w:cs="Calibri"/>
                <w:color w:val="000000"/>
                <w:sz w:val="20"/>
                <w:szCs w:val="20"/>
                <w:lang w:eastAsia="pt-BR"/>
              </w:rPr>
            </w:pPr>
            <w:r w:rsidRPr="009C37C2">
              <w:rPr>
                <w:rFonts w:ascii="Calibri" w:eastAsia="Times New Roman" w:hAnsi="Calibri" w:cs="Calibri"/>
                <w:color w:val="000000"/>
                <w:sz w:val="20"/>
                <w:szCs w:val="20"/>
                <w:lang w:eastAsia="pt-BR"/>
              </w:rPr>
              <w:t xml:space="preserve">O Índice de Regularidade corresponde ao quociente do número de obras e serviços regulares de Arquitetura e Urbanismo (Lei 12.378/2010). Para este indicador, são consideradas regulares aquelas obras que, no momento da ação de fiscalização, apresentam </w:t>
            </w:r>
            <w:r w:rsidRPr="009C37C2">
              <w:rPr>
                <w:rFonts w:ascii="Calibri" w:eastAsia="Times New Roman" w:hAnsi="Calibri" w:cs="Calibri"/>
                <w:b/>
                <w:bCs/>
                <w:color w:val="000000"/>
                <w:sz w:val="20"/>
                <w:szCs w:val="20"/>
                <w:u w:val="single"/>
                <w:lang w:eastAsia="pt-BR"/>
              </w:rPr>
              <w:t>RRT.</w:t>
            </w:r>
          </w:p>
        </w:tc>
        <w:tc>
          <w:tcPr>
            <w:tcW w:w="2188" w:type="dxa"/>
            <w:tcBorders>
              <w:top w:val="single" w:sz="4" w:space="0" w:color="auto"/>
              <w:left w:val="nil"/>
              <w:bottom w:val="single" w:sz="4" w:space="0" w:color="auto"/>
              <w:right w:val="nil"/>
            </w:tcBorders>
            <w:shd w:val="clear" w:color="000000" w:fill="FFFFFF"/>
            <w:vAlign w:val="bottom"/>
            <w:hideMark/>
          </w:tcPr>
          <w:p w14:paraId="1734FC85"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quantidade obras e serviços com RRT</w:t>
            </w:r>
          </w:p>
        </w:tc>
        <w:tc>
          <w:tcPr>
            <w:tcW w:w="710" w:type="dxa"/>
            <w:vMerge w:val="restart"/>
            <w:tcBorders>
              <w:top w:val="single" w:sz="4" w:space="0" w:color="auto"/>
              <w:left w:val="nil"/>
              <w:bottom w:val="single" w:sz="4" w:space="0" w:color="auto"/>
              <w:right w:val="single" w:sz="4" w:space="0" w:color="auto"/>
            </w:tcBorders>
            <w:shd w:val="clear" w:color="000000" w:fill="FFFFFF"/>
            <w:vAlign w:val="center"/>
            <w:hideMark/>
          </w:tcPr>
          <w:p w14:paraId="66C84564" w14:textId="77777777" w:rsidR="009C37C2" w:rsidRPr="009C37C2" w:rsidRDefault="009C37C2" w:rsidP="00954D0F">
            <w:pPr>
              <w:spacing w:after="0" w:line="240" w:lineRule="auto"/>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x 100</w:t>
            </w:r>
          </w:p>
        </w:tc>
        <w:tc>
          <w:tcPr>
            <w:tcW w:w="11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1B0DAF"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Mensal</w:t>
            </w:r>
          </w:p>
        </w:tc>
        <w:tc>
          <w:tcPr>
            <w:tcW w:w="1276" w:type="dxa"/>
            <w:vMerge w:val="restart"/>
            <w:tcBorders>
              <w:top w:val="single" w:sz="4" w:space="0" w:color="auto"/>
              <w:left w:val="single" w:sz="4" w:space="0" w:color="auto"/>
              <w:bottom w:val="single" w:sz="4" w:space="0" w:color="000000"/>
              <w:right w:val="single" w:sz="8" w:space="0" w:color="auto"/>
            </w:tcBorders>
            <w:shd w:val="clear" w:color="000000" w:fill="FFFFFF"/>
            <w:vAlign w:val="center"/>
            <w:hideMark/>
          </w:tcPr>
          <w:p w14:paraId="24E8ABD2"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SICCAU</w:t>
            </w:r>
          </w:p>
        </w:tc>
      </w:tr>
      <w:tr w:rsidR="00954D0F" w:rsidRPr="009C37C2" w14:paraId="711DEC88" w14:textId="77777777" w:rsidTr="00996FD4">
        <w:trPr>
          <w:trHeight w:val="1104"/>
        </w:trPr>
        <w:tc>
          <w:tcPr>
            <w:tcW w:w="1498" w:type="dxa"/>
            <w:vMerge/>
            <w:tcBorders>
              <w:top w:val="nil"/>
              <w:left w:val="single" w:sz="8" w:space="0" w:color="auto"/>
              <w:bottom w:val="single" w:sz="4" w:space="0" w:color="000000"/>
              <w:right w:val="single" w:sz="4" w:space="0" w:color="auto"/>
            </w:tcBorders>
            <w:vAlign w:val="center"/>
            <w:hideMark/>
          </w:tcPr>
          <w:p w14:paraId="62F75FA9"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904" w:type="dxa"/>
            <w:vMerge/>
            <w:tcBorders>
              <w:top w:val="nil"/>
              <w:left w:val="single" w:sz="4" w:space="0" w:color="auto"/>
              <w:bottom w:val="single" w:sz="4" w:space="0" w:color="000000"/>
              <w:right w:val="single" w:sz="4" w:space="0" w:color="auto"/>
            </w:tcBorders>
            <w:vAlign w:val="center"/>
            <w:hideMark/>
          </w:tcPr>
          <w:p w14:paraId="471DC178"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B93E1B9"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4474" w:type="dxa"/>
            <w:vMerge/>
            <w:tcBorders>
              <w:top w:val="single" w:sz="4" w:space="0" w:color="auto"/>
              <w:left w:val="single" w:sz="4" w:space="0" w:color="auto"/>
              <w:bottom w:val="single" w:sz="4" w:space="0" w:color="000000"/>
              <w:right w:val="single" w:sz="4" w:space="0" w:color="auto"/>
            </w:tcBorders>
            <w:vAlign w:val="center"/>
            <w:hideMark/>
          </w:tcPr>
          <w:p w14:paraId="53475AD6" w14:textId="77777777" w:rsidR="009C37C2" w:rsidRPr="009C37C2" w:rsidRDefault="009C37C2" w:rsidP="009C37C2">
            <w:pPr>
              <w:spacing w:after="0" w:line="240" w:lineRule="auto"/>
              <w:rPr>
                <w:rFonts w:ascii="Calibri" w:eastAsia="Times New Roman" w:hAnsi="Calibri" w:cs="Calibri"/>
                <w:color w:val="000000"/>
                <w:sz w:val="20"/>
                <w:szCs w:val="20"/>
                <w:lang w:eastAsia="pt-BR"/>
              </w:rPr>
            </w:pPr>
          </w:p>
        </w:tc>
        <w:tc>
          <w:tcPr>
            <w:tcW w:w="2188" w:type="dxa"/>
            <w:tcBorders>
              <w:top w:val="nil"/>
              <w:left w:val="nil"/>
              <w:bottom w:val="single" w:sz="4" w:space="0" w:color="auto"/>
              <w:right w:val="nil"/>
            </w:tcBorders>
            <w:shd w:val="clear" w:color="000000" w:fill="FFFFFF"/>
            <w:hideMark/>
          </w:tcPr>
          <w:p w14:paraId="73749B68"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quantidade de obras e serviços regulares</w:t>
            </w:r>
          </w:p>
        </w:tc>
        <w:tc>
          <w:tcPr>
            <w:tcW w:w="710" w:type="dxa"/>
            <w:vMerge/>
            <w:tcBorders>
              <w:top w:val="single" w:sz="4" w:space="0" w:color="auto"/>
              <w:left w:val="nil"/>
              <w:bottom w:val="single" w:sz="4" w:space="0" w:color="auto"/>
              <w:right w:val="single" w:sz="4" w:space="0" w:color="auto"/>
            </w:tcBorders>
            <w:vAlign w:val="center"/>
            <w:hideMark/>
          </w:tcPr>
          <w:p w14:paraId="5B7AD28D"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1EC491C"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276" w:type="dxa"/>
            <w:vMerge/>
            <w:tcBorders>
              <w:top w:val="single" w:sz="4" w:space="0" w:color="auto"/>
              <w:left w:val="single" w:sz="4" w:space="0" w:color="auto"/>
              <w:bottom w:val="single" w:sz="4" w:space="0" w:color="000000"/>
              <w:right w:val="single" w:sz="8" w:space="0" w:color="auto"/>
            </w:tcBorders>
            <w:vAlign w:val="center"/>
            <w:hideMark/>
          </w:tcPr>
          <w:p w14:paraId="30BD8181" w14:textId="77777777" w:rsidR="009C37C2" w:rsidRPr="009C37C2" w:rsidRDefault="009C37C2" w:rsidP="009C37C2">
            <w:pPr>
              <w:spacing w:after="0" w:line="240" w:lineRule="auto"/>
              <w:rPr>
                <w:rFonts w:ascii="Calibri" w:eastAsia="Times New Roman" w:hAnsi="Calibri" w:cs="Calibri"/>
                <w:sz w:val="20"/>
                <w:szCs w:val="20"/>
                <w:lang w:eastAsia="pt-BR"/>
              </w:rPr>
            </w:pPr>
          </w:p>
        </w:tc>
      </w:tr>
      <w:tr w:rsidR="00D86B8D" w:rsidRPr="009C37C2" w14:paraId="6D6BFFA4" w14:textId="77777777" w:rsidTr="00996FD4">
        <w:trPr>
          <w:trHeight w:val="1132"/>
        </w:trPr>
        <w:tc>
          <w:tcPr>
            <w:tcW w:w="1498" w:type="dxa"/>
            <w:vMerge/>
            <w:tcBorders>
              <w:top w:val="nil"/>
              <w:left w:val="single" w:sz="8" w:space="0" w:color="auto"/>
              <w:bottom w:val="single" w:sz="4" w:space="0" w:color="000000"/>
              <w:right w:val="single" w:sz="4" w:space="0" w:color="auto"/>
            </w:tcBorders>
            <w:vAlign w:val="center"/>
            <w:hideMark/>
          </w:tcPr>
          <w:p w14:paraId="2407FFDD"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904" w:type="dxa"/>
            <w:vMerge/>
            <w:tcBorders>
              <w:top w:val="nil"/>
              <w:left w:val="single" w:sz="4" w:space="0" w:color="auto"/>
              <w:bottom w:val="single" w:sz="4" w:space="0" w:color="000000"/>
              <w:right w:val="single" w:sz="4" w:space="0" w:color="auto"/>
            </w:tcBorders>
            <w:vAlign w:val="center"/>
            <w:hideMark/>
          </w:tcPr>
          <w:p w14:paraId="61EF8ED6"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478182"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Índice de regularização de obras e serviços (%)</w:t>
            </w:r>
            <w:r w:rsidRPr="009C37C2">
              <w:rPr>
                <w:rFonts w:ascii="Calibri" w:eastAsia="Times New Roman" w:hAnsi="Calibri" w:cs="Calibri"/>
                <w:sz w:val="20"/>
                <w:szCs w:val="20"/>
                <w:lang w:eastAsia="pt-BR"/>
              </w:rPr>
              <w:br/>
            </w:r>
            <w:r w:rsidRPr="009C37C2">
              <w:rPr>
                <w:rFonts w:ascii="Calibri" w:eastAsia="Times New Roman" w:hAnsi="Calibri" w:cs="Calibri"/>
                <w:b/>
                <w:bCs/>
                <w:sz w:val="20"/>
                <w:szCs w:val="20"/>
                <w:lang w:eastAsia="pt-BR"/>
              </w:rPr>
              <w:t>(CAU/UF)</w:t>
            </w:r>
          </w:p>
        </w:tc>
        <w:tc>
          <w:tcPr>
            <w:tcW w:w="44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4022EE" w14:textId="77777777" w:rsidR="009C37C2" w:rsidRPr="009C37C2" w:rsidRDefault="009C37C2" w:rsidP="009C37C2">
            <w:pPr>
              <w:spacing w:after="0" w:line="240" w:lineRule="auto"/>
              <w:jc w:val="both"/>
              <w:rPr>
                <w:rFonts w:ascii="Calibri" w:eastAsia="Times New Roman" w:hAnsi="Calibri" w:cs="Calibri"/>
                <w:color w:val="000000"/>
                <w:sz w:val="20"/>
                <w:szCs w:val="20"/>
                <w:lang w:eastAsia="pt-BR"/>
              </w:rPr>
            </w:pPr>
            <w:r w:rsidRPr="009C37C2">
              <w:rPr>
                <w:rFonts w:ascii="Calibri" w:eastAsia="Times New Roman" w:hAnsi="Calibri" w:cs="Calibri"/>
                <w:color w:val="000000"/>
                <w:sz w:val="20"/>
                <w:szCs w:val="20"/>
                <w:lang w:eastAsia="pt-BR"/>
              </w:rPr>
              <w:t xml:space="preserve">O Índice de Regularização corresponde ao quociente do número de obras e serviços regularizados segundo a legislação vigente. Para este indicador, são consideradas regularizadas aquelas obras que, após a ação de fiscalização, apresentam </w:t>
            </w:r>
            <w:r w:rsidRPr="009C37C2">
              <w:rPr>
                <w:rFonts w:ascii="Calibri" w:eastAsia="Times New Roman" w:hAnsi="Calibri" w:cs="Calibri"/>
                <w:b/>
                <w:bCs/>
                <w:color w:val="000000"/>
                <w:sz w:val="20"/>
                <w:szCs w:val="20"/>
                <w:u w:val="single"/>
                <w:lang w:eastAsia="pt-BR"/>
              </w:rPr>
              <w:t>ART ou RRT.</w:t>
            </w:r>
          </w:p>
        </w:tc>
        <w:tc>
          <w:tcPr>
            <w:tcW w:w="2188" w:type="dxa"/>
            <w:tcBorders>
              <w:top w:val="nil"/>
              <w:left w:val="nil"/>
              <w:bottom w:val="single" w:sz="4" w:space="0" w:color="auto"/>
              <w:right w:val="nil"/>
            </w:tcBorders>
            <w:shd w:val="clear" w:color="000000" w:fill="FFFFFF"/>
            <w:vAlign w:val="bottom"/>
            <w:hideMark/>
          </w:tcPr>
          <w:p w14:paraId="2F88E1F9"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quantidade de obras e serviços regularizados</w:t>
            </w:r>
          </w:p>
        </w:tc>
        <w:tc>
          <w:tcPr>
            <w:tcW w:w="710" w:type="dxa"/>
            <w:vMerge w:val="restart"/>
            <w:tcBorders>
              <w:top w:val="nil"/>
              <w:left w:val="nil"/>
              <w:bottom w:val="single" w:sz="4" w:space="0" w:color="auto"/>
              <w:right w:val="single" w:sz="4" w:space="0" w:color="auto"/>
            </w:tcBorders>
            <w:shd w:val="clear" w:color="000000" w:fill="FFFFFF"/>
            <w:vAlign w:val="center"/>
            <w:hideMark/>
          </w:tcPr>
          <w:p w14:paraId="3151DB4F" w14:textId="77777777" w:rsidR="009C37C2" w:rsidRPr="009C37C2" w:rsidRDefault="009C37C2" w:rsidP="00E66F4D">
            <w:pPr>
              <w:spacing w:after="0" w:line="240" w:lineRule="auto"/>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x 100</w:t>
            </w:r>
          </w:p>
        </w:tc>
        <w:tc>
          <w:tcPr>
            <w:tcW w:w="113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5734FA"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Mensal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2898150B"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SICCAU</w:t>
            </w:r>
          </w:p>
        </w:tc>
      </w:tr>
      <w:tr w:rsidR="00954D0F" w:rsidRPr="009C37C2" w14:paraId="0C0DC5BC" w14:textId="77777777" w:rsidTr="00996FD4">
        <w:trPr>
          <w:trHeight w:val="994"/>
        </w:trPr>
        <w:tc>
          <w:tcPr>
            <w:tcW w:w="1498" w:type="dxa"/>
            <w:vMerge/>
            <w:tcBorders>
              <w:top w:val="nil"/>
              <w:left w:val="single" w:sz="8" w:space="0" w:color="auto"/>
              <w:bottom w:val="single" w:sz="4" w:space="0" w:color="000000"/>
              <w:right w:val="single" w:sz="4" w:space="0" w:color="auto"/>
            </w:tcBorders>
            <w:vAlign w:val="center"/>
            <w:hideMark/>
          </w:tcPr>
          <w:p w14:paraId="633B1CB4"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904" w:type="dxa"/>
            <w:vMerge/>
            <w:tcBorders>
              <w:top w:val="nil"/>
              <w:left w:val="single" w:sz="4" w:space="0" w:color="auto"/>
              <w:bottom w:val="single" w:sz="4" w:space="0" w:color="000000"/>
              <w:right w:val="single" w:sz="4" w:space="0" w:color="auto"/>
            </w:tcBorders>
            <w:vAlign w:val="center"/>
            <w:hideMark/>
          </w:tcPr>
          <w:p w14:paraId="6DC91568"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2410" w:type="dxa"/>
            <w:vMerge/>
            <w:tcBorders>
              <w:top w:val="nil"/>
              <w:left w:val="single" w:sz="4" w:space="0" w:color="auto"/>
              <w:bottom w:val="single" w:sz="4" w:space="0" w:color="auto"/>
              <w:right w:val="single" w:sz="4" w:space="0" w:color="auto"/>
            </w:tcBorders>
            <w:vAlign w:val="center"/>
            <w:hideMark/>
          </w:tcPr>
          <w:p w14:paraId="564725D3"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4474" w:type="dxa"/>
            <w:vMerge/>
            <w:tcBorders>
              <w:top w:val="nil"/>
              <w:left w:val="single" w:sz="4" w:space="0" w:color="auto"/>
              <w:bottom w:val="single" w:sz="4" w:space="0" w:color="auto"/>
              <w:right w:val="single" w:sz="4" w:space="0" w:color="auto"/>
            </w:tcBorders>
            <w:vAlign w:val="center"/>
            <w:hideMark/>
          </w:tcPr>
          <w:p w14:paraId="0282F0FD" w14:textId="77777777" w:rsidR="009C37C2" w:rsidRPr="009C37C2" w:rsidRDefault="009C37C2" w:rsidP="009C37C2">
            <w:pPr>
              <w:spacing w:after="0" w:line="240" w:lineRule="auto"/>
              <w:rPr>
                <w:rFonts w:ascii="Calibri" w:eastAsia="Times New Roman" w:hAnsi="Calibri" w:cs="Calibri"/>
                <w:color w:val="000000"/>
                <w:sz w:val="20"/>
                <w:szCs w:val="20"/>
                <w:lang w:eastAsia="pt-BR"/>
              </w:rPr>
            </w:pPr>
          </w:p>
        </w:tc>
        <w:tc>
          <w:tcPr>
            <w:tcW w:w="2188" w:type="dxa"/>
            <w:tcBorders>
              <w:top w:val="nil"/>
              <w:left w:val="nil"/>
              <w:bottom w:val="single" w:sz="4" w:space="0" w:color="auto"/>
              <w:right w:val="nil"/>
            </w:tcBorders>
            <w:shd w:val="clear" w:color="000000" w:fill="FFFFFF"/>
            <w:hideMark/>
          </w:tcPr>
          <w:p w14:paraId="7463CB83"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quantidade de obras e serviços fiscalizados pelo CAU/UF</w:t>
            </w:r>
          </w:p>
        </w:tc>
        <w:tc>
          <w:tcPr>
            <w:tcW w:w="710" w:type="dxa"/>
            <w:vMerge/>
            <w:tcBorders>
              <w:top w:val="nil"/>
              <w:left w:val="nil"/>
              <w:bottom w:val="single" w:sz="4" w:space="0" w:color="auto"/>
              <w:right w:val="single" w:sz="4" w:space="0" w:color="auto"/>
            </w:tcBorders>
            <w:vAlign w:val="center"/>
            <w:hideMark/>
          </w:tcPr>
          <w:p w14:paraId="338343E0"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133" w:type="dxa"/>
            <w:vMerge/>
            <w:tcBorders>
              <w:top w:val="nil"/>
              <w:left w:val="single" w:sz="4" w:space="0" w:color="auto"/>
              <w:bottom w:val="single" w:sz="4" w:space="0" w:color="auto"/>
              <w:right w:val="single" w:sz="4" w:space="0" w:color="auto"/>
            </w:tcBorders>
            <w:vAlign w:val="center"/>
            <w:hideMark/>
          </w:tcPr>
          <w:p w14:paraId="4DCFA657"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322D39C3" w14:textId="77777777" w:rsidR="009C37C2" w:rsidRPr="009C37C2" w:rsidRDefault="009C37C2" w:rsidP="009C37C2">
            <w:pPr>
              <w:spacing w:after="0" w:line="240" w:lineRule="auto"/>
              <w:rPr>
                <w:rFonts w:ascii="Calibri" w:eastAsia="Times New Roman" w:hAnsi="Calibri" w:cs="Calibri"/>
                <w:sz w:val="20"/>
                <w:szCs w:val="20"/>
                <w:lang w:eastAsia="pt-BR"/>
              </w:rPr>
            </w:pPr>
          </w:p>
        </w:tc>
      </w:tr>
      <w:tr w:rsidR="00D86B8D" w:rsidRPr="009C37C2" w14:paraId="30152005" w14:textId="77777777" w:rsidTr="00996FD4">
        <w:trPr>
          <w:trHeight w:val="1252"/>
        </w:trPr>
        <w:tc>
          <w:tcPr>
            <w:tcW w:w="1498" w:type="dxa"/>
            <w:vMerge/>
            <w:tcBorders>
              <w:top w:val="nil"/>
              <w:left w:val="single" w:sz="8" w:space="0" w:color="auto"/>
              <w:bottom w:val="single" w:sz="4" w:space="0" w:color="000000"/>
              <w:right w:val="single" w:sz="4" w:space="0" w:color="auto"/>
            </w:tcBorders>
            <w:vAlign w:val="center"/>
            <w:hideMark/>
          </w:tcPr>
          <w:p w14:paraId="07677340"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904" w:type="dxa"/>
            <w:vMerge/>
            <w:tcBorders>
              <w:top w:val="nil"/>
              <w:left w:val="single" w:sz="4" w:space="0" w:color="auto"/>
              <w:bottom w:val="single" w:sz="4" w:space="0" w:color="000000"/>
              <w:right w:val="single" w:sz="4" w:space="0" w:color="auto"/>
            </w:tcBorders>
            <w:vAlign w:val="center"/>
            <w:hideMark/>
          </w:tcPr>
          <w:p w14:paraId="26BD0956"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1BECBA"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Índice de regularização com RRT (%)</w:t>
            </w:r>
            <w:r w:rsidRPr="009C37C2">
              <w:rPr>
                <w:rFonts w:ascii="Calibri" w:eastAsia="Times New Roman" w:hAnsi="Calibri" w:cs="Calibri"/>
                <w:sz w:val="20"/>
                <w:szCs w:val="20"/>
                <w:lang w:eastAsia="pt-BR"/>
              </w:rPr>
              <w:br/>
            </w:r>
            <w:r w:rsidRPr="009C37C2">
              <w:rPr>
                <w:rFonts w:ascii="Calibri" w:eastAsia="Times New Roman" w:hAnsi="Calibri" w:cs="Calibri"/>
                <w:b/>
                <w:bCs/>
                <w:sz w:val="20"/>
                <w:szCs w:val="20"/>
                <w:lang w:eastAsia="pt-BR"/>
              </w:rPr>
              <w:t>(CAU/UF)</w:t>
            </w:r>
          </w:p>
        </w:tc>
        <w:tc>
          <w:tcPr>
            <w:tcW w:w="44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557628" w14:textId="4C225ED3" w:rsidR="009C37C2" w:rsidRPr="009C37C2" w:rsidRDefault="009C37C2" w:rsidP="009C37C2">
            <w:pPr>
              <w:spacing w:after="0" w:line="240" w:lineRule="auto"/>
              <w:jc w:val="both"/>
              <w:rPr>
                <w:rFonts w:ascii="Calibri" w:eastAsia="Times New Roman" w:hAnsi="Calibri" w:cs="Calibri"/>
                <w:color w:val="000000"/>
                <w:sz w:val="20"/>
                <w:szCs w:val="20"/>
                <w:lang w:eastAsia="pt-BR"/>
              </w:rPr>
            </w:pPr>
            <w:r w:rsidRPr="009C37C2">
              <w:rPr>
                <w:rFonts w:ascii="Calibri" w:eastAsia="Times New Roman" w:hAnsi="Calibri" w:cs="Calibri"/>
                <w:color w:val="000000"/>
                <w:sz w:val="20"/>
                <w:szCs w:val="20"/>
                <w:lang w:eastAsia="pt-BR"/>
              </w:rPr>
              <w:t>O Índice de Regularização com RRT corresponde ao quociente do número de obras e serviços regularizados segundo a legislação do CAU ((Lei 12.378/2010). Para este indicador, são consideradas regularizadas aquelas obras que, após a ação de fiscalização, apresentam o</w:t>
            </w:r>
            <w:r w:rsidRPr="009C37C2">
              <w:rPr>
                <w:rFonts w:ascii="Calibri" w:eastAsia="Times New Roman" w:hAnsi="Calibri" w:cs="Calibri"/>
                <w:b/>
                <w:bCs/>
                <w:color w:val="000000"/>
                <w:sz w:val="20"/>
                <w:szCs w:val="20"/>
                <w:u w:val="single"/>
                <w:lang w:eastAsia="pt-BR"/>
              </w:rPr>
              <w:t xml:space="preserve"> RRT.</w:t>
            </w:r>
          </w:p>
        </w:tc>
        <w:tc>
          <w:tcPr>
            <w:tcW w:w="2188" w:type="dxa"/>
            <w:tcBorders>
              <w:top w:val="nil"/>
              <w:left w:val="nil"/>
              <w:bottom w:val="single" w:sz="4" w:space="0" w:color="auto"/>
              <w:right w:val="nil"/>
            </w:tcBorders>
            <w:shd w:val="clear" w:color="000000" w:fill="FFFFFF"/>
            <w:vAlign w:val="bottom"/>
            <w:hideMark/>
          </w:tcPr>
          <w:p w14:paraId="30A2CD86"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quantidade de obras e serviços regularizados com RRT</w:t>
            </w:r>
          </w:p>
        </w:tc>
        <w:tc>
          <w:tcPr>
            <w:tcW w:w="710" w:type="dxa"/>
            <w:vMerge w:val="restart"/>
            <w:tcBorders>
              <w:top w:val="nil"/>
              <w:left w:val="nil"/>
              <w:bottom w:val="single" w:sz="4" w:space="0" w:color="auto"/>
              <w:right w:val="single" w:sz="4" w:space="0" w:color="auto"/>
            </w:tcBorders>
            <w:shd w:val="clear" w:color="000000" w:fill="FFFFFF"/>
            <w:vAlign w:val="center"/>
            <w:hideMark/>
          </w:tcPr>
          <w:p w14:paraId="70B36438" w14:textId="77777777" w:rsidR="009C37C2" w:rsidRPr="009C37C2" w:rsidRDefault="009C37C2" w:rsidP="00E66F4D">
            <w:pPr>
              <w:spacing w:after="0" w:line="240" w:lineRule="auto"/>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x 100</w:t>
            </w:r>
          </w:p>
        </w:tc>
        <w:tc>
          <w:tcPr>
            <w:tcW w:w="113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18B0AE"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Mensal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273ED243"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SICCAU</w:t>
            </w:r>
          </w:p>
        </w:tc>
      </w:tr>
      <w:tr w:rsidR="00954D0F" w:rsidRPr="009C37C2" w14:paraId="1F153B49" w14:textId="77777777" w:rsidTr="00996FD4">
        <w:trPr>
          <w:trHeight w:val="1114"/>
        </w:trPr>
        <w:tc>
          <w:tcPr>
            <w:tcW w:w="1498" w:type="dxa"/>
            <w:vMerge/>
            <w:tcBorders>
              <w:top w:val="nil"/>
              <w:left w:val="single" w:sz="8" w:space="0" w:color="auto"/>
              <w:bottom w:val="single" w:sz="4" w:space="0" w:color="000000"/>
              <w:right w:val="single" w:sz="4" w:space="0" w:color="auto"/>
            </w:tcBorders>
            <w:vAlign w:val="center"/>
            <w:hideMark/>
          </w:tcPr>
          <w:p w14:paraId="357A24D4"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904" w:type="dxa"/>
            <w:vMerge/>
            <w:tcBorders>
              <w:top w:val="nil"/>
              <w:left w:val="single" w:sz="4" w:space="0" w:color="auto"/>
              <w:bottom w:val="single" w:sz="4" w:space="0" w:color="000000"/>
              <w:right w:val="single" w:sz="4" w:space="0" w:color="auto"/>
            </w:tcBorders>
            <w:vAlign w:val="center"/>
            <w:hideMark/>
          </w:tcPr>
          <w:p w14:paraId="29E397A8"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2410" w:type="dxa"/>
            <w:vMerge/>
            <w:tcBorders>
              <w:top w:val="nil"/>
              <w:left w:val="single" w:sz="4" w:space="0" w:color="auto"/>
              <w:bottom w:val="single" w:sz="4" w:space="0" w:color="auto"/>
              <w:right w:val="single" w:sz="4" w:space="0" w:color="auto"/>
            </w:tcBorders>
            <w:vAlign w:val="center"/>
            <w:hideMark/>
          </w:tcPr>
          <w:p w14:paraId="1B3DDC2E"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4474" w:type="dxa"/>
            <w:vMerge/>
            <w:tcBorders>
              <w:top w:val="nil"/>
              <w:left w:val="single" w:sz="4" w:space="0" w:color="auto"/>
              <w:bottom w:val="single" w:sz="4" w:space="0" w:color="auto"/>
              <w:right w:val="single" w:sz="4" w:space="0" w:color="auto"/>
            </w:tcBorders>
            <w:vAlign w:val="center"/>
            <w:hideMark/>
          </w:tcPr>
          <w:p w14:paraId="2F348384" w14:textId="77777777" w:rsidR="009C37C2" w:rsidRPr="009C37C2" w:rsidRDefault="009C37C2" w:rsidP="009C37C2">
            <w:pPr>
              <w:spacing w:after="0" w:line="240" w:lineRule="auto"/>
              <w:rPr>
                <w:rFonts w:ascii="Calibri" w:eastAsia="Times New Roman" w:hAnsi="Calibri" w:cs="Calibri"/>
                <w:color w:val="000000"/>
                <w:sz w:val="20"/>
                <w:szCs w:val="20"/>
                <w:lang w:eastAsia="pt-BR"/>
              </w:rPr>
            </w:pPr>
          </w:p>
        </w:tc>
        <w:tc>
          <w:tcPr>
            <w:tcW w:w="2188" w:type="dxa"/>
            <w:tcBorders>
              <w:top w:val="nil"/>
              <w:left w:val="nil"/>
              <w:bottom w:val="single" w:sz="4" w:space="0" w:color="auto"/>
              <w:right w:val="nil"/>
            </w:tcBorders>
            <w:shd w:val="clear" w:color="000000" w:fill="FFFFFF"/>
            <w:hideMark/>
          </w:tcPr>
          <w:p w14:paraId="0CA61847"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quantidade obras e serviços regularizados</w:t>
            </w:r>
          </w:p>
        </w:tc>
        <w:tc>
          <w:tcPr>
            <w:tcW w:w="710" w:type="dxa"/>
            <w:vMerge/>
            <w:tcBorders>
              <w:top w:val="nil"/>
              <w:left w:val="nil"/>
              <w:bottom w:val="single" w:sz="4" w:space="0" w:color="auto"/>
              <w:right w:val="single" w:sz="4" w:space="0" w:color="auto"/>
            </w:tcBorders>
            <w:vAlign w:val="center"/>
            <w:hideMark/>
          </w:tcPr>
          <w:p w14:paraId="5AFE0D8B"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133" w:type="dxa"/>
            <w:vMerge/>
            <w:tcBorders>
              <w:top w:val="nil"/>
              <w:left w:val="single" w:sz="4" w:space="0" w:color="auto"/>
              <w:bottom w:val="single" w:sz="4" w:space="0" w:color="auto"/>
              <w:right w:val="single" w:sz="4" w:space="0" w:color="auto"/>
            </w:tcBorders>
            <w:vAlign w:val="center"/>
            <w:hideMark/>
          </w:tcPr>
          <w:p w14:paraId="5F5A7EB6"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2DBBF791" w14:textId="77777777" w:rsidR="009C37C2" w:rsidRPr="009C37C2" w:rsidRDefault="009C37C2" w:rsidP="009C37C2">
            <w:pPr>
              <w:spacing w:after="0" w:line="240" w:lineRule="auto"/>
              <w:rPr>
                <w:rFonts w:ascii="Calibri" w:eastAsia="Times New Roman" w:hAnsi="Calibri" w:cs="Calibri"/>
                <w:sz w:val="20"/>
                <w:szCs w:val="20"/>
                <w:lang w:eastAsia="pt-BR"/>
              </w:rPr>
            </w:pPr>
          </w:p>
        </w:tc>
      </w:tr>
    </w:tbl>
    <w:p w14:paraId="4BDA9883" w14:textId="2F32F044" w:rsidR="006304DC" w:rsidRDefault="006304DC" w:rsidP="006304DC"/>
    <w:p w14:paraId="04629D5B" w14:textId="7460881D" w:rsidR="00D27C60" w:rsidRPr="004719E1" w:rsidRDefault="00D27C60" w:rsidP="00D27C60">
      <w:pPr>
        <w:spacing w:after="0"/>
        <w:ind w:left="-567"/>
        <w:rPr>
          <w:rFonts w:asciiTheme="majorHAnsi" w:hAnsiTheme="majorHAnsi" w:cstheme="majorHAnsi"/>
          <w:b/>
          <w:bCs/>
        </w:rPr>
      </w:pPr>
      <w:r w:rsidRPr="004719E1">
        <w:rPr>
          <w:rFonts w:asciiTheme="majorHAnsi" w:hAnsiTheme="majorHAnsi" w:cstheme="majorHAnsi"/>
          <w:b/>
          <w:bCs/>
        </w:rPr>
        <w:t>ANEXO I.d – Indicadores Institucionais e de Resultado – CAU UF</w:t>
      </w:r>
    </w:p>
    <w:tbl>
      <w:tblPr>
        <w:tblW w:w="15738" w:type="dxa"/>
        <w:tblInd w:w="-577" w:type="dxa"/>
        <w:tblLayout w:type="fixed"/>
        <w:tblCellMar>
          <w:left w:w="70" w:type="dxa"/>
          <w:right w:w="70" w:type="dxa"/>
        </w:tblCellMar>
        <w:tblLook w:val="04A0" w:firstRow="1" w:lastRow="0" w:firstColumn="1" w:lastColumn="0" w:noHBand="0" w:noVBand="1"/>
      </w:tblPr>
      <w:tblGrid>
        <w:gridCol w:w="1418"/>
        <w:gridCol w:w="1701"/>
        <w:gridCol w:w="1701"/>
        <w:gridCol w:w="5670"/>
        <w:gridCol w:w="2126"/>
        <w:gridCol w:w="712"/>
        <w:gridCol w:w="1134"/>
        <w:gridCol w:w="1276"/>
      </w:tblGrid>
      <w:tr w:rsidR="00AB2CB6" w:rsidRPr="00AB2CB6" w14:paraId="2288B269" w14:textId="77777777" w:rsidTr="00335B2F">
        <w:trPr>
          <w:trHeight w:val="1575"/>
        </w:trPr>
        <w:tc>
          <w:tcPr>
            <w:tcW w:w="1418"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12491715" w14:textId="77777777"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Perspectiva</w:t>
            </w:r>
          </w:p>
        </w:tc>
        <w:tc>
          <w:tcPr>
            <w:tcW w:w="1701" w:type="dxa"/>
            <w:tcBorders>
              <w:top w:val="single" w:sz="8" w:space="0" w:color="auto"/>
              <w:left w:val="nil"/>
              <w:bottom w:val="single" w:sz="8" w:space="0" w:color="auto"/>
              <w:right w:val="single" w:sz="4" w:space="0" w:color="auto"/>
            </w:tcBorders>
            <w:shd w:val="clear" w:color="auto" w:fill="ED7D31" w:themeFill="accent2"/>
            <w:vAlign w:val="center"/>
            <w:hideMark/>
          </w:tcPr>
          <w:p w14:paraId="19074557" w14:textId="77777777"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Objetivo Estratégico</w:t>
            </w:r>
          </w:p>
        </w:tc>
        <w:tc>
          <w:tcPr>
            <w:tcW w:w="1701" w:type="dxa"/>
            <w:tcBorders>
              <w:top w:val="single" w:sz="8" w:space="0" w:color="auto"/>
              <w:left w:val="nil"/>
              <w:bottom w:val="single" w:sz="8" w:space="0" w:color="auto"/>
              <w:right w:val="single" w:sz="4" w:space="0" w:color="auto"/>
            </w:tcBorders>
            <w:shd w:val="clear" w:color="auto" w:fill="ED7D31" w:themeFill="accent2"/>
            <w:vAlign w:val="center"/>
            <w:hideMark/>
          </w:tcPr>
          <w:p w14:paraId="46FBE3BC" w14:textId="5D6F0622"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Indicador</w:t>
            </w:r>
          </w:p>
        </w:tc>
        <w:tc>
          <w:tcPr>
            <w:tcW w:w="5670" w:type="dxa"/>
            <w:tcBorders>
              <w:top w:val="single" w:sz="8" w:space="0" w:color="auto"/>
              <w:left w:val="nil"/>
              <w:bottom w:val="single" w:sz="8" w:space="0" w:color="auto"/>
              <w:right w:val="single" w:sz="4" w:space="0" w:color="auto"/>
            </w:tcBorders>
            <w:shd w:val="clear" w:color="auto" w:fill="ED7D31" w:themeFill="accent2"/>
            <w:vAlign w:val="center"/>
            <w:hideMark/>
          </w:tcPr>
          <w:p w14:paraId="485C87ED" w14:textId="77777777"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Descrição</w:t>
            </w:r>
          </w:p>
        </w:tc>
        <w:tc>
          <w:tcPr>
            <w:tcW w:w="2838" w:type="dxa"/>
            <w:gridSpan w:val="2"/>
            <w:tcBorders>
              <w:top w:val="single" w:sz="8" w:space="0" w:color="auto"/>
              <w:left w:val="nil"/>
              <w:bottom w:val="single" w:sz="8" w:space="0" w:color="auto"/>
              <w:right w:val="single" w:sz="4" w:space="0" w:color="auto"/>
            </w:tcBorders>
            <w:shd w:val="clear" w:color="auto" w:fill="ED7D31" w:themeFill="accent2"/>
            <w:noWrap/>
            <w:vAlign w:val="center"/>
            <w:hideMark/>
          </w:tcPr>
          <w:p w14:paraId="20D766C4" w14:textId="77777777"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Fórmula de Cálculo</w:t>
            </w:r>
          </w:p>
        </w:tc>
        <w:tc>
          <w:tcPr>
            <w:tcW w:w="1134" w:type="dxa"/>
            <w:tcBorders>
              <w:top w:val="single" w:sz="8" w:space="0" w:color="auto"/>
              <w:left w:val="nil"/>
              <w:bottom w:val="single" w:sz="8" w:space="0" w:color="auto"/>
              <w:right w:val="single" w:sz="4" w:space="0" w:color="auto"/>
            </w:tcBorders>
            <w:shd w:val="clear" w:color="auto" w:fill="ED7D31" w:themeFill="accent2"/>
            <w:vAlign w:val="center"/>
            <w:hideMark/>
          </w:tcPr>
          <w:p w14:paraId="028E349D" w14:textId="77777777"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Frequência</w:t>
            </w:r>
            <w:r w:rsidRPr="00AB2CB6">
              <w:rPr>
                <w:rFonts w:ascii="Calibri" w:eastAsia="Times New Roman" w:hAnsi="Calibri" w:cs="Calibri"/>
                <w:b/>
                <w:bCs/>
                <w:color w:val="FFFFFF"/>
                <w:sz w:val="20"/>
                <w:szCs w:val="20"/>
                <w:lang w:eastAsia="pt-BR"/>
              </w:rPr>
              <w:br/>
              <w:t>de Medição</w:t>
            </w:r>
          </w:p>
        </w:tc>
        <w:tc>
          <w:tcPr>
            <w:tcW w:w="1276" w:type="dxa"/>
            <w:tcBorders>
              <w:top w:val="single" w:sz="8" w:space="0" w:color="auto"/>
              <w:left w:val="nil"/>
              <w:bottom w:val="single" w:sz="8" w:space="0" w:color="auto"/>
              <w:right w:val="single" w:sz="8" w:space="0" w:color="auto"/>
            </w:tcBorders>
            <w:shd w:val="clear" w:color="auto" w:fill="ED7D31" w:themeFill="accent2"/>
            <w:vAlign w:val="center"/>
            <w:hideMark/>
          </w:tcPr>
          <w:p w14:paraId="2485227C" w14:textId="77777777"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Fonte do Indicador</w:t>
            </w:r>
          </w:p>
        </w:tc>
      </w:tr>
      <w:tr w:rsidR="00AB2CB6" w:rsidRPr="00AB2CB6" w14:paraId="5845D790" w14:textId="77777777" w:rsidTr="00D27C60">
        <w:trPr>
          <w:trHeight w:val="1513"/>
        </w:trPr>
        <w:tc>
          <w:tcPr>
            <w:tcW w:w="1418"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1313BEF"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Processos Internos (Excelência Organizacional)</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D53F35"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Assegurar a eficácia no atendimento e no relacionamento com os arquitetos e urbanistas e a sociedade</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E67FA2"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Índice de atendimento (%)</w:t>
            </w:r>
            <w:r w:rsidRPr="00AB2CB6">
              <w:rPr>
                <w:rFonts w:ascii="Calibri" w:eastAsia="Times New Roman" w:hAnsi="Calibri" w:cs="Calibri"/>
                <w:sz w:val="20"/>
                <w:szCs w:val="20"/>
                <w:lang w:eastAsia="pt-BR"/>
              </w:rPr>
              <w:br/>
            </w:r>
            <w:r w:rsidRPr="00AB2CB6">
              <w:rPr>
                <w:rFonts w:ascii="Calibri" w:eastAsia="Times New Roman" w:hAnsi="Calibri" w:cs="Calibri"/>
                <w:b/>
                <w:bCs/>
                <w:sz w:val="20"/>
                <w:szCs w:val="20"/>
                <w:lang w:eastAsia="pt-BR"/>
              </w:rPr>
              <w:t>(CAU/UF)</w:t>
            </w:r>
          </w:p>
        </w:tc>
        <w:tc>
          <w:tcPr>
            <w:tcW w:w="56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BB7092" w14:textId="77777777" w:rsidR="00AB2CB6" w:rsidRPr="00AB2CB6" w:rsidRDefault="00AB2CB6" w:rsidP="00AB2CB6">
            <w:pPr>
              <w:spacing w:after="0" w:line="240" w:lineRule="auto"/>
              <w:jc w:val="both"/>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Permite acompanhar a capacidade de atendimento dos CAU/UF. É esperado que a grande maioria das solicitações sejam tratadas em tempo razoável, independentemente se a questão é do CAU/UF ou CAU/BR. Por isso foi estabelecido 30 dias como um tempo máximo que o profissional poderia esperar para ter sua questão tratada. Não significa, necessariamente, que uma solução final foi alcançada. Se uma resposta foi dada ao profissional que demanda um retorno de sua parte, é considerado que houve um tratamento de sua questão. Não é possível contabilizar quanto tempo ele levará para retornar (por exemplo uma solicitação de documento para o profissional). Assim que ele der o retorno, uma nova entrada e contagem deve ser iniciada.</w:t>
            </w:r>
          </w:p>
        </w:tc>
        <w:tc>
          <w:tcPr>
            <w:tcW w:w="2126" w:type="dxa"/>
            <w:tcBorders>
              <w:top w:val="single" w:sz="4" w:space="0" w:color="auto"/>
              <w:left w:val="nil"/>
              <w:bottom w:val="single" w:sz="4" w:space="0" w:color="auto"/>
              <w:right w:val="nil"/>
            </w:tcBorders>
            <w:shd w:val="clear" w:color="000000" w:fill="FFFFFF"/>
            <w:vAlign w:val="bottom"/>
            <w:hideMark/>
          </w:tcPr>
          <w:p w14:paraId="11DA81A9"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número de solicitações tratadas no prazo estipulado pela Carta de Serviços no trimestre</w:t>
            </w:r>
          </w:p>
        </w:tc>
        <w:tc>
          <w:tcPr>
            <w:tcW w:w="712" w:type="dxa"/>
            <w:vMerge w:val="restart"/>
            <w:tcBorders>
              <w:top w:val="single" w:sz="4" w:space="0" w:color="auto"/>
              <w:left w:val="nil"/>
              <w:bottom w:val="single" w:sz="4" w:space="0" w:color="auto"/>
              <w:right w:val="single" w:sz="4" w:space="0" w:color="auto"/>
            </w:tcBorders>
            <w:shd w:val="clear" w:color="000000" w:fill="FFFFFF"/>
            <w:vAlign w:val="center"/>
            <w:hideMark/>
          </w:tcPr>
          <w:p w14:paraId="06ACE419" w14:textId="77777777" w:rsidR="00AB2CB6" w:rsidRPr="00AB2CB6" w:rsidRDefault="00AB2CB6" w:rsidP="00FB2D9C">
            <w:pPr>
              <w:spacing w:after="0" w:line="240" w:lineRule="auto"/>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x 100</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B7534C"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Trimestral</w:t>
            </w:r>
          </w:p>
        </w:tc>
        <w:tc>
          <w:tcPr>
            <w:tcW w:w="1276" w:type="dxa"/>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14:paraId="610357A2"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 xml:space="preserve"> presencial, site, e-mail, telefone, SICCAU, 0800, Ouvidoria,</w:t>
            </w:r>
          </w:p>
        </w:tc>
      </w:tr>
      <w:tr w:rsidR="00FB2D9C" w:rsidRPr="00AB2CB6" w14:paraId="095C32F5" w14:textId="77777777" w:rsidTr="00D27C60">
        <w:trPr>
          <w:trHeight w:val="870"/>
        </w:trPr>
        <w:tc>
          <w:tcPr>
            <w:tcW w:w="1418" w:type="dxa"/>
            <w:vMerge/>
            <w:tcBorders>
              <w:top w:val="single" w:sz="4" w:space="0" w:color="auto"/>
              <w:left w:val="single" w:sz="8" w:space="0" w:color="auto"/>
              <w:bottom w:val="single" w:sz="4" w:space="0" w:color="auto"/>
              <w:right w:val="single" w:sz="4" w:space="0" w:color="auto"/>
            </w:tcBorders>
            <w:vAlign w:val="center"/>
            <w:hideMark/>
          </w:tcPr>
          <w:p w14:paraId="0A6B96DE"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C87772C"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3F3B97C"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481FB678"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2126" w:type="dxa"/>
            <w:tcBorders>
              <w:top w:val="nil"/>
              <w:left w:val="nil"/>
              <w:bottom w:val="single" w:sz="4" w:space="0" w:color="auto"/>
              <w:right w:val="nil"/>
            </w:tcBorders>
            <w:shd w:val="clear" w:color="000000" w:fill="FFFFFF"/>
            <w:hideMark/>
          </w:tcPr>
          <w:p w14:paraId="03A7ED11"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número de solicitações abertas no trimestre</w:t>
            </w:r>
          </w:p>
        </w:tc>
        <w:tc>
          <w:tcPr>
            <w:tcW w:w="712" w:type="dxa"/>
            <w:vMerge/>
            <w:tcBorders>
              <w:top w:val="single" w:sz="4" w:space="0" w:color="auto"/>
              <w:left w:val="nil"/>
              <w:bottom w:val="single" w:sz="4" w:space="0" w:color="auto"/>
              <w:right w:val="single" w:sz="4" w:space="0" w:color="auto"/>
            </w:tcBorders>
            <w:vAlign w:val="center"/>
            <w:hideMark/>
          </w:tcPr>
          <w:p w14:paraId="5C3E65FD"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DB7951"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276" w:type="dxa"/>
            <w:vMerge/>
            <w:tcBorders>
              <w:top w:val="single" w:sz="4" w:space="0" w:color="auto"/>
              <w:left w:val="single" w:sz="4" w:space="0" w:color="auto"/>
              <w:bottom w:val="single" w:sz="4" w:space="0" w:color="auto"/>
              <w:right w:val="single" w:sz="8" w:space="0" w:color="auto"/>
            </w:tcBorders>
            <w:vAlign w:val="center"/>
            <w:hideMark/>
          </w:tcPr>
          <w:p w14:paraId="5ECA1388" w14:textId="77777777" w:rsidR="00AB2CB6" w:rsidRPr="00AB2CB6" w:rsidRDefault="00AB2CB6" w:rsidP="00AB2CB6">
            <w:pPr>
              <w:spacing w:after="0" w:line="240" w:lineRule="auto"/>
              <w:rPr>
                <w:rFonts w:ascii="Calibri" w:eastAsia="Times New Roman" w:hAnsi="Calibri" w:cs="Calibri"/>
                <w:sz w:val="20"/>
                <w:szCs w:val="20"/>
                <w:lang w:eastAsia="pt-BR"/>
              </w:rPr>
            </w:pPr>
          </w:p>
        </w:tc>
      </w:tr>
      <w:tr w:rsidR="00AB2CB6" w:rsidRPr="00AB2CB6" w14:paraId="6328E3A8" w14:textId="77777777" w:rsidTr="00D27C60">
        <w:trPr>
          <w:trHeight w:val="1112"/>
        </w:trPr>
        <w:tc>
          <w:tcPr>
            <w:tcW w:w="1418" w:type="dxa"/>
            <w:vMerge/>
            <w:tcBorders>
              <w:top w:val="single" w:sz="4" w:space="0" w:color="auto"/>
              <w:left w:val="single" w:sz="8" w:space="0" w:color="auto"/>
              <w:bottom w:val="single" w:sz="4" w:space="0" w:color="auto"/>
              <w:right w:val="single" w:sz="4" w:space="0" w:color="auto"/>
            </w:tcBorders>
            <w:vAlign w:val="center"/>
            <w:hideMark/>
          </w:tcPr>
          <w:p w14:paraId="311B9FB8"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BCB30F6"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21FC0D"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Índice de satisfação com a solução da demanda (%)</w:t>
            </w:r>
            <w:r w:rsidRPr="00AB2CB6">
              <w:rPr>
                <w:rFonts w:ascii="Calibri" w:eastAsia="Times New Roman" w:hAnsi="Calibri" w:cs="Calibri"/>
                <w:sz w:val="20"/>
                <w:szCs w:val="20"/>
                <w:lang w:eastAsia="pt-BR"/>
              </w:rPr>
              <w:br/>
            </w:r>
            <w:r w:rsidRPr="00AB2CB6">
              <w:rPr>
                <w:rFonts w:ascii="Calibri" w:eastAsia="Times New Roman" w:hAnsi="Calibri" w:cs="Calibri"/>
                <w:b/>
                <w:bCs/>
                <w:sz w:val="20"/>
                <w:szCs w:val="20"/>
                <w:lang w:eastAsia="pt-BR"/>
              </w:rPr>
              <w:t>(CAU/UF)</w:t>
            </w:r>
          </w:p>
        </w:tc>
        <w:tc>
          <w:tcPr>
            <w:tcW w:w="56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CF386A" w14:textId="77777777" w:rsidR="00AB2CB6" w:rsidRPr="00AB2CB6" w:rsidRDefault="00AB2CB6" w:rsidP="00AB2CB6">
            <w:pPr>
              <w:spacing w:after="0" w:line="240" w:lineRule="auto"/>
              <w:jc w:val="both"/>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Mede se, na média, os profissionais estão satisfeitos com o tratamento dado às suas demandas.</w:t>
            </w:r>
          </w:p>
        </w:tc>
        <w:tc>
          <w:tcPr>
            <w:tcW w:w="2126" w:type="dxa"/>
            <w:tcBorders>
              <w:top w:val="nil"/>
              <w:left w:val="nil"/>
              <w:bottom w:val="single" w:sz="4" w:space="0" w:color="auto"/>
              <w:right w:val="nil"/>
            </w:tcBorders>
            <w:shd w:val="clear" w:color="000000" w:fill="FFFFFF"/>
            <w:vAlign w:val="bottom"/>
            <w:hideMark/>
          </w:tcPr>
          <w:p w14:paraId="07B43578"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número de usuários satisfeitos com a solução da demanda</w:t>
            </w:r>
          </w:p>
        </w:tc>
        <w:tc>
          <w:tcPr>
            <w:tcW w:w="712" w:type="dxa"/>
            <w:vMerge w:val="restart"/>
            <w:tcBorders>
              <w:top w:val="nil"/>
              <w:left w:val="nil"/>
              <w:bottom w:val="single" w:sz="4" w:space="0" w:color="auto"/>
              <w:right w:val="single" w:sz="4" w:space="0" w:color="auto"/>
            </w:tcBorders>
            <w:shd w:val="clear" w:color="000000" w:fill="FFFFFF"/>
            <w:vAlign w:val="center"/>
            <w:hideMark/>
          </w:tcPr>
          <w:p w14:paraId="2773F2EB" w14:textId="77777777" w:rsidR="00AB2CB6" w:rsidRPr="00AB2CB6" w:rsidRDefault="00AB2CB6" w:rsidP="00EF7F02">
            <w:pPr>
              <w:spacing w:after="0" w:line="240" w:lineRule="auto"/>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x 100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3AEF4C"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Trimestral</w:t>
            </w:r>
          </w:p>
        </w:tc>
        <w:tc>
          <w:tcPr>
            <w:tcW w:w="1276" w:type="dxa"/>
            <w:vMerge w:val="restart"/>
            <w:tcBorders>
              <w:top w:val="nil"/>
              <w:left w:val="single" w:sz="4" w:space="0" w:color="auto"/>
              <w:bottom w:val="single" w:sz="4" w:space="0" w:color="auto"/>
              <w:right w:val="single" w:sz="8" w:space="0" w:color="auto"/>
            </w:tcBorders>
            <w:shd w:val="clear" w:color="000000" w:fill="FFFFFF"/>
            <w:vAlign w:val="center"/>
            <w:hideMark/>
          </w:tcPr>
          <w:p w14:paraId="3DFB0CDA" w14:textId="637EC44C" w:rsidR="00AB2CB6" w:rsidRPr="00AB2CB6" w:rsidRDefault="00AB2CB6" w:rsidP="00AB2CB6">
            <w:pPr>
              <w:spacing w:after="0" w:line="240" w:lineRule="auto"/>
              <w:jc w:val="center"/>
              <w:rPr>
                <w:rFonts w:ascii="Calibri" w:eastAsia="Times New Roman" w:hAnsi="Calibri" w:cs="Calibri"/>
                <w:color w:val="000000"/>
                <w:sz w:val="20"/>
                <w:szCs w:val="20"/>
                <w:lang w:eastAsia="pt-BR"/>
              </w:rPr>
            </w:pPr>
            <w:r w:rsidRPr="00AB2CB6">
              <w:rPr>
                <w:rFonts w:ascii="Calibri" w:eastAsia="Times New Roman" w:hAnsi="Calibri" w:cs="Calibri"/>
                <w:color w:val="000000"/>
                <w:sz w:val="20"/>
                <w:szCs w:val="20"/>
                <w:lang w:eastAsia="pt-BR"/>
              </w:rPr>
              <w:t xml:space="preserve">0800, ouvidoria, site, telefone, SICCAU, Sistema próprios de controle dos atendimentos nos CAU/UF </w:t>
            </w:r>
          </w:p>
        </w:tc>
      </w:tr>
      <w:tr w:rsidR="00FB2D9C" w:rsidRPr="00AB2CB6" w14:paraId="3C2DD2EA" w14:textId="77777777" w:rsidTr="00D27C60">
        <w:trPr>
          <w:trHeight w:val="605"/>
        </w:trPr>
        <w:tc>
          <w:tcPr>
            <w:tcW w:w="1418" w:type="dxa"/>
            <w:vMerge/>
            <w:tcBorders>
              <w:top w:val="single" w:sz="4" w:space="0" w:color="auto"/>
              <w:left w:val="single" w:sz="8" w:space="0" w:color="auto"/>
              <w:bottom w:val="single" w:sz="4" w:space="0" w:color="auto"/>
              <w:right w:val="single" w:sz="4" w:space="0" w:color="auto"/>
            </w:tcBorders>
            <w:vAlign w:val="center"/>
            <w:hideMark/>
          </w:tcPr>
          <w:p w14:paraId="32B2836B"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5685C1E"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auto"/>
              <w:right w:val="single" w:sz="4" w:space="0" w:color="auto"/>
            </w:tcBorders>
            <w:vAlign w:val="center"/>
            <w:hideMark/>
          </w:tcPr>
          <w:p w14:paraId="0FA29FE0"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5670" w:type="dxa"/>
            <w:vMerge/>
            <w:tcBorders>
              <w:top w:val="nil"/>
              <w:left w:val="single" w:sz="4" w:space="0" w:color="auto"/>
              <w:bottom w:val="single" w:sz="4" w:space="0" w:color="auto"/>
              <w:right w:val="single" w:sz="4" w:space="0" w:color="auto"/>
            </w:tcBorders>
            <w:vAlign w:val="center"/>
            <w:hideMark/>
          </w:tcPr>
          <w:p w14:paraId="6CDC17F5"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2126" w:type="dxa"/>
            <w:tcBorders>
              <w:top w:val="nil"/>
              <w:left w:val="nil"/>
              <w:bottom w:val="single" w:sz="4" w:space="0" w:color="auto"/>
              <w:right w:val="nil"/>
            </w:tcBorders>
            <w:shd w:val="clear" w:color="000000" w:fill="FFFFFF"/>
            <w:hideMark/>
          </w:tcPr>
          <w:p w14:paraId="52900C10" w14:textId="57CD4990"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 xml:space="preserve">número de usuários que responderam </w:t>
            </w:r>
            <w:r w:rsidR="008A2242" w:rsidRPr="00AB2CB6">
              <w:rPr>
                <w:rFonts w:ascii="Calibri" w:eastAsia="Times New Roman" w:hAnsi="Calibri" w:cs="Calibri"/>
                <w:sz w:val="20"/>
                <w:szCs w:val="20"/>
                <w:lang w:eastAsia="pt-BR"/>
              </w:rPr>
              <w:t>à</w:t>
            </w:r>
            <w:r w:rsidRPr="00AB2CB6">
              <w:rPr>
                <w:rFonts w:ascii="Calibri" w:eastAsia="Times New Roman" w:hAnsi="Calibri" w:cs="Calibri"/>
                <w:sz w:val="20"/>
                <w:szCs w:val="20"/>
                <w:lang w:eastAsia="pt-BR"/>
              </w:rPr>
              <w:t xml:space="preserve"> pesquisa</w:t>
            </w:r>
          </w:p>
        </w:tc>
        <w:tc>
          <w:tcPr>
            <w:tcW w:w="712" w:type="dxa"/>
            <w:vMerge/>
            <w:tcBorders>
              <w:top w:val="nil"/>
              <w:left w:val="nil"/>
              <w:bottom w:val="single" w:sz="4" w:space="0" w:color="auto"/>
              <w:right w:val="single" w:sz="4" w:space="0" w:color="auto"/>
            </w:tcBorders>
            <w:vAlign w:val="center"/>
            <w:hideMark/>
          </w:tcPr>
          <w:p w14:paraId="7B2B979A"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5263EE53"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auto"/>
              <w:right w:val="single" w:sz="8" w:space="0" w:color="auto"/>
            </w:tcBorders>
            <w:vAlign w:val="center"/>
            <w:hideMark/>
          </w:tcPr>
          <w:p w14:paraId="5EBAB7E6" w14:textId="77777777" w:rsidR="00AB2CB6" w:rsidRPr="00AB2CB6" w:rsidRDefault="00AB2CB6" w:rsidP="00AB2CB6">
            <w:pPr>
              <w:spacing w:after="0" w:line="240" w:lineRule="auto"/>
              <w:rPr>
                <w:rFonts w:ascii="Calibri" w:eastAsia="Times New Roman" w:hAnsi="Calibri" w:cs="Calibri"/>
                <w:color w:val="000000"/>
                <w:sz w:val="20"/>
                <w:szCs w:val="20"/>
                <w:lang w:eastAsia="pt-BR"/>
              </w:rPr>
            </w:pPr>
          </w:p>
        </w:tc>
      </w:tr>
      <w:tr w:rsidR="00AB2CB6" w:rsidRPr="00AB2CB6" w14:paraId="02A0975B" w14:textId="77777777" w:rsidTr="00D27C60">
        <w:trPr>
          <w:trHeight w:val="1030"/>
        </w:trPr>
        <w:tc>
          <w:tcPr>
            <w:tcW w:w="1418" w:type="dxa"/>
            <w:vMerge/>
            <w:tcBorders>
              <w:top w:val="single" w:sz="4" w:space="0" w:color="auto"/>
              <w:left w:val="single" w:sz="8" w:space="0" w:color="auto"/>
              <w:bottom w:val="single" w:sz="4" w:space="0" w:color="auto"/>
              <w:right w:val="single" w:sz="4" w:space="0" w:color="auto"/>
            </w:tcBorders>
            <w:vAlign w:val="center"/>
            <w:hideMark/>
          </w:tcPr>
          <w:p w14:paraId="4501251D"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7F995A9"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EF6337"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Índice de reclamações recebidas na Ouvidoria (%)</w:t>
            </w:r>
            <w:r w:rsidRPr="00AB2CB6">
              <w:rPr>
                <w:rFonts w:ascii="Calibri" w:eastAsia="Times New Roman" w:hAnsi="Calibri" w:cs="Calibri"/>
                <w:sz w:val="20"/>
                <w:szCs w:val="20"/>
                <w:lang w:eastAsia="pt-BR"/>
              </w:rPr>
              <w:br/>
            </w:r>
            <w:r w:rsidRPr="00AB2CB6">
              <w:rPr>
                <w:rFonts w:ascii="Calibri" w:eastAsia="Times New Roman" w:hAnsi="Calibri" w:cs="Calibri"/>
                <w:b/>
                <w:bCs/>
                <w:sz w:val="20"/>
                <w:szCs w:val="20"/>
                <w:lang w:eastAsia="pt-BR"/>
              </w:rPr>
              <w:t>(CAU/UF)</w:t>
            </w:r>
          </w:p>
        </w:tc>
        <w:tc>
          <w:tcPr>
            <w:tcW w:w="56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BE0142" w14:textId="4E6C0C57" w:rsidR="00AB2CB6" w:rsidRPr="00AB2CB6" w:rsidRDefault="00AB2CB6" w:rsidP="00AB2CB6">
            <w:pPr>
              <w:spacing w:after="0" w:line="240" w:lineRule="auto"/>
              <w:jc w:val="both"/>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 xml:space="preserve">Indicador para medir se </w:t>
            </w:r>
            <w:r w:rsidR="00ED638E" w:rsidRPr="00AB2CB6">
              <w:rPr>
                <w:rFonts w:ascii="Calibri" w:eastAsia="Times New Roman" w:hAnsi="Calibri" w:cs="Calibri"/>
                <w:sz w:val="20"/>
                <w:szCs w:val="20"/>
                <w:lang w:eastAsia="pt-BR"/>
              </w:rPr>
              <w:t>a Ouvidoria dos CAU/UF possu</w:t>
            </w:r>
            <w:r w:rsidR="00ED638E">
              <w:rPr>
                <w:rFonts w:ascii="Calibri" w:eastAsia="Times New Roman" w:hAnsi="Calibri" w:cs="Calibri"/>
                <w:sz w:val="20"/>
                <w:szCs w:val="20"/>
                <w:lang w:eastAsia="pt-BR"/>
              </w:rPr>
              <w:t>i</w:t>
            </w:r>
            <w:r w:rsidRPr="00AB2CB6">
              <w:rPr>
                <w:rFonts w:ascii="Calibri" w:eastAsia="Times New Roman" w:hAnsi="Calibri" w:cs="Calibri"/>
                <w:sz w:val="20"/>
                <w:szCs w:val="20"/>
                <w:lang w:eastAsia="pt-BR"/>
              </w:rPr>
              <w:t xml:space="preserve"> a capacidade necessária para atendimento das reclamações. Compara a quantidade de reclamações atendidas com a quantidade de atendimentos recebidos na Ouvidoria. </w:t>
            </w:r>
          </w:p>
        </w:tc>
        <w:tc>
          <w:tcPr>
            <w:tcW w:w="2126" w:type="dxa"/>
            <w:tcBorders>
              <w:top w:val="nil"/>
              <w:left w:val="nil"/>
              <w:bottom w:val="single" w:sz="4" w:space="0" w:color="auto"/>
              <w:right w:val="nil"/>
            </w:tcBorders>
            <w:shd w:val="clear" w:color="000000" w:fill="FFFFFF"/>
            <w:vAlign w:val="bottom"/>
            <w:hideMark/>
          </w:tcPr>
          <w:p w14:paraId="6243175E" w14:textId="47D96D99"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número de reclamações recebidas pela Ouvidoria no trimestre</w:t>
            </w:r>
          </w:p>
        </w:tc>
        <w:tc>
          <w:tcPr>
            <w:tcW w:w="712" w:type="dxa"/>
            <w:vMerge w:val="restart"/>
            <w:tcBorders>
              <w:top w:val="nil"/>
              <w:left w:val="nil"/>
              <w:bottom w:val="single" w:sz="4" w:space="0" w:color="auto"/>
              <w:right w:val="single" w:sz="4" w:space="0" w:color="auto"/>
            </w:tcBorders>
            <w:shd w:val="clear" w:color="000000" w:fill="FFFFFF"/>
            <w:vAlign w:val="center"/>
            <w:hideMark/>
          </w:tcPr>
          <w:p w14:paraId="42E45B8C" w14:textId="77777777" w:rsidR="00AB2CB6" w:rsidRPr="00AB2CB6" w:rsidRDefault="00AB2CB6" w:rsidP="00EF7F02">
            <w:pPr>
              <w:spacing w:after="0" w:line="240" w:lineRule="auto"/>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x 100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98E100"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Trimestral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7CFCA05A"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Ouvidoria do CAU/BR ou CAU/UF</w:t>
            </w:r>
          </w:p>
        </w:tc>
      </w:tr>
      <w:tr w:rsidR="00FB2D9C" w:rsidRPr="00AB2CB6" w14:paraId="4F6C9262" w14:textId="77777777" w:rsidTr="00D27C60">
        <w:trPr>
          <w:trHeight w:val="870"/>
        </w:trPr>
        <w:tc>
          <w:tcPr>
            <w:tcW w:w="1418" w:type="dxa"/>
            <w:vMerge/>
            <w:tcBorders>
              <w:top w:val="single" w:sz="4" w:space="0" w:color="auto"/>
              <w:left w:val="single" w:sz="8" w:space="0" w:color="auto"/>
              <w:bottom w:val="single" w:sz="4" w:space="0" w:color="auto"/>
              <w:right w:val="single" w:sz="4" w:space="0" w:color="auto"/>
            </w:tcBorders>
            <w:vAlign w:val="center"/>
            <w:hideMark/>
          </w:tcPr>
          <w:p w14:paraId="65DB3EDF"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707CF6D"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auto"/>
              <w:right w:val="single" w:sz="4" w:space="0" w:color="auto"/>
            </w:tcBorders>
            <w:vAlign w:val="center"/>
            <w:hideMark/>
          </w:tcPr>
          <w:p w14:paraId="71AD4DFB"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5670" w:type="dxa"/>
            <w:vMerge/>
            <w:tcBorders>
              <w:top w:val="nil"/>
              <w:left w:val="single" w:sz="4" w:space="0" w:color="auto"/>
              <w:bottom w:val="single" w:sz="4" w:space="0" w:color="auto"/>
              <w:right w:val="single" w:sz="4" w:space="0" w:color="auto"/>
            </w:tcBorders>
            <w:vAlign w:val="center"/>
            <w:hideMark/>
          </w:tcPr>
          <w:p w14:paraId="209577AB"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2126" w:type="dxa"/>
            <w:tcBorders>
              <w:top w:val="nil"/>
              <w:left w:val="nil"/>
              <w:bottom w:val="single" w:sz="4" w:space="0" w:color="auto"/>
              <w:right w:val="nil"/>
            </w:tcBorders>
            <w:shd w:val="clear" w:color="000000" w:fill="FFFFFF"/>
            <w:hideMark/>
          </w:tcPr>
          <w:p w14:paraId="211C9ABD"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número total de atendimentos pela Ouvidoria no trimestre</w:t>
            </w:r>
          </w:p>
        </w:tc>
        <w:tc>
          <w:tcPr>
            <w:tcW w:w="712" w:type="dxa"/>
            <w:vMerge/>
            <w:tcBorders>
              <w:top w:val="nil"/>
              <w:left w:val="nil"/>
              <w:bottom w:val="single" w:sz="4" w:space="0" w:color="auto"/>
              <w:right w:val="single" w:sz="4" w:space="0" w:color="auto"/>
            </w:tcBorders>
            <w:vAlign w:val="center"/>
            <w:hideMark/>
          </w:tcPr>
          <w:p w14:paraId="6169004D"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143D7A4B"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15894D71" w14:textId="77777777" w:rsidR="00AB2CB6" w:rsidRPr="00AB2CB6" w:rsidRDefault="00AB2CB6" w:rsidP="00AB2CB6">
            <w:pPr>
              <w:spacing w:after="0" w:line="240" w:lineRule="auto"/>
              <w:rPr>
                <w:rFonts w:ascii="Calibri" w:eastAsia="Times New Roman" w:hAnsi="Calibri" w:cs="Calibri"/>
                <w:sz w:val="20"/>
                <w:szCs w:val="20"/>
                <w:lang w:eastAsia="pt-BR"/>
              </w:rPr>
            </w:pPr>
          </w:p>
        </w:tc>
      </w:tr>
    </w:tbl>
    <w:p w14:paraId="6F5C2B40" w14:textId="3ADD22AF" w:rsidR="00D27C60" w:rsidRPr="004719E1" w:rsidRDefault="00D27C60" w:rsidP="00D27C60">
      <w:pPr>
        <w:spacing w:after="0"/>
        <w:ind w:left="-567"/>
        <w:rPr>
          <w:rFonts w:asciiTheme="majorHAnsi" w:hAnsiTheme="majorHAnsi" w:cstheme="majorHAnsi"/>
          <w:b/>
          <w:bCs/>
        </w:rPr>
      </w:pPr>
      <w:r w:rsidRPr="004719E1">
        <w:rPr>
          <w:rFonts w:asciiTheme="majorHAnsi" w:hAnsiTheme="majorHAnsi" w:cstheme="majorHAnsi"/>
          <w:b/>
          <w:bCs/>
        </w:rPr>
        <w:t>ANEXO I.e – Indicadores Institucionais e de Resultado – CAU UF</w:t>
      </w:r>
    </w:p>
    <w:tbl>
      <w:tblPr>
        <w:tblW w:w="15710" w:type="dxa"/>
        <w:tblInd w:w="-577" w:type="dxa"/>
        <w:tblCellMar>
          <w:left w:w="70" w:type="dxa"/>
          <w:right w:w="70" w:type="dxa"/>
        </w:tblCellMar>
        <w:tblLook w:val="04A0" w:firstRow="1" w:lastRow="0" w:firstColumn="1" w:lastColumn="0" w:noHBand="0" w:noVBand="1"/>
      </w:tblPr>
      <w:tblGrid>
        <w:gridCol w:w="1412"/>
        <w:gridCol w:w="1565"/>
        <w:gridCol w:w="1701"/>
        <w:gridCol w:w="4820"/>
        <w:gridCol w:w="3093"/>
        <w:gridCol w:w="709"/>
        <w:gridCol w:w="1134"/>
        <w:gridCol w:w="1276"/>
      </w:tblGrid>
      <w:tr w:rsidR="008463C6" w:rsidRPr="008463C6" w14:paraId="65E5CE17" w14:textId="77777777" w:rsidTr="00335B2F">
        <w:trPr>
          <w:trHeight w:val="1575"/>
        </w:trPr>
        <w:tc>
          <w:tcPr>
            <w:tcW w:w="1412"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42224F60" w14:textId="77777777"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Perspectiva</w:t>
            </w:r>
          </w:p>
        </w:tc>
        <w:tc>
          <w:tcPr>
            <w:tcW w:w="1565" w:type="dxa"/>
            <w:tcBorders>
              <w:top w:val="single" w:sz="8" w:space="0" w:color="auto"/>
              <w:left w:val="nil"/>
              <w:bottom w:val="single" w:sz="8" w:space="0" w:color="auto"/>
              <w:right w:val="single" w:sz="4" w:space="0" w:color="auto"/>
            </w:tcBorders>
            <w:shd w:val="clear" w:color="auto" w:fill="ED7D31" w:themeFill="accent2"/>
            <w:vAlign w:val="center"/>
            <w:hideMark/>
          </w:tcPr>
          <w:p w14:paraId="394BF123" w14:textId="77777777"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Objetivo Estratégico</w:t>
            </w:r>
          </w:p>
        </w:tc>
        <w:tc>
          <w:tcPr>
            <w:tcW w:w="1701" w:type="dxa"/>
            <w:tcBorders>
              <w:top w:val="single" w:sz="8" w:space="0" w:color="auto"/>
              <w:left w:val="nil"/>
              <w:bottom w:val="single" w:sz="8" w:space="0" w:color="auto"/>
              <w:right w:val="single" w:sz="4" w:space="0" w:color="auto"/>
            </w:tcBorders>
            <w:shd w:val="clear" w:color="auto" w:fill="ED7D31" w:themeFill="accent2"/>
            <w:vAlign w:val="center"/>
            <w:hideMark/>
          </w:tcPr>
          <w:p w14:paraId="316EAEB2" w14:textId="692336C6"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Indicador</w:t>
            </w:r>
          </w:p>
        </w:tc>
        <w:tc>
          <w:tcPr>
            <w:tcW w:w="4820" w:type="dxa"/>
            <w:tcBorders>
              <w:top w:val="single" w:sz="8" w:space="0" w:color="auto"/>
              <w:left w:val="nil"/>
              <w:bottom w:val="single" w:sz="8" w:space="0" w:color="auto"/>
              <w:right w:val="single" w:sz="4" w:space="0" w:color="auto"/>
            </w:tcBorders>
            <w:shd w:val="clear" w:color="auto" w:fill="ED7D31" w:themeFill="accent2"/>
            <w:vAlign w:val="center"/>
            <w:hideMark/>
          </w:tcPr>
          <w:p w14:paraId="7E30BA7A" w14:textId="77777777"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Descrição</w:t>
            </w:r>
          </w:p>
        </w:tc>
        <w:tc>
          <w:tcPr>
            <w:tcW w:w="3802" w:type="dxa"/>
            <w:gridSpan w:val="2"/>
            <w:tcBorders>
              <w:top w:val="single" w:sz="8" w:space="0" w:color="auto"/>
              <w:left w:val="nil"/>
              <w:bottom w:val="single" w:sz="8" w:space="0" w:color="auto"/>
              <w:right w:val="single" w:sz="4" w:space="0" w:color="auto"/>
            </w:tcBorders>
            <w:shd w:val="clear" w:color="auto" w:fill="ED7D31" w:themeFill="accent2"/>
            <w:noWrap/>
            <w:vAlign w:val="center"/>
            <w:hideMark/>
          </w:tcPr>
          <w:p w14:paraId="2E6ED607" w14:textId="77777777"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Fórmula de Cálculo</w:t>
            </w:r>
          </w:p>
        </w:tc>
        <w:tc>
          <w:tcPr>
            <w:tcW w:w="1134" w:type="dxa"/>
            <w:tcBorders>
              <w:top w:val="single" w:sz="8" w:space="0" w:color="auto"/>
              <w:left w:val="nil"/>
              <w:bottom w:val="single" w:sz="8" w:space="0" w:color="auto"/>
              <w:right w:val="single" w:sz="4" w:space="0" w:color="auto"/>
            </w:tcBorders>
            <w:shd w:val="clear" w:color="auto" w:fill="ED7D31" w:themeFill="accent2"/>
            <w:vAlign w:val="center"/>
            <w:hideMark/>
          </w:tcPr>
          <w:p w14:paraId="6D15A02F" w14:textId="77777777"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Frequência</w:t>
            </w:r>
            <w:r w:rsidRPr="008463C6">
              <w:rPr>
                <w:rFonts w:ascii="Calibri" w:eastAsia="Times New Roman" w:hAnsi="Calibri" w:cs="Calibri"/>
                <w:b/>
                <w:bCs/>
                <w:color w:val="FFFFFF"/>
                <w:sz w:val="20"/>
                <w:szCs w:val="20"/>
                <w:lang w:eastAsia="pt-BR"/>
              </w:rPr>
              <w:br/>
              <w:t>de Medição</w:t>
            </w:r>
          </w:p>
        </w:tc>
        <w:tc>
          <w:tcPr>
            <w:tcW w:w="1276" w:type="dxa"/>
            <w:tcBorders>
              <w:top w:val="single" w:sz="8" w:space="0" w:color="auto"/>
              <w:left w:val="nil"/>
              <w:bottom w:val="single" w:sz="8" w:space="0" w:color="auto"/>
              <w:right w:val="single" w:sz="8" w:space="0" w:color="auto"/>
            </w:tcBorders>
            <w:shd w:val="clear" w:color="auto" w:fill="ED7D31" w:themeFill="accent2"/>
            <w:vAlign w:val="center"/>
            <w:hideMark/>
          </w:tcPr>
          <w:p w14:paraId="71AF1C83" w14:textId="77777777"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Fonte do Indicador</w:t>
            </w:r>
          </w:p>
        </w:tc>
      </w:tr>
      <w:tr w:rsidR="008463C6" w:rsidRPr="008463C6" w14:paraId="6C49707E" w14:textId="77777777" w:rsidTr="00710CDA">
        <w:trPr>
          <w:trHeight w:val="870"/>
        </w:trPr>
        <w:tc>
          <w:tcPr>
            <w:tcW w:w="141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3C2035FA"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Processos Internos (Excelência Organizacional)</w:t>
            </w:r>
          </w:p>
        </w:tc>
        <w:tc>
          <w:tcPr>
            <w:tcW w:w="15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C387B2"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Estimular o conhecimento, o uso de processos criativos e a difusão das melhores práticas em Arquitetura e Urbanismo</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398343" w14:textId="723A5D72" w:rsidR="008463C6" w:rsidRPr="008463C6" w:rsidRDefault="008463C6" w:rsidP="00153994">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Índice da capacidade de execução dos investimentos em patrocínios (%)</w:t>
            </w:r>
            <w:r w:rsidRPr="008463C6">
              <w:rPr>
                <w:rFonts w:ascii="Calibri" w:eastAsia="Times New Roman" w:hAnsi="Calibri" w:cs="Calibri"/>
                <w:sz w:val="20"/>
                <w:szCs w:val="20"/>
                <w:lang w:eastAsia="pt-BR"/>
              </w:rPr>
              <w:br w:type="page"/>
            </w:r>
            <w:r w:rsidR="00153994">
              <w:rPr>
                <w:rFonts w:ascii="Calibri" w:eastAsia="Times New Roman" w:hAnsi="Calibri" w:cs="Calibri"/>
                <w:sz w:val="20"/>
                <w:szCs w:val="20"/>
                <w:lang w:eastAsia="pt-BR"/>
              </w:rPr>
              <w:t xml:space="preserve"> </w:t>
            </w:r>
            <w:r w:rsidRPr="008463C6">
              <w:rPr>
                <w:rFonts w:ascii="Calibri" w:eastAsia="Times New Roman" w:hAnsi="Calibri" w:cs="Calibri"/>
                <w:b/>
                <w:bCs/>
                <w:sz w:val="20"/>
                <w:szCs w:val="20"/>
                <w:lang w:eastAsia="pt-BR"/>
              </w:rPr>
              <w:t>(CAU/UF)</w:t>
            </w:r>
          </w:p>
        </w:tc>
        <w:tc>
          <w:tcPr>
            <w:tcW w:w="48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6DAC1C" w14:textId="77777777" w:rsidR="008463C6" w:rsidRPr="008463C6" w:rsidRDefault="008463C6" w:rsidP="008463C6">
            <w:pPr>
              <w:spacing w:after="0" w:line="240" w:lineRule="auto"/>
              <w:jc w:val="both"/>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Para medir se o valor alocado no orçamento pelos CAU/UF para patrocínios está sendo executado conforme planejado.</w:t>
            </w:r>
          </w:p>
        </w:tc>
        <w:tc>
          <w:tcPr>
            <w:tcW w:w="3093" w:type="dxa"/>
            <w:tcBorders>
              <w:top w:val="single" w:sz="4" w:space="0" w:color="auto"/>
              <w:left w:val="nil"/>
              <w:bottom w:val="single" w:sz="4" w:space="0" w:color="auto"/>
              <w:right w:val="nil"/>
            </w:tcBorders>
            <w:shd w:val="clear" w:color="000000" w:fill="FFFFFF"/>
            <w:vAlign w:val="bottom"/>
            <w:hideMark/>
          </w:tcPr>
          <w:p w14:paraId="097070F0"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valor orçamentário investido (executado) em patrocínios no ano</w:t>
            </w:r>
          </w:p>
        </w:tc>
        <w:tc>
          <w:tcPr>
            <w:tcW w:w="709" w:type="dxa"/>
            <w:vMerge w:val="restart"/>
            <w:tcBorders>
              <w:top w:val="single" w:sz="4" w:space="0" w:color="auto"/>
              <w:left w:val="nil"/>
              <w:bottom w:val="single" w:sz="4" w:space="0" w:color="auto"/>
              <w:right w:val="single" w:sz="4" w:space="0" w:color="auto"/>
            </w:tcBorders>
            <w:shd w:val="clear" w:color="000000" w:fill="FFFFFF"/>
            <w:vAlign w:val="center"/>
            <w:hideMark/>
          </w:tcPr>
          <w:p w14:paraId="39A95498" w14:textId="77777777" w:rsidR="008463C6" w:rsidRPr="008463C6" w:rsidRDefault="008463C6" w:rsidP="008463C6">
            <w:pPr>
              <w:spacing w:after="0" w:line="240" w:lineRule="auto"/>
              <w:ind w:left="-353" w:firstLine="353"/>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x 100</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1F27E8"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Anual</w:t>
            </w:r>
            <w:r w:rsidRPr="008463C6">
              <w:rPr>
                <w:rFonts w:ascii="Calibri" w:eastAsia="Times New Roman" w:hAnsi="Calibri" w:cs="Calibri"/>
                <w:sz w:val="20"/>
                <w:szCs w:val="20"/>
                <w:lang w:eastAsia="pt-BR"/>
              </w:rPr>
              <w:br w:type="page"/>
            </w:r>
          </w:p>
        </w:tc>
        <w:tc>
          <w:tcPr>
            <w:tcW w:w="1276" w:type="dxa"/>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14:paraId="364ABD35"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Execução do Plano de Ação e Orçamento do CAU/UF</w:t>
            </w:r>
          </w:p>
        </w:tc>
      </w:tr>
      <w:tr w:rsidR="008463C6" w:rsidRPr="008463C6" w14:paraId="031A4589" w14:textId="77777777" w:rsidTr="00710CDA">
        <w:trPr>
          <w:trHeight w:val="870"/>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586D9499"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7EEA911D"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7CDF615"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03663084"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3093" w:type="dxa"/>
            <w:tcBorders>
              <w:top w:val="nil"/>
              <w:left w:val="nil"/>
              <w:bottom w:val="single" w:sz="4" w:space="0" w:color="auto"/>
              <w:right w:val="nil"/>
            </w:tcBorders>
            <w:shd w:val="clear" w:color="000000" w:fill="FFFFFF"/>
            <w:hideMark/>
          </w:tcPr>
          <w:p w14:paraId="025FE3DD"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valor orçamentário destinado (orçado) em patrocínios no ano</w:t>
            </w:r>
          </w:p>
        </w:tc>
        <w:tc>
          <w:tcPr>
            <w:tcW w:w="709" w:type="dxa"/>
            <w:vMerge/>
            <w:tcBorders>
              <w:top w:val="single" w:sz="4" w:space="0" w:color="auto"/>
              <w:left w:val="nil"/>
              <w:bottom w:val="single" w:sz="4" w:space="0" w:color="auto"/>
              <w:right w:val="single" w:sz="4" w:space="0" w:color="auto"/>
            </w:tcBorders>
            <w:vAlign w:val="center"/>
            <w:hideMark/>
          </w:tcPr>
          <w:p w14:paraId="33B559B2"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3ED549"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276" w:type="dxa"/>
            <w:vMerge/>
            <w:tcBorders>
              <w:top w:val="single" w:sz="4" w:space="0" w:color="auto"/>
              <w:left w:val="single" w:sz="4" w:space="0" w:color="auto"/>
              <w:bottom w:val="single" w:sz="4" w:space="0" w:color="auto"/>
              <w:right w:val="single" w:sz="8" w:space="0" w:color="auto"/>
            </w:tcBorders>
            <w:vAlign w:val="center"/>
            <w:hideMark/>
          </w:tcPr>
          <w:p w14:paraId="38893746" w14:textId="77777777" w:rsidR="008463C6" w:rsidRPr="008463C6" w:rsidRDefault="008463C6" w:rsidP="008463C6">
            <w:pPr>
              <w:spacing w:after="0" w:line="240" w:lineRule="auto"/>
              <w:rPr>
                <w:rFonts w:ascii="Calibri" w:eastAsia="Times New Roman" w:hAnsi="Calibri" w:cs="Calibri"/>
                <w:sz w:val="20"/>
                <w:szCs w:val="20"/>
                <w:lang w:eastAsia="pt-BR"/>
              </w:rPr>
            </w:pPr>
          </w:p>
        </w:tc>
      </w:tr>
      <w:tr w:rsidR="008463C6" w:rsidRPr="008463C6" w14:paraId="36751EF7" w14:textId="77777777" w:rsidTr="00710CDA">
        <w:trPr>
          <w:trHeight w:val="870"/>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21EA48BA"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33F4C4A4"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28937B"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Índice de difusão de conhecimento em eventos próprios (%)</w:t>
            </w:r>
            <w:r w:rsidRPr="008463C6">
              <w:rPr>
                <w:rFonts w:ascii="Calibri" w:eastAsia="Times New Roman" w:hAnsi="Calibri" w:cs="Calibri"/>
                <w:sz w:val="20"/>
                <w:szCs w:val="20"/>
                <w:lang w:eastAsia="pt-BR"/>
              </w:rPr>
              <w:br/>
            </w:r>
            <w:r w:rsidRPr="008463C6">
              <w:rPr>
                <w:rFonts w:ascii="Calibri" w:eastAsia="Times New Roman" w:hAnsi="Calibri" w:cs="Calibri"/>
                <w:b/>
                <w:bCs/>
                <w:sz w:val="20"/>
                <w:szCs w:val="20"/>
                <w:lang w:eastAsia="pt-BR"/>
              </w:rPr>
              <w:t>(CAU/UF)</w:t>
            </w:r>
          </w:p>
        </w:tc>
        <w:tc>
          <w:tcPr>
            <w:tcW w:w="48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AEAF99" w14:textId="77777777" w:rsidR="008463C6" w:rsidRPr="008463C6" w:rsidRDefault="008463C6" w:rsidP="008463C6">
            <w:pPr>
              <w:spacing w:after="0" w:line="240" w:lineRule="auto"/>
              <w:jc w:val="both"/>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Eventos: palestras, cursos, workshop, seminários, exposições, mostras e outros eventos que disseminem as boas práticas na arquitetura e urbanismo e estimulem o conhecimento e uso de processo criativos. Exemplo: realização 1 de seminário sobre patrimônio histórico/300 participantes.</w:t>
            </w:r>
          </w:p>
        </w:tc>
        <w:tc>
          <w:tcPr>
            <w:tcW w:w="3093" w:type="dxa"/>
            <w:tcBorders>
              <w:top w:val="nil"/>
              <w:left w:val="nil"/>
              <w:bottom w:val="single" w:sz="4" w:space="0" w:color="auto"/>
              <w:right w:val="nil"/>
            </w:tcBorders>
            <w:shd w:val="clear" w:color="000000" w:fill="FFFFFF"/>
            <w:vAlign w:val="bottom"/>
            <w:hideMark/>
          </w:tcPr>
          <w:p w14:paraId="2B935939"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Quantidade de participantes presentes</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4ED2B4FA" w14:textId="77777777" w:rsidR="008463C6" w:rsidRPr="008463C6" w:rsidRDefault="008463C6" w:rsidP="008463C6">
            <w:pPr>
              <w:spacing w:after="0" w:line="240" w:lineRule="auto"/>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x 100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75A96D"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Semestral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30F15C77"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 xml:space="preserve">SICCAU </w:t>
            </w:r>
          </w:p>
        </w:tc>
      </w:tr>
      <w:tr w:rsidR="008463C6" w:rsidRPr="008463C6" w14:paraId="7D912F13" w14:textId="77777777" w:rsidTr="00710CDA">
        <w:trPr>
          <w:trHeight w:val="870"/>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4631CC7C"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7F7E9A51"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auto"/>
              <w:right w:val="single" w:sz="4" w:space="0" w:color="auto"/>
            </w:tcBorders>
            <w:vAlign w:val="center"/>
            <w:hideMark/>
          </w:tcPr>
          <w:p w14:paraId="36F31D7F"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4820" w:type="dxa"/>
            <w:vMerge/>
            <w:tcBorders>
              <w:top w:val="nil"/>
              <w:left w:val="single" w:sz="4" w:space="0" w:color="auto"/>
              <w:bottom w:val="single" w:sz="4" w:space="0" w:color="auto"/>
              <w:right w:val="single" w:sz="4" w:space="0" w:color="auto"/>
            </w:tcBorders>
            <w:vAlign w:val="center"/>
            <w:hideMark/>
          </w:tcPr>
          <w:p w14:paraId="27BF6595"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3093" w:type="dxa"/>
            <w:tcBorders>
              <w:top w:val="nil"/>
              <w:left w:val="nil"/>
              <w:bottom w:val="single" w:sz="4" w:space="0" w:color="auto"/>
              <w:right w:val="nil"/>
            </w:tcBorders>
            <w:shd w:val="clear" w:color="000000" w:fill="FFFFFF"/>
            <w:hideMark/>
          </w:tcPr>
          <w:p w14:paraId="74A8D3CD"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quantidade de participantes previstas no Plano de Ação Aprovado</w:t>
            </w:r>
          </w:p>
        </w:tc>
        <w:tc>
          <w:tcPr>
            <w:tcW w:w="709" w:type="dxa"/>
            <w:vMerge/>
            <w:tcBorders>
              <w:top w:val="nil"/>
              <w:left w:val="nil"/>
              <w:bottom w:val="single" w:sz="4" w:space="0" w:color="auto"/>
              <w:right w:val="single" w:sz="4" w:space="0" w:color="auto"/>
            </w:tcBorders>
            <w:vAlign w:val="center"/>
            <w:hideMark/>
          </w:tcPr>
          <w:p w14:paraId="0BD2550A"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1F1513F6"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06AB881B" w14:textId="77777777" w:rsidR="008463C6" w:rsidRPr="008463C6" w:rsidRDefault="008463C6" w:rsidP="008463C6">
            <w:pPr>
              <w:spacing w:after="0" w:line="240" w:lineRule="auto"/>
              <w:rPr>
                <w:rFonts w:ascii="Calibri" w:eastAsia="Times New Roman" w:hAnsi="Calibri" w:cs="Calibri"/>
                <w:sz w:val="20"/>
                <w:szCs w:val="20"/>
                <w:lang w:eastAsia="pt-BR"/>
              </w:rPr>
            </w:pPr>
          </w:p>
        </w:tc>
      </w:tr>
      <w:tr w:rsidR="008463C6" w:rsidRPr="008463C6" w14:paraId="3AC1EC9F" w14:textId="77777777" w:rsidTr="00710CDA">
        <w:trPr>
          <w:trHeight w:val="823"/>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45C7DFBE"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1FDF4EF9"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E55CDB"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Índice de eficiência de custos de eventos próprios</w:t>
            </w:r>
            <w:r w:rsidRPr="008463C6">
              <w:rPr>
                <w:rFonts w:ascii="Calibri" w:eastAsia="Times New Roman" w:hAnsi="Calibri" w:cs="Calibri"/>
                <w:sz w:val="20"/>
                <w:szCs w:val="20"/>
                <w:lang w:eastAsia="pt-BR"/>
              </w:rPr>
              <w:br/>
            </w:r>
            <w:r w:rsidRPr="008463C6">
              <w:rPr>
                <w:rFonts w:ascii="Calibri" w:eastAsia="Times New Roman" w:hAnsi="Calibri" w:cs="Calibri"/>
                <w:b/>
                <w:bCs/>
                <w:sz w:val="20"/>
                <w:szCs w:val="20"/>
                <w:lang w:eastAsia="pt-BR"/>
              </w:rPr>
              <w:t>(CAU/UF)</w:t>
            </w:r>
          </w:p>
        </w:tc>
        <w:tc>
          <w:tcPr>
            <w:tcW w:w="48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281273" w14:textId="77777777" w:rsidR="008463C6" w:rsidRPr="008463C6" w:rsidRDefault="008463C6" w:rsidP="008463C6">
            <w:pPr>
              <w:spacing w:after="0" w:line="240" w:lineRule="auto"/>
              <w:jc w:val="both"/>
              <w:rPr>
                <w:rFonts w:ascii="Calibri" w:eastAsia="Times New Roman" w:hAnsi="Calibri" w:cs="Calibri"/>
                <w:color w:val="000000"/>
                <w:sz w:val="20"/>
                <w:szCs w:val="20"/>
                <w:lang w:eastAsia="pt-BR"/>
              </w:rPr>
            </w:pPr>
            <w:r w:rsidRPr="008463C6">
              <w:rPr>
                <w:rFonts w:ascii="Calibri" w:eastAsia="Times New Roman" w:hAnsi="Calibri" w:cs="Calibri"/>
                <w:color w:val="000000"/>
                <w:sz w:val="20"/>
                <w:szCs w:val="20"/>
                <w:lang w:eastAsia="pt-BR"/>
              </w:rPr>
              <w:t>Este indicador deve ser acompanhado comparativamente, em relação ao próprio CAU, e seu desempenho em eventos anteriores.</w:t>
            </w:r>
          </w:p>
        </w:tc>
        <w:tc>
          <w:tcPr>
            <w:tcW w:w="3802" w:type="dxa"/>
            <w:gridSpan w:val="2"/>
            <w:tcBorders>
              <w:top w:val="single" w:sz="4" w:space="0" w:color="auto"/>
              <w:left w:val="nil"/>
              <w:bottom w:val="single" w:sz="4" w:space="0" w:color="auto"/>
              <w:right w:val="single" w:sz="4" w:space="0" w:color="000000"/>
            </w:tcBorders>
            <w:shd w:val="clear" w:color="000000" w:fill="FFFFFF"/>
            <w:vAlign w:val="bottom"/>
            <w:hideMark/>
          </w:tcPr>
          <w:p w14:paraId="6258BE43"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custos totais dos eventos</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87ED2E"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Semestral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56A2B335"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 xml:space="preserve">SICCAU </w:t>
            </w:r>
          </w:p>
        </w:tc>
      </w:tr>
      <w:tr w:rsidR="008463C6" w:rsidRPr="008463C6" w14:paraId="6A60432F" w14:textId="77777777" w:rsidTr="00710CDA">
        <w:trPr>
          <w:trHeight w:val="793"/>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3C9F5213"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471C733A"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auto"/>
              <w:right w:val="single" w:sz="4" w:space="0" w:color="auto"/>
            </w:tcBorders>
            <w:vAlign w:val="center"/>
            <w:hideMark/>
          </w:tcPr>
          <w:p w14:paraId="297D471F"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4820" w:type="dxa"/>
            <w:vMerge/>
            <w:tcBorders>
              <w:top w:val="nil"/>
              <w:left w:val="single" w:sz="4" w:space="0" w:color="auto"/>
              <w:bottom w:val="single" w:sz="4" w:space="0" w:color="auto"/>
              <w:right w:val="single" w:sz="4" w:space="0" w:color="auto"/>
            </w:tcBorders>
            <w:vAlign w:val="center"/>
            <w:hideMark/>
          </w:tcPr>
          <w:p w14:paraId="461E3BF0" w14:textId="77777777" w:rsidR="008463C6" w:rsidRPr="008463C6" w:rsidRDefault="008463C6" w:rsidP="008463C6">
            <w:pPr>
              <w:spacing w:after="0" w:line="240" w:lineRule="auto"/>
              <w:rPr>
                <w:rFonts w:ascii="Calibri" w:eastAsia="Times New Roman" w:hAnsi="Calibri" w:cs="Calibri"/>
                <w:color w:val="000000"/>
                <w:sz w:val="20"/>
                <w:szCs w:val="20"/>
                <w:lang w:eastAsia="pt-BR"/>
              </w:rPr>
            </w:pPr>
          </w:p>
        </w:tc>
        <w:tc>
          <w:tcPr>
            <w:tcW w:w="3802" w:type="dxa"/>
            <w:gridSpan w:val="2"/>
            <w:tcBorders>
              <w:top w:val="single" w:sz="4" w:space="0" w:color="auto"/>
              <w:left w:val="nil"/>
              <w:bottom w:val="single" w:sz="4" w:space="0" w:color="auto"/>
              <w:right w:val="single" w:sz="4" w:space="0" w:color="000000"/>
            </w:tcBorders>
            <w:shd w:val="clear" w:color="000000" w:fill="FFFFFF"/>
            <w:hideMark/>
          </w:tcPr>
          <w:p w14:paraId="10EE5190"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quantidade de participantes presentes</w:t>
            </w:r>
          </w:p>
        </w:tc>
        <w:tc>
          <w:tcPr>
            <w:tcW w:w="1134" w:type="dxa"/>
            <w:vMerge/>
            <w:tcBorders>
              <w:top w:val="nil"/>
              <w:left w:val="single" w:sz="4" w:space="0" w:color="auto"/>
              <w:bottom w:val="single" w:sz="4" w:space="0" w:color="auto"/>
              <w:right w:val="single" w:sz="4" w:space="0" w:color="auto"/>
            </w:tcBorders>
            <w:vAlign w:val="center"/>
            <w:hideMark/>
          </w:tcPr>
          <w:p w14:paraId="21BBBFF4"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3ABFC7C9" w14:textId="77777777" w:rsidR="008463C6" w:rsidRPr="008463C6" w:rsidRDefault="008463C6" w:rsidP="008463C6">
            <w:pPr>
              <w:spacing w:after="0" w:line="240" w:lineRule="auto"/>
              <w:rPr>
                <w:rFonts w:ascii="Calibri" w:eastAsia="Times New Roman" w:hAnsi="Calibri" w:cs="Calibri"/>
                <w:sz w:val="20"/>
                <w:szCs w:val="20"/>
                <w:lang w:eastAsia="pt-BR"/>
              </w:rPr>
            </w:pPr>
          </w:p>
        </w:tc>
      </w:tr>
      <w:tr w:rsidR="008463C6" w:rsidRPr="008463C6" w14:paraId="56FE0607" w14:textId="77777777" w:rsidTr="00710CDA">
        <w:trPr>
          <w:trHeight w:val="870"/>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09FE41C3"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7A2D8797"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B79D13"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Índice de alcance das melhores práticas (%)</w:t>
            </w:r>
            <w:r w:rsidRPr="008463C6">
              <w:rPr>
                <w:rFonts w:ascii="Calibri" w:eastAsia="Times New Roman" w:hAnsi="Calibri" w:cs="Calibri"/>
                <w:sz w:val="20"/>
                <w:szCs w:val="20"/>
                <w:lang w:eastAsia="pt-BR"/>
              </w:rPr>
              <w:br/>
            </w:r>
            <w:r w:rsidRPr="008463C6">
              <w:rPr>
                <w:rFonts w:ascii="Calibri" w:eastAsia="Times New Roman" w:hAnsi="Calibri" w:cs="Calibri"/>
                <w:b/>
                <w:bCs/>
                <w:sz w:val="20"/>
                <w:szCs w:val="20"/>
                <w:lang w:eastAsia="pt-BR"/>
              </w:rPr>
              <w:t>(CAU/UF)</w:t>
            </w:r>
          </w:p>
        </w:tc>
        <w:tc>
          <w:tcPr>
            <w:tcW w:w="48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11A711" w14:textId="77777777" w:rsidR="008463C6" w:rsidRPr="008463C6" w:rsidRDefault="008463C6" w:rsidP="008463C6">
            <w:pPr>
              <w:spacing w:after="0" w:line="240" w:lineRule="auto"/>
              <w:jc w:val="both"/>
              <w:rPr>
                <w:rFonts w:ascii="Calibri" w:eastAsia="Times New Roman" w:hAnsi="Calibri" w:cs="Calibri"/>
                <w:color w:val="000000"/>
                <w:sz w:val="20"/>
                <w:szCs w:val="20"/>
                <w:lang w:eastAsia="pt-BR"/>
              </w:rPr>
            </w:pPr>
            <w:r w:rsidRPr="008463C6">
              <w:rPr>
                <w:rFonts w:ascii="Calibri" w:eastAsia="Times New Roman" w:hAnsi="Calibri" w:cs="Calibri"/>
                <w:color w:val="000000"/>
                <w:sz w:val="20"/>
                <w:szCs w:val="20"/>
                <w:lang w:eastAsia="pt-BR"/>
              </w:rPr>
              <w:t>Folders, cartilhas, livretos, material impresso e campanhas com conteúdo sobre as melhores práticas na arquitetura e urbanismo ou material técnico relevante aos profissionais e sociedade. Exemplo: produção de 1000 cartilhas sobre planejamento urbano/distribuição de 600 cartilhas em eventos do CAU.</w:t>
            </w:r>
          </w:p>
        </w:tc>
        <w:tc>
          <w:tcPr>
            <w:tcW w:w="3093" w:type="dxa"/>
            <w:tcBorders>
              <w:top w:val="nil"/>
              <w:left w:val="nil"/>
              <w:bottom w:val="single" w:sz="4" w:space="0" w:color="auto"/>
              <w:right w:val="nil"/>
            </w:tcBorders>
            <w:shd w:val="clear" w:color="000000" w:fill="FFFFFF"/>
            <w:vAlign w:val="bottom"/>
            <w:hideMark/>
          </w:tcPr>
          <w:p w14:paraId="7A42DD63"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número de pessoas atingida pelo material produzido e distribuído</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7234113B" w14:textId="77777777" w:rsidR="008463C6" w:rsidRPr="008463C6" w:rsidRDefault="008463C6" w:rsidP="008463C6">
            <w:pPr>
              <w:spacing w:after="0" w:line="240" w:lineRule="auto"/>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x 100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85F55A"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Semestral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78224D57"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 xml:space="preserve">SICCAU </w:t>
            </w:r>
          </w:p>
        </w:tc>
      </w:tr>
      <w:tr w:rsidR="008463C6" w:rsidRPr="008463C6" w14:paraId="019ABFCB" w14:textId="77777777" w:rsidTr="00710CDA">
        <w:trPr>
          <w:trHeight w:val="870"/>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6A3A2B75"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54A21D71"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auto"/>
              <w:right w:val="single" w:sz="4" w:space="0" w:color="auto"/>
            </w:tcBorders>
            <w:vAlign w:val="center"/>
            <w:hideMark/>
          </w:tcPr>
          <w:p w14:paraId="6A504E24"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4820" w:type="dxa"/>
            <w:vMerge/>
            <w:tcBorders>
              <w:top w:val="nil"/>
              <w:left w:val="single" w:sz="4" w:space="0" w:color="auto"/>
              <w:bottom w:val="single" w:sz="4" w:space="0" w:color="auto"/>
              <w:right w:val="single" w:sz="4" w:space="0" w:color="auto"/>
            </w:tcBorders>
            <w:vAlign w:val="center"/>
            <w:hideMark/>
          </w:tcPr>
          <w:p w14:paraId="25D2AFF8" w14:textId="77777777" w:rsidR="008463C6" w:rsidRPr="008463C6" w:rsidRDefault="008463C6" w:rsidP="008463C6">
            <w:pPr>
              <w:spacing w:after="0" w:line="240" w:lineRule="auto"/>
              <w:rPr>
                <w:rFonts w:ascii="Calibri" w:eastAsia="Times New Roman" w:hAnsi="Calibri" w:cs="Calibri"/>
                <w:color w:val="000000"/>
                <w:sz w:val="20"/>
                <w:szCs w:val="20"/>
                <w:lang w:eastAsia="pt-BR"/>
              </w:rPr>
            </w:pPr>
          </w:p>
        </w:tc>
        <w:tc>
          <w:tcPr>
            <w:tcW w:w="3093" w:type="dxa"/>
            <w:tcBorders>
              <w:top w:val="nil"/>
              <w:left w:val="nil"/>
              <w:bottom w:val="single" w:sz="4" w:space="0" w:color="auto"/>
              <w:right w:val="nil"/>
            </w:tcBorders>
            <w:shd w:val="clear" w:color="000000" w:fill="FFFFFF"/>
            <w:hideMark/>
          </w:tcPr>
          <w:p w14:paraId="1EB57E5C"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quantidade de material informativo produzido</w:t>
            </w:r>
          </w:p>
        </w:tc>
        <w:tc>
          <w:tcPr>
            <w:tcW w:w="709" w:type="dxa"/>
            <w:vMerge/>
            <w:tcBorders>
              <w:top w:val="nil"/>
              <w:left w:val="nil"/>
              <w:bottom w:val="single" w:sz="4" w:space="0" w:color="auto"/>
              <w:right w:val="single" w:sz="4" w:space="0" w:color="auto"/>
            </w:tcBorders>
            <w:vAlign w:val="center"/>
            <w:hideMark/>
          </w:tcPr>
          <w:p w14:paraId="33BD4AEB"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7FEFD563"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2EDA23C3" w14:textId="77777777" w:rsidR="008463C6" w:rsidRPr="008463C6" w:rsidRDefault="008463C6" w:rsidP="008463C6">
            <w:pPr>
              <w:spacing w:after="0" w:line="240" w:lineRule="auto"/>
              <w:rPr>
                <w:rFonts w:ascii="Calibri" w:eastAsia="Times New Roman" w:hAnsi="Calibri" w:cs="Calibri"/>
                <w:sz w:val="20"/>
                <w:szCs w:val="20"/>
                <w:lang w:eastAsia="pt-BR"/>
              </w:rPr>
            </w:pPr>
          </w:p>
        </w:tc>
      </w:tr>
    </w:tbl>
    <w:p w14:paraId="0093F51C" w14:textId="240F3015" w:rsidR="00D27C60" w:rsidRPr="004719E1" w:rsidRDefault="00D27C60" w:rsidP="00D27C60">
      <w:pPr>
        <w:spacing w:after="0"/>
        <w:ind w:left="-567"/>
        <w:rPr>
          <w:rFonts w:asciiTheme="majorHAnsi" w:hAnsiTheme="majorHAnsi" w:cstheme="majorHAnsi"/>
          <w:b/>
          <w:bCs/>
        </w:rPr>
      </w:pPr>
      <w:r w:rsidRPr="004719E1">
        <w:rPr>
          <w:rFonts w:asciiTheme="majorHAnsi" w:hAnsiTheme="majorHAnsi" w:cstheme="majorHAnsi"/>
          <w:b/>
          <w:bCs/>
        </w:rPr>
        <w:t>ANEXO I.f – Indicadores Institucionais e de Resultado – CAU UF</w:t>
      </w:r>
    </w:p>
    <w:tbl>
      <w:tblPr>
        <w:tblW w:w="15743" w:type="dxa"/>
        <w:tblInd w:w="-577" w:type="dxa"/>
        <w:tblCellMar>
          <w:left w:w="70" w:type="dxa"/>
          <w:right w:w="70" w:type="dxa"/>
        </w:tblCellMar>
        <w:tblLook w:val="04A0" w:firstRow="1" w:lastRow="0" w:firstColumn="1" w:lastColumn="0" w:noHBand="0" w:noVBand="1"/>
      </w:tblPr>
      <w:tblGrid>
        <w:gridCol w:w="1368"/>
        <w:gridCol w:w="1458"/>
        <w:gridCol w:w="1618"/>
        <w:gridCol w:w="3739"/>
        <w:gridCol w:w="4150"/>
        <w:gridCol w:w="708"/>
        <w:gridCol w:w="1253"/>
        <w:gridCol w:w="1288"/>
        <w:gridCol w:w="161"/>
      </w:tblGrid>
      <w:tr w:rsidR="000C2450" w:rsidRPr="002C7EDA" w14:paraId="3B8CFF95" w14:textId="77777777" w:rsidTr="00335B2F">
        <w:trPr>
          <w:gridAfter w:val="1"/>
          <w:wAfter w:w="161" w:type="dxa"/>
          <w:trHeight w:val="1575"/>
        </w:trPr>
        <w:tc>
          <w:tcPr>
            <w:tcW w:w="1368"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12AB1BE8" w14:textId="77777777"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Perspectiva</w:t>
            </w:r>
          </w:p>
        </w:tc>
        <w:tc>
          <w:tcPr>
            <w:tcW w:w="1458" w:type="dxa"/>
            <w:tcBorders>
              <w:top w:val="single" w:sz="8" w:space="0" w:color="auto"/>
              <w:left w:val="nil"/>
              <w:bottom w:val="single" w:sz="8" w:space="0" w:color="auto"/>
              <w:right w:val="single" w:sz="4" w:space="0" w:color="auto"/>
            </w:tcBorders>
            <w:shd w:val="clear" w:color="auto" w:fill="ED7D31" w:themeFill="accent2"/>
            <w:vAlign w:val="center"/>
            <w:hideMark/>
          </w:tcPr>
          <w:p w14:paraId="495A4DCD" w14:textId="77777777"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Objetivo Estratégico</w:t>
            </w:r>
          </w:p>
        </w:tc>
        <w:tc>
          <w:tcPr>
            <w:tcW w:w="1618" w:type="dxa"/>
            <w:tcBorders>
              <w:top w:val="single" w:sz="8" w:space="0" w:color="auto"/>
              <w:left w:val="nil"/>
              <w:bottom w:val="single" w:sz="8" w:space="0" w:color="auto"/>
              <w:right w:val="single" w:sz="4" w:space="0" w:color="auto"/>
            </w:tcBorders>
            <w:shd w:val="clear" w:color="auto" w:fill="ED7D31" w:themeFill="accent2"/>
            <w:vAlign w:val="center"/>
            <w:hideMark/>
          </w:tcPr>
          <w:p w14:paraId="286785FE" w14:textId="78B004CF"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Indicador</w:t>
            </w:r>
          </w:p>
        </w:tc>
        <w:tc>
          <w:tcPr>
            <w:tcW w:w="3739" w:type="dxa"/>
            <w:tcBorders>
              <w:top w:val="single" w:sz="8" w:space="0" w:color="auto"/>
              <w:left w:val="nil"/>
              <w:bottom w:val="single" w:sz="8" w:space="0" w:color="auto"/>
              <w:right w:val="single" w:sz="4" w:space="0" w:color="auto"/>
            </w:tcBorders>
            <w:shd w:val="clear" w:color="auto" w:fill="ED7D31" w:themeFill="accent2"/>
            <w:vAlign w:val="center"/>
            <w:hideMark/>
          </w:tcPr>
          <w:p w14:paraId="268C36EB" w14:textId="77777777"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Descrição</w:t>
            </w:r>
          </w:p>
        </w:tc>
        <w:tc>
          <w:tcPr>
            <w:tcW w:w="4858" w:type="dxa"/>
            <w:gridSpan w:val="2"/>
            <w:tcBorders>
              <w:top w:val="single" w:sz="8" w:space="0" w:color="auto"/>
              <w:left w:val="nil"/>
              <w:bottom w:val="single" w:sz="8" w:space="0" w:color="auto"/>
              <w:right w:val="single" w:sz="4" w:space="0" w:color="auto"/>
            </w:tcBorders>
            <w:shd w:val="clear" w:color="auto" w:fill="ED7D31" w:themeFill="accent2"/>
            <w:noWrap/>
            <w:vAlign w:val="center"/>
            <w:hideMark/>
          </w:tcPr>
          <w:p w14:paraId="6C23A072" w14:textId="77777777"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Fórmula de Cálculo</w:t>
            </w:r>
          </w:p>
        </w:tc>
        <w:tc>
          <w:tcPr>
            <w:tcW w:w="1253" w:type="dxa"/>
            <w:tcBorders>
              <w:top w:val="single" w:sz="8" w:space="0" w:color="auto"/>
              <w:left w:val="nil"/>
              <w:bottom w:val="single" w:sz="8" w:space="0" w:color="auto"/>
              <w:right w:val="single" w:sz="4" w:space="0" w:color="auto"/>
            </w:tcBorders>
            <w:shd w:val="clear" w:color="auto" w:fill="ED7D31" w:themeFill="accent2"/>
            <w:vAlign w:val="center"/>
            <w:hideMark/>
          </w:tcPr>
          <w:p w14:paraId="2DCF35C5" w14:textId="77777777"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Frequência</w:t>
            </w:r>
            <w:r w:rsidRPr="002C7EDA">
              <w:rPr>
                <w:rFonts w:ascii="Calibri" w:eastAsia="Times New Roman" w:hAnsi="Calibri" w:cs="Calibri"/>
                <w:b/>
                <w:bCs/>
                <w:color w:val="FFFFFF"/>
                <w:sz w:val="20"/>
                <w:szCs w:val="20"/>
                <w:lang w:eastAsia="pt-BR"/>
              </w:rPr>
              <w:br/>
              <w:t>de Medição</w:t>
            </w:r>
          </w:p>
        </w:tc>
        <w:tc>
          <w:tcPr>
            <w:tcW w:w="1288" w:type="dxa"/>
            <w:tcBorders>
              <w:top w:val="single" w:sz="8" w:space="0" w:color="auto"/>
              <w:left w:val="nil"/>
              <w:bottom w:val="single" w:sz="8" w:space="0" w:color="auto"/>
              <w:right w:val="single" w:sz="8" w:space="0" w:color="auto"/>
            </w:tcBorders>
            <w:shd w:val="clear" w:color="auto" w:fill="ED7D31" w:themeFill="accent2"/>
            <w:vAlign w:val="center"/>
            <w:hideMark/>
          </w:tcPr>
          <w:p w14:paraId="014E7FE4" w14:textId="77777777"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Fonte do Indicador</w:t>
            </w:r>
          </w:p>
        </w:tc>
      </w:tr>
      <w:tr w:rsidR="00E26DD1" w:rsidRPr="002C7EDA" w14:paraId="1FFE98C3" w14:textId="77777777" w:rsidTr="006E71EC">
        <w:trPr>
          <w:gridAfter w:val="1"/>
          <w:wAfter w:w="161" w:type="dxa"/>
          <w:trHeight w:val="870"/>
        </w:trPr>
        <w:tc>
          <w:tcPr>
            <w:tcW w:w="1368" w:type="dxa"/>
            <w:vMerge w:val="restart"/>
            <w:tcBorders>
              <w:top w:val="single" w:sz="4" w:space="0" w:color="auto"/>
              <w:left w:val="single" w:sz="8" w:space="0" w:color="auto"/>
              <w:right w:val="single" w:sz="4" w:space="0" w:color="auto"/>
            </w:tcBorders>
            <w:shd w:val="clear" w:color="auto" w:fill="auto"/>
            <w:vAlign w:val="center"/>
            <w:hideMark/>
          </w:tcPr>
          <w:p w14:paraId="2B35C1FC" w14:textId="629C3523" w:rsidR="00E26DD1" w:rsidRPr="002C7EDA" w:rsidRDefault="00E26DD1" w:rsidP="002C7EDA">
            <w:pPr>
              <w:spacing w:after="0" w:line="240" w:lineRule="auto"/>
              <w:jc w:val="center"/>
              <w:rPr>
                <w:rFonts w:ascii="Calibri" w:eastAsia="Times New Roman" w:hAnsi="Calibri" w:cs="Calibri"/>
                <w:color w:val="000000"/>
                <w:sz w:val="20"/>
                <w:szCs w:val="20"/>
                <w:lang w:eastAsia="pt-BR"/>
              </w:rPr>
            </w:pPr>
            <w:r w:rsidRPr="002C7EDA">
              <w:rPr>
                <w:rFonts w:ascii="Calibri" w:eastAsia="Times New Roman" w:hAnsi="Calibri" w:cs="Calibri"/>
                <w:sz w:val="20"/>
                <w:szCs w:val="20"/>
                <w:lang w:eastAsia="pt-BR"/>
              </w:rPr>
              <w:t>Processos Internos (Relações Institucionais)</w:t>
            </w:r>
          </w:p>
        </w:tc>
        <w:tc>
          <w:tcPr>
            <w:tcW w:w="145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85FB118" w14:textId="77777777" w:rsidR="00E26DD1" w:rsidRPr="002C7EDA" w:rsidRDefault="00E26DD1" w:rsidP="002C7EDA">
            <w:pPr>
              <w:spacing w:after="0" w:line="240" w:lineRule="auto"/>
              <w:jc w:val="center"/>
              <w:rPr>
                <w:rFonts w:ascii="Calibri" w:eastAsia="Times New Roman" w:hAnsi="Calibri" w:cs="Calibri"/>
                <w:color w:val="000000"/>
                <w:sz w:val="20"/>
                <w:szCs w:val="20"/>
                <w:lang w:eastAsia="pt-BR"/>
              </w:rPr>
            </w:pPr>
            <w:r w:rsidRPr="002C7EDA">
              <w:rPr>
                <w:rFonts w:ascii="Calibri" w:eastAsia="Times New Roman" w:hAnsi="Calibri" w:cs="Calibri"/>
                <w:color w:val="000000"/>
                <w:sz w:val="20"/>
                <w:szCs w:val="20"/>
                <w:lang w:eastAsia="pt-BR"/>
              </w:rPr>
              <w:t>Garantir a participação dos arquitetos e urbanistas no planejamento territorial e na gestão urbana</w:t>
            </w:r>
          </w:p>
        </w:tc>
        <w:tc>
          <w:tcPr>
            <w:tcW w:w="16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A19C9AD" w14:textId="77777777" w:rsidR="00E26DD1" w:rsidRPr="002C7EDA" w:rsidRDefault="00E26DD1" w:rsidP="002C7EDA">
            <w:pPr>
              <w:spacing w:after="0" w:line="240" w:lineRule="auto"/>
              <w:jc w:val="center"/>
              <w:rPr>
                <w:rFonts w:ascii="Calibri" w:eastAsia="Times New Roman" w:hAnsi="Calibri" w:cs="Calibri"/>
                <w:color w:val="000000"/>
                <w:sz w:val="20"/>
                <w:szCs w:val="20"/>
                <w:lang w:eastAsia="pt-BR"/>
              </w:rPr>
            </w:pPr>
            <w:r w:rsidRPr="002C7EDA">
              <w:rPr>
                <w:rFonts w:ascii="Calibri" w:eastAsia="Times New Roman" w:hAnsi="Calibri" w:cs="Calibri"/>
                <w:color w:val="000000"/>
                <w:sz w:val="20"/>
                <w:szCs w:val="20"/>
                <w:lang w:eastAsia="pt-BR"/>
              </w:rPr>
              <w:t>Ações realizadas em conjunto com municípios, destinadas ao planejamento urbano</w:t>
            </w:r>
            <w:r w:rsidRPr="002C7EDA">
              <w:rPr>
                <w:rFonts w:ascii="Calibri" w:eastAsia="Times New Roman" w:hAnsi="Calibri" w:cs="Calibri"/>
                <w:color w:val="000000"/>
                <w:sz w:val="20"/>
                <w:szCs w:val="20"/>
                <w:lang w:eastAsia="pt-BR"/>
              </w:rPr>
              <w:br/>
            </w:r>
            <w:r w:rsidRPr="002C7EDA">
              <w:rPr>
                <w:rFonts w:ascii="Calibri" w:eastAsia="Times New Roman" w:hAnsi="Calibri" w:cs="Calibri"/>
                <w:b/>
                <w:bCs/>
                <w:color w:val="000000"/>
                <w:sz w:val="20"/>
                <w:szCs w:val="20"/>
                <w:lang w:eastAsia="pt-BR"/>
              </w:rPr>
              <w:t>(CAU/UF)</w:t>
            </w:r>
          </w:p>
        </w:tc>
        <w:tc>
          <w:tcPr>
            <w:tcW w:w="373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5AB129" w14:textId="77777777" w:rsidR="00E26DD1" w:rsidRPr="002C7EDA" w:rsidRDefault="00E26DD1" w:rsidP="002C7EDA">
            <w:pPr>
              <w:spacing w:after="0" w:line="240" w:lineRule="auto"/>
              <w:jc w:val="both"/>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 xml:space="preserve">Indicador para medir a capacidade de integração entre as ações do CAU/UF e dos municípios. </w:t>
            </w:r>
          </w:p>
        </w:tc>
        <w:tc>
          <w:tcPr>
            <w:tcW w:w="485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44B5E64" w14:textId="77777777" w:rsidR="00E26DD1" w:rsidRPr="002C7EDA" w:rsidRDefault="00E26DD1" w:rsidP="002C7EDA">
            <w:pPr>
              <w:spacing w:after="0" w:line="240" w:lineRule="auto"/>
              <w:jc w:val="center"/>
              <w:rPr>
                <w:rFonts w:ascii="Calibri" w:eastAsia="Times New Roman" w:hAnsi="Calibri" w:cs="Calibri"/>
                <w:color w:val="000000"/>
                <w:sz w:val="20"/>
                <w:szCs w:val="20"/>
                <w:lang w:eastAsia="pt-BR"/>
              </w:rPr>
            </w:pPr>
            <w:r w:rsidRPr="002C7EDA">
              <w:rPr>
                <w:rFonts w:ascii="Calibri" w:eastAsia="Times New Roman" w:hAnsi="Calibri" w:cs="Calibri"/>
                <w:color w:val="000000"/>
                <w:sz w:val="20"/>
                <w:szCs w:val="20"/>
                <w:lang w:eastAsia="pt-BR"/>
              </w:rPr>
              <w:t>número de ações com participação do CAU/UF</w:t>
            </w:r>
          </w:p>
        </w:tc>
        <w:tc>
          <w:tcPr>
            <w:tcW w:w="12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A70FCC4" w14:textId="77777777" w:rsidR="00E26DD1" w:rsidRPr="002C7EDA" w:rsidRDefault="00E26DD1" w:rsidP="002C7EDA">
            <w:pPr>
              <w:spacing w:after="0" w:line="240" w:lineRule="auto"/>
              <w:jc w:val="center"/>
              <w:rPr>
                <w:rFonts w:ascii="Calibri" w:eastAsia="Times New Roman" w:hAnsi="Calibri" w:cs="Calibri"/>
                <w:color w:val="000000"/>
                <w:sz w:val="20"/>
                <w:szCs w:val="20"/>
                <w:lang w:eastAsia="pt-BR"/>
              </w:rPr>
            </w:pPr>
            <w:r w:rsidRPr="002C7EDA">
              <w:rPr>
                <w:rFonts w:ascii="Calibri" w:eastAsia="Times New Roman" w:hAnsi="Calibri" w:cs="Calibri"/>
                <w:color w:val="000000"/>
                <w:sz w:val="20"/>
                <w:szCs w:val="20"/>
                <w:lang w:eastAsia="pt-BR"/>
              </w:rPr>
              <w:t>Anual</w:t>
            </w:r>
          </w:p>
        </w:tc>
        <w:tc>
          <w:tcPr>
            <w:tcW w:w="1288" w:type="dxa"/>
            <w:vMerge w:val="restart"/>
            <w:tcBorders>
              <w:top w:val="single" w:sz="4" w:space="0" w:color="auto"/>
              <w:left w:val="single" w:sz="4" w:space="0" w:color="auto"/>
              <w:bottom w:val="single" w:sz="4" w:space="0" w:color="000000"/>
              <w:right w:val="single" w:sz="8" w:space="0" w:color="auto"/>
            </w:tcBorders>
            <w:shd w:val="clear" w:color="000000" w:fill="FFFFFF"/>
            <w:vAlign w:val="center"/>
            <w:hideMark/>
          </w:tcPr>
          <w:p w14:paraId="6B9DCE42"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 xml:space="preserve">Portal da Transparência do CAU/UF </w:t>
            </w:r>
          </w:p>
        </w:tc>
      </w:tr>
      <w:tr w:rsidR="00E26DD1" w:rsidRPr="002C7EDA" w14:paraId="0BF616C7" w14:textId="77777777" w:rsidTr="006E71EC">
        <w:trPr>
          <w:trHeight w:val="1054"/>
        </w:trPr>
        <w:tc>
          <w:tcPr>
            <w:tcW w:w="1368" w:type="dxa"/>
            <w:vMerge/>
            <w:tcBorders>
              <w:left w:val="single" w:sz="8" w:space="0" w:color="auto"/>
              <w:right w:val="single" w:sz="4" w:space="0" w:color="auto"/>
            </w:tcBorders>
            <w:vAlign w:val="center"/>
            <w:hideMark/>
          </w:tcPr>
          <w:p w14:paraId="05374224" w14:textId="058D896A" w:rsidR="00E26DD1" w:rsidRPr="002C7EDA" w:rsidRDefault="00E26DD1" w:rsidP="002C7EDA">
            <w:pPr>
              <w:spacing w:after="0" w:line="240" w:lineRule="auto"/>
              <w:jc w:val="center"/>
              <w:rPr>
                <w:rFonts w:ascii="Calibri" w:eastAsia="Times New Roman" w:hAnsi="Calibri" w:cs="Calibri"/>
                <w:color w:val="000000"/>
                <w:sz w:val="20"/>
                <w:szCs w:val="20"/>
                <w:lang w:eastAsia="pt-BR"/>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14:paraId="33F115A1" w14:textId="77777777" w:rsidR="00E26DD1" w:rsidRPr="002C7EDA" w:rsidRDefault="00E26DD1" w:rsidP="002C7EDA">
            <w:pPr>
              <w:spacing w:after="0" w:line="240" w:lineRule="auto"/>
              <w:rPr>
                <w:rFonts w:ascii="Calibri" w:eastAsia="Times New Roman" w:hAnsi="Calibri" w:cs="Calibri"/>
                <w:color w:val="000000"/>
                <w:sz w:val="20"/>
                <w:szCs w:val="20"/>
                <w:lang w:eastAsia="pt-BR"/>
              </w:rPr>
            </w:pPr>
          </w:p>
        </w:tc>
        <w:tc>
          <w:tcPr>
            <w:tcW w:w="1618" w:type="dxa"/>
            <w:vMerge/>
            <w:tcBorders>
              <w:top w:val="single" w:sz="4" w:space="0" w:color="auto"/>
              <w:left w:val="single" w:sz="4" w:space="0" w:color="auto"/>
              <w:bottom w:val="single" w:sz="4" w:space="0" w:color="000000"/>
              <w:right w:val="single" w:sz="4" w:space="0" w:color="auto"/>
            </w:tcBorders>
            <w:vAlign w:val="center"/>
            <w:hideMark/>
          </w:tcPr>
          <w:p w14:paraId="42D77DF5" w14:textId="77777777" w:rsidR="00E26DD1" w:rsidRPr="002C7EDA" w:rsidRDefault="00E26DD1" w:rsidP="002C7EDA">
            <w:pPr>
              <w:spacing w:after="0" w:line="240" w:lineRule="auto"/>
              <w:rPr>
                <w:rFonts w:ascii="Calibri" w:eastAsia="Times New Roman" w:hAnsi="Calibri" w:cs="Calibri"/>
                <w:color w:val="000000"/>
                <w:sz w:val="20"/>
                <w:szCs w:val="20"/>
                <w:lang w:eastAsia="pt-BR"/>
              </w:rPr>
            </w:pPr>
          </w:p>
        </w:tc>
        <w:tc>
          <w:tcPr>
            <w:tcW w:w="3739" w:type="dxa"/>
            <w:vMerge/>
            <w:tcBorders>
              <w:top w:val="single" w:sz="4" w:space="0" w:color="auto"/>
              <w:left w:val="single" w:sz="4" w:space="0" w:color="auto"/>
              <w:bottom w:val="single" w:sz="4" w:space="0" w:color="000000"/>
              <w:right w:val="single" w:sz="4" w:space="0" w:color="auto"/>
            </w:tcBorders>
            <w:vAlign w:val="center"/>
            <w:hideMark/>
          </w:tcPr>
          <w:p w14:paraId="6007E9E2"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4858" w:type="dxa"/>
            <w:gridSpan w:val="2"/>
            <w:vMerge/>
            <w:tcBorders>
              <w:top w:val="single" w:sz="4" w:space="0" w:color="auto"/>
              <w:left w:val="single" w:sz="4" w:space="0" w:color="auto"/>
              <w:bottom w:val="single" w:sz="4" w:space="0" w:color="000000"/>
              <w:right w:val="single" w:sz="4" w:space="0" w:color="000000"/>
            </w:tcBorders>
            <w:vAlign w:val="center"/>
            <w:hideMark/>
          </w:tcPr>
          <w:p w14:paraId="2AA460B0" w14:textId="77777777" w:rsidR="00E26DD1" w:rsidRPr="002C7EDA" w:rsidRDefault="00E26DD1" w:rsidP="002C7EDA">
            <w:pPr>
              <w:spacing w:after="0" w:line="240" w:lineRule="auto"/>
              <w:rPr>
                <w:rFonts w:ascii="Calibri" w:eastAsia="Times New Roman" w:hAnsi="Calibri" w:cs="Calibri"/>
                <w:color w:val="000000"/>
                <w:sz w:val="20"/>
                <w:szCs w:val="20"/>
                <w:lang w:eastAsia="pt-BR"/>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7F1E14C1" w14:textId="77777777" w:rsidR="00E26DD1" w:rsidRPr="002C7EDA" w:rsidRDefault="00E26DD1" w:rsidP="002C7EDA">
            <w:pPr>
              <w:spacing w:after="0" w:line="240" w:lineRule="auto"/>
              <w:rPr>
                <w:rFonts w:ascii="Calibri" w:eastAsia="Times New Roman" w:hAnsi="Calibri" w:cs="Calibri"/>
                <w:color w:val="000000"/>
                <w:sz w:val="20"/>
                <w:szCs w:val="20"/>
                <w:lang w:eastAsia="pt-BR"/>
              </w:rPr>
            </w:pPr>
          </w:p>
        </w:tc>
        <w:tc>
          <w:tcPr>
            <w:tcW w:w="1288" w:type="dxa"/>
            <w:vMerge/>
            <w:tcBorders>
              <w:top w:val="single" w:sz="4" w:space="0" w:color="auto"/>
              <w:left w:val="single" w:sz="4" w:space="0" w:color="auto"/>
              <w:bottom w:val="single" w:sz="4" w:space="0" w:color="000000"/>
              <w:right w:val="single" w:sz="8" w:space="0" w:color="auto"/>
            </w:tcBorders>
            <w:vAlign w:val="center"/>
            <w:hideMark/>
          </w:tcPr>
          <w:p w14:paraId="400F21A1"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61" w:type="dxa"/>
            <w:tcBorders>
              <w:top w:val="nil"/>
              <w:left w:val="nil"/>
              <w:bottom w:val="nil"/>
              <w:right w:val="nil"/>
            </w:tcBorders>
            <w:shd w:val="clear" w:color="auto" w:fill="auto"/>
            <w:noWrap/>
            <w:vAlign w:val="bottom"/>
            <w:hideMark/>
          </w:tcPr>
          <w:p w14:paraId="1F89FE86"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p>
        </w:tc>
      </w:tr>
      <w:tr w:rsidR="00E26DD1" w:rsidRPr="002C7EDA" w14:paraId="79BD3485" w14:textId="77777777" w:rsidTr="006E71EC">
        <w:trPr>
          <w:trHeight w:val="1679"/>
        </w:trPr>
        <w:tc>
          <w:tcPr>
            <w:tcW w:w="1368" w:type="dxa"/>
            <w:vMerge/>
            <w:tcBorders>
              <w:left w:val="single" w:sz="8" w:space="0" w:color="auto"/>
              <w:right w:val="single" w:sz="4" w:space="0" w:color="auto"/>
            </w:tcBorders>
            <w:shd w:val="clear" w:color="000000" w:fill="FFFFFF"/>
            <w:vAlign w:val="center"/>
            <w:hideMark/>
          </w:tcPr>
          <w:p w14:paraId="7AD47754" w14:textId="02357E4F" w:rsidR="00E26DD1" w:rsidRPr="002C7EDA" w:rsidRDefault="00E26DD1" w:rsidP="002C7EDA">
            <w:pPr>
              <w:spacing w:after="0" w:line="240" w:lineRule="auto"/>
              <w:jc w:val="center"/>
              <w:rPr>
                <w:rFonts w:ascii="Calibri" w:eastAsia="Times New Roman" w:hAnsi="Calibri" w:cs="Calibri"/>
                <w:sz w:val="20"/>
                <w:szCs w:val="20"/>
                <w:lang w:eastAsia="pt-BR"/>
              </w:rPr>
            </w:pPr>
          </w:p>
        </w:tc>
        <w:tc>
          <w:tcPr>
            <w:tcW w:w="145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F2C3B5"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Estimular a produção da arquitetura e urbanismo como política de Estado</w:t>
            </w:r>
          </w:p>
        </w:tc>
        <w:tc>
          <w:tcPr>
            <w:tcW w:w="16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4AC9B3"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Participação do CAU na elaboração ou regulamentação da Lei da Assistência Técnica Gratuita (Lei nº 11.888/08) (%)</w:t>
            </w:r>
            <w:r w:rsidRPr="002C7EDA">
              <w:rPr>
                <w:rFonts w:ascii="Calibri" w:eastAsia="Times New Roman" w:hAnsi="Calibri" w:cs="Calibri"/>
                <w:sz w:val="20"/>
                <w:szCs w:val="20"/>
                <w:lang w:eastAsia="pt-BR"/>
              </w:rPr>
              <w:br/>
            </w:r>
            <w:r w:rsidRPr="002C7EDA">
              <w:rPr>
                <w:rFonts w:ascii="Calibri" w:eastAsia="Times New Roman" w:hAnsi="Calibri" w:cs="Calibri"/>
                <w:b/>
                <w:bCs/>
                <w:sz w:val="20"/>
                <w:szCs w:val="20"/>
                <w:lang w:eastAsia="pt-BR"/>
              </w:rPr>
              <w:t>(CAU/UF)</w:t>
            </w:r>
          </w:p>
        </w:tc>
        <w:tc>
          <w:tcPr>
            <w:tcW w:w="37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28B4C9" w14:textId="0E44733A" w:rsidR="00E26DD1" w:rsidRPr="002C7EDA" w:rsidRDefault="00E26DD1" w:rsidP="002C7EDA">
            <w:pPr>
              <w:spacing w:after="0" w:line="240" w:lineRule="auto"/>
              <w:jc w:val="both"/>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 xml:space="preserve">O CAU deve ter capacidade de influenciar ativamente na elaboração/regulamentação da Lei da Assistência Técnica Gratuita (Lei n.º 11.888/08) o exercício da boa Arquitetura e Urbanismo. Acompanhar 10 % dos municípios do Estado (de acordo com os critérios de cada Estado), limitado a 50, distribuídos de forma proporcional. </w:t>
            </w:r>
            <w:r w:rsidRPr="002C7EDA">
              <w:rPr>
                <w:rFonts w:ascii="Calibri" w:eastAsia="Times New Roman" w:hAnsi="Calibri" w:cs="Calibri"/>
                <w:sz w:val="20"/>
                <w:szCs w:val="20"/>
                <w:lang w:eastAsia="pt-BR"/>
              </w:rPr>
              <w:br/>
              <w:t>O CAU/UF definirá a quantidade de municípios objeto da amostragem a ter a meta estabelecida (fórmula de cálculo)</w:t>
            </w:r>
          </w:p>
        </w:tc>
        <w:tc>
          <w:tcPr>
            <w:tcW w:w="4150" w:type="dxa"/>
            <w:tcBorders>
              <w:top w:val="nil"/>
              <w:left w:val="nil"/>
              <w:bottom w:val="single" w:sz="4" w:space="0" w:color="auto"/>
              <w:right w:val="nil"/>
            </w:tcBorders>
            <w:shd w:val="clear" w:color="000000" w:fill="FFFFFF"/>
            <w:vAlign w:val="bottom"/>
            <w:hideMark/>
          </w:tcPr>
          <w:p w14:paraId="6FAC7E46"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número de municípios da UF que passaram a aplicar a Lei de Assistência Técnica</w:t>
            </w:r>
          </w:p>
        </w:tc>
        <w:tc>
          <w:tcPr>
            <w:tcW w:w="708" w:type="dxa"/>
            <w:vMerge w:val="restart"/>
            <w:tcBorders>
              <w:top w:val="nil"/>
              <w:left w:val="nil"/>
              <w:bottom w:val="single" w:sz="4" w:space="0" w:color="auto"/>
              <w:right w:val="single" w:sz="4" w:space="0" w:color="auto"/>
            </w:tcBorders>
            <w:shd w:val="clear" w:color="000000" w:fill="FFFFFF"/>
            <w:vAlign w:val="center"/>
            <w:hideMark/>
          </w:tcPr>
          <w:p w14:paraId="47753BFD" w14:textId="6E64C6D0" w:rsidR="00E26DD1" w:rsidRPr="002C7EDA" w:rsidRDefault="00E26DD1" w:rsidP="000C2450">
            <w:pPr>
              <w:spacing w:after="0" w:line="240" w:lineRule="auto"/>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x</w:t>
            </w:r>
            <w:r>
              <w:rPr>
                <w:rFonts w:ascii="Calibri" w:eastAsia="Times New Roman" w:hAnsi="Calibri" w:cs="Calibri"/>
                <w:sz w:val="20"/>
                <w:szCs w:val="20"/>
                <w:lang w:eastAsia="pt-BR"/>
              </w:rPr>
              <w:t xml:space="preserve"> </w:t>
            </w:r>
            <w:r w:rsidRPr="002C7EDA">
              <w:rPr>
                <w:rFonts w:ascii="Calibri" w:eastAsia="Times New Roman" w:hAnsi="Calibri" w:cs="Calibri"/>
                <w:sz w:val="20"/>
                <w:szCs w:val="20"/>
                <w:lang w:eastAsia="pt-BR"/>
              </w:rPr>
              <w:t>100</w:t>
            </w:r>
          </w:p>
        </w:tc>
        <w:tc>
          <w:tcPr>
            <w:tcW w:w="12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8B3CC9"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Anual</w:t>
            </w:r>
          </w:p>
        </w:tc>
        <w:tc>
          <w:tcPr>
            <w:tcW w:w="1288" w:type="dxa"/>
            <w:vMerge w:val="restart"/>
            <w:tcBorders>
              <w:top w:val="nil"/>
              <w:left w:val="single" w:sz="4" w:space="0" w:color="auto"/>
              <w:bottom w:val="single" w:sz="4" w:space="0" w:color="auto"/>
              <w:right w:val="single" w:sz="8" w:space="0" w:color="auto"/>
            </w:tcBorders>
            <w:shd w:val="clear" w:color="000000" w:fill="FFFFFF"/>
            <w:vAlign w:val="center"/>
            <w:hideMark/>
          </w:tcPr>
          <w:p w14:paraId="33A7F018"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Prefeituras</w:t>
            </w:r>
            <w:r w:rsidRPr="002C7EDA">
              <w:rPr>
                <w:rFonts w:ascii="Calibri" w:eastAsia="Times New Roman" w:hAnsi="Calibri" w:cs="Calibri"/>
                <w:sz w:val="20"/>
                <w:szCs w:val="20"/>
                <w:lang w:eastAsia="pt-BR"/>
              </w:rPr>
              <w:br/>
              <w:t>CAU/BR - MUNIC</w:t>
            </w:r>
          </w:p>
        </w:tc>
        <w:tc>
          <w:tcPr>
            <w:tcW w:w="161" w:type="dxa"/>
            <w:vAlign w:val="center"/>
            <w:hideMark/>
          </w:tcPr>
          <w:p w14:paraId="4CB292F9" w14:textId="77777777" w:rsidR="00E26DD1" w:rsidRPr="002C7EDA" w:rsidRDefault="00E26DD1" w:rsidP="002C7EDA">
            <w:pPr>
              <w:spacing w:after="0" w:line="240" w:lineRule="auto"/>
              <w:rPr>
                <w:rFonts w:ascii="Times New Roman" w:eastAsia="Times New Roman" w:hAnsi="Times New Roman" w:cs="Times New Roman"/>
                <w:sz w:val="20"/>
                <w:szCs w:val="20"/>
                <w:lang w:eastAsia="pt-BR"/>
              </w:rPr>
            </w:pPr>
          </w:p>
        </w:tc>
      </w:tr>
      <w:tr w:rsidR="00E26DD1" w:rsidRPr="002C7EDA" w14:paraId="3CC75558" w14:textId="77777777" w:rsidTr="006E71EC">
        <w:trPr>
          <w:trHeight w:val="1558"/>
        </w:trPr>
        <w:tc>
          <w:tcPr>
            <w:tcW w:w="1368" w:type="dxa"/>
            <w:vMerge/>
            <w:tcBorders>
              <w:left w:val="single" w:sz="8" w:space="0" w:color="auto"/>
              <w:right w:val="single" w:sz="4" w:space="0" w:color="auto"/>
            </w:tcBorders>
            <w:vAlign w:val="center"/>
            <w:hideMark/>
          </w:tcPr>
          <w:p w14:paraId="6A94B8E4"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458" w:type="dxa"/>
            <w:vMerge/>
            <w:tcBorders>
              <w:top w:val="nil"/>
              <w:left w:val="single" w:sz="4" w:space="0" w:color="auto"/>
              <w:bottom w:val="single" w:sz="4" w:space="0" w:color="auto"/>
              <w:right w:val="single" w:sz="4" w:space="0" w:color="auto"/>
            </w:tcBorders>
            <w:vAlign w:val="center"/>
            <w:hideMark/>
          </w:tcPr>
          <w:p w14:paraId="6685F64A"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618" w:type="dxa"/>
            <w:vMerge/>
            <w:tcBorders>
              <w:top w:val="nil"/>
              <w:left w:val="single" w:sz="4" w:space="0" w:color="auto"/>
              <w:bottom w:val="single" w:sz="4" w:space="0" w:color="auto"/>
              <w:right w:val="single" w:sz="4" w:space="0" w:color="auto"/>
            </w:tcBorders>
            <w:vAlign w:val="center"/>
            <w:hideMark/>
          </w:tcPr>
          <w:p w14:paraId="3C467190"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3739" w:type="dxa"/>
            <w:vMerge/>
            <w:tcBorders>
              <w:top w:val="nil"/>
              <w:left w:val="single" w:sz="4" w:space="0" w:color="auto"/>
              <w:bottom w:val="single" w:sz="4" w:space="0" w:color="auto"/>
              <w:right w:val="single" w:sz="4" w:space="0" w:color="auto"/>
            </w:tcBorders>
            <w:vAlign w:val="center"/>
            <w:hideMark/>
          </w:tcPr>
          <w:p w14:paraId="757F84BD"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4150" w:type="dxa"/>
            <w:tcBorders>
              <w:top w:val="nil"/>
              <w:left w:val="nil"/>
              <w:bottom w:val="single" w:sz="4" w:space="0" w:color="auto"/>
              <w:right w:val="nil"/>
            </w:tcBorders>
            <w:shd w:val="clear" w:color="000000" w:fill="FFFFFF"/>
            <w:hideMark/>
          </w:tcPr>
          <w:p w14:paraId="38144849"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total de municípios da UF</w:t>
            </w:r>
          </w:p>
        </w:tc>
        <w:tc>
          <w:tcPr>
            <w:tcW w:w="708" w:type="dxa"/>
            <w:vMerge/>
            <w:tcBorders>
              <w:top w:val="nil"/>
              <w:left w:val="nil"/>
              <w:bottom w:val="single" w:sz="4" w:space="0" w:color="auto"/>
              <w:right w:val="single" w:sz="4" w:space="0" w:color="auto"/>
            </w:tcBorders>
            <w:vAlign w:val="center"/>
            <w:hideMark/>
          </w:tcPr>
          <w:p w14:paraId="7D25FBA5"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253" w:type="dxa"/>
            <w:vMerge/>
            <w:tcBorders>
              <w:top w:val="nil"/>
              <w:left w:val="single" w:sz="4" w:space="0" w:color="auto"/>
              <w:bottom w:val="single" w:sz="4" w:space="0" w:color="auto"/>
              <w:right w:val="single" w:sz="4" w:space="0" w:color="auto"/>
            </w:tcBorders>
            <w:vAlign w:val="center"/>
            <w:hideMark/>
          </w:tcPr>
          <w:p w14:paraId="3533F50F"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288" w:type="dxa"/>
            <w:vMerge/>
            <w:tcBorders>
              <w:top w:val="nil"/>
              <w:left w:val="single" w:sz="4" w:space="0" w:color="auto"/>
              <w:bottom w:val="single" w:sz="4" w:space="0" w:color="auto"/>
              <w:right w:val="single" w:sz="8" w:space="0" w:color="auto"/>
            </w:tcBorders>
            <w:vAlign w:val="center"/>
            <w:hideMark/>
          </w:tcPr>
          <w:p w14:paraId="254D0DB4"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61" w:type="dxa"/>
            <w:vAlign w:val="center"/>
            <w:hideMark/>
          </w:tcPr>
          <w:p w14:paraId="18137049" w14:textId="77777777" w:rsidR="00E26DD1" w:rsidRPr="002C7EDA" w:rsidRDefault="00E26DD1" w:rsidP="002C7EDA">
            <w:pPr>
              <w:spacing w:after="0" w:line="240" w:lineRule="auto"/>
              <w:rPr>
                <w:rFonts w:ascii="Times New Roman" w:eastAsia="Times New Roman" w:hAnsi="Times New Roman" w:cs="Times New Roman"/>
                <w:sz w:val="20"/>
                <w:szCs w:val="20"/>
                <w:lang w:eastAsia="pt-BR"/>
              </w:rPr>
            </w:pPr>
          </w:p>
        </w:tc>
      </w:tr>
      <w:tr w:rsidR="00E26DD1" w:rsidRPr="002C7EDA" w14:paraId="6C761D7B" w14:textId="77777777" w:rsidTr="006E71EC">
        <w:trPr>
          <w:trHeight w:val="870"/>
        </w:trPr>
        <w:tc>
          <w:tcPr>
            <w:tcW w:w="1368" w:type="dxa"/>
            <w:vMerge/>
            <w:tcBorders>
              <w:left w:val="single" w:sz="8" w:space="0" w:color="auto"/>
              <w:right w:val="single" w:sz="4" w:space="0" w:color="auto"/>
            </w:tcBorders>
            <w:vAlign w:val="center"/>
            <w:hideMark/>
          </w:tcPr>
          <w:p w14:paraId="4621ECFB"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458" w:type="dxa"/>
            <w:vMerge/>
            <w:tcBorders>
              <w:top w:val="nil"/>
              <w:left w:val="single" w:sz="4" w:space="0" w:color="auto"/>
              <w:bottom w:val="single" w:sz="4" w:space="0" w:color="auto"/>
              <w:right w:val="single" w:sz="4" w:space="0" w:color="auto"/>
            </w:tcBorders>
            <w:vAlign w:val="center"/>
            <w:hideMark/>
          </w:tcPr>
          <w:p w14:paraId="1E8D351F"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6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3BBB3B"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Índice de ações realizadas destinadas à Assistência Técnica (%)</w:t>
            </w:r>
            <w:r w:rsidRPr="002C7EDA">
              <w:rPr>
                <w:rFonts w:ascii="Calibri" w:eastAsia="Times New Roman" w:hAnsi="Calibri" w:cs="Calibri"/>
                <w:sz w:val="20"/>
                <w:szCs w:val="20"/>
                <w:lang w:eastAsia="pt-BR"/>
              </w:rPr>
              <w:br/>
            </w:r>
            <w:r w:rsidRPr="002C7EDA">
              <w:rPr>
                <w:rFonts w:ascii="Calibri" w:eastAsia="Times New Roman" w:hAnsi="Calibri" w:cs="Calibri"/>
                <w:b/>
                <w:bCs/>
                <w:sz w:val="20"/>
                <w:szCs w:val="20"/>
                <w:lang w:eastAsia="pt-BR"/>
              </w:rPr>
              <w:t>(CAU/UF)</w:t>
            </w:r>
          </w:p>
        </w:tc>
        <w:tc>
          <w:tcPr>
            <w:tcW w:w="37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8A9F86" w14:textId="3272ED93" w:rsidR="00E26DD1" w:rsidRPr="002C7EDA" w:rsidRDefault="00E26DD1" w:rsidP="002C7EDA">
            <w:pPr>
              <w:spacing w:after="0" w:line="240" w:lineRule="auto"/>
              <w:jc w:val="both"/>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Indicador para medir a capacidade do CAU/UF de realização de ações à Assistência Técnica na UF.</w:t>
            </w:r>
          </w:p>
        </w:tc>
        <w:tc>
          <w:tcPr>
            <w:tcW w:w="4150" w:type="dxa"/>
            <w:tcBorders>
              <w:top w:val="nil"/>
              <w:left w:val="nil"/>
              <w:bottom w:val="single" w:sz="4" w:space="0" w:color="auto"/>
              <w:right w:val="nil"/>
            </w:tcBorders>
            <w:shd w:val="clear" w:color="000000" w:fill="FFFFFF"/>
            <w:vAlign w:val="bottom"/>
            <w:hideMark/>
          </w:tcPr>
          <w:p w14:paraId="7116B064"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número de ações com participação do CAU/UF</w:t>
            </w:r>
          </w:p>
        </w:tc>
        <w:tc>
          <w:tcPr>
            <w:tcW w:w="708" w:type="dxa"/>
            <w:vMerge w:val="restart"/>
            <w:tcBorders>
              <w:top w:val="nil"/>
              <w:left w:val="nil"/>
              <w:bottom w:val="single" w:sz="4" w:space="0" w:color="auto"/>
              <w:right w:val="single" w:sz="4" w:space="0" w:color="auto"/>
            </w:tcBorders>
            <w:shd w:val="clear" w:color="000000" w:fill="FFFFFF"/>
            <w:vAlign w:val="center"/>
            <w:hideMark/>
          </w:tcPr>
          <w:p w14:paraId="0E79EEEE" w14:textId="77777777" w:rsidR="00E26DD1" w:rsidRPr="002C7EDA" w:rsidRDefault="00E26DD1" w:rsidP="000C2450">
            <w:pPr>
              <w:spacing w:after="0" w:line="240" w:lineRule="auto"/>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x 100</w:t>
            </w:r>
          </w:p>
        </w:tc>
        <w:tc>
          <w:tcPr>
            <w:tcW w:w="12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CFEB03"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Anual</w:t>
            </w:r>
          </w:p>
        </w:tc>
        <w:tc>
          <w:tcPr>
            <w:tcW w:w="1288"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2177C807"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 xml:space="preserve">SICCAU </w:t>
            </w:r>
          </w:p>
        </w:tc>
        <w:tc>
          <w:tcPr>
            <w:tcW w:w="161" w:type="dxa"/>
            <w:vAlign w:val="center"/>
            <w:hideMark/>
          </w:tcPr>
          <w:p w14:paraId="0B418ACA" w14:textId="77777777" w:rsidR="00E26DD1" w:rsidRPr="002C7EDA" w:rsidRDefault="00E26DD1" w:rsidP="002C7EDA">
            <w:pPr>
              <w:spacing w:after="0" w:line="240" w:lineRule="auto"/>
              <w:rPr>
                <w:rFonts w:ascii="Times New Roman" w:eastAsia="Times New Roman" w:hAnsi="Times New Roman" w:cs="Times New Roman"/>
                <w:sz w:val="20"/>
                <w:szCs w:val="20"/>
                <w:lang w:eastAsia="pt-BR"/>
              </w:rPr>
            </w:pPr>
          </w:p>
        </w:tc>
      </w:tr>
      <w:tr w:rsidR="00E26DD1" w:rsidRPr="002C7EDA" w14:paraId="2CD6E2D3" w14:textId="77777777" w:rsidTr="006E71EC">
        <w:trPr>
          <w:trHeight w:val="870"/>
        </w:trPr>
        <w:tc>
          <w:tcPr>
            <w:tcW w:w="1368" w:type="dxa"/>
            <w:vMerge/>
            <w:tcBorders>
              <w:left w:val="single" w:sz="8" w:space="0" w:color="auto"/>
              <w:bottom w:val="single" w:sz="4" w:space="0" w:color="auto"/>
              <w:right w:val="single" w:sz="4" w:space="0" w:color="auto"/>
            </w:tcBorders>
            <w:vAlign w:val="center"/>
            <w:hideMark/>
          </w:tcPr>
          <w:p w14:paraId="0A55D712"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458" w:type="dxa"/>
            <w:vMerge/>
            <w:tcBorders>
              <w:top w:val="nil"/>
              <w:left w:val="single" w:sz="4" w:space="0" w:color="auto"/>
              <w:bottom w:val="single" w:sz="4" w:space="0" w:color="auto"/>
              <w:right w:val="single" w:sz="4" w:space="0" w:color="auto"/>
            </w:tcBorders>
            <w:vAlign w:val="center"/>
            <w:hideMark/>
          </w:tcPr>
          <w:p w14:paraId="1A2889DC"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618" w:type="dxa"/>
            <w:vMerge/>
            <w:tcBorders>
              <w:top w:val="nil"/>
              <w:left w:val="single" w:sz="4" w:space="0" w:color="auto"/>
              <w:bottom w:val="single" w:sz="4" w:space="0" w:color="auto"/>
              <w:right w:val="single" w:sz="4" w:space="0" w:color="auto"/>
            </w:tcBorders>
            <w:vAlign w:val="center"/>
            <w:hideMark/>
          </w:tcPr>
          <w:p w14:paraId="203D78DE"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3739" w:type="dxa"/>
            <w:vMerge/>
            <w:tcBorders>
              <w:top w:val="nil"/>
              <w:left w:val="single" w:sz="4" w:space="0" w:color="auto"/>
              <w:bottom w:val="single" w:sz="4" w:space="0" w:color="000000"/>
              <w:right w:val="single" w:sz="4" w:space="0" w:color="auto"/>
            </w:tcBorders>
            <w:vAlign w:val="center"/>
            <w:hideMark/>
          </w:tcPr>
          <w:p w14:paraId="71529C1C"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4150" w:type="dxa"/>
            <w:tcBorders>
              <w:top w:val="nil"/>
              <w:left w:val="nil"/>
              <w:bottom w:val="single" w:sz="4" w:space="0" w:color="auto"/>
              <w:right w:val="nil"/>
            </w:tcBorders>
            <w:shd w:val="clear" w:color="000000" w:fill="FFFFFF"/>
            <w:hideMark/>
          </w:tcPr>
          <w:p w14:paraId="093BD89C"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total de municípios da UF</w:t>
            </w:r>
          </w:p>
        </w:tc>
        <w:tc>
          <w:tcPr>
            <w:tcW w:w="708" w:type="dxa"/>
            <w:vMerge/>
            <w:tcBorders>
              <w:top w:val="nil"/>
              <w:left w:val="nil"/>
              <w:bottom w:val="single" w:sz="4" w:space="0" w:color="auto"/>
              <w:right w:val="single" w:sz="4" w:space="0" w:color="auto"/>
            </w:tcBorders>
            <w:vAlign w:val="center"/>
            <w:hideMark/>
          </w:tcPr>
          <w:p w14:paraId="57F184A7"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253" w:type="dxa"/>
            <w:vMerge/>
            <w:tcBorders>
              <w:top w:val="nil"/>
              <w:left w:val="single" w:sz="4" w:space="0" w:color="auto"/>
              <w:bottom w:val="single" w:sz="4" w:space="0" w:color="auto"/>
              <w:right w:val="single" w:sz="4" w:space="0" w:color="auto"/>
            </w:tcBorders>
            <w:vAlign w:val="center"/>
            <w:hideMark/>
          </w:tcPr>
          <w:p w14:paraId="677AEC68"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288" w:type="dxa"/>
            <w:vMerge/>
            <w:tcBorders>
              <w:top w:val="nil"/>
              <w:left w:val="single" w:sz="4" w:space="0" w:color="auto"/>
              <w:bottom w:val="single" w:sz="4" w:space="0" w:color="000000"/>
              <w:right w:val="single" w:sz="8" w:space="0" w:color="auto"/>
            </w:tcBorders>
            <w:vAlign w:val="center"/>
            <w:hideMark/>
          </w:tcPr>
          <w:p w14:paraId="71CC47A4"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61" w:type="dxa"/>
            <w:vAlign w:val="center"/>
            <w:hideMark/>
          </w:tcPr>
          <w:p w14:paraId="44E55411" w14:textId="77777777" w:rsidR="00E26DD1" w:rsidRPr="002C7EDA" w:rsidRDefault="00E26DD1" w:rsidP="002C7EDA">
            <w:pPr>
              <w:spacing w:after="0" w:line="240" w:lineRule="auto"/>
              <w:rPr>
                <w:rFonts w:ascii="Times New Roman" w:eastAsia="Times New Roman" w:hAnsi="Times New Roman" w:cs="Times New Roman"/>
                <w:sz w:val="20"/>
                <w:szCs w:val="20"/>
                <w:lang w:eastAsia="pt-BR"/>
              </w:rPr>
            </w:pPr>
          </w:p>
        </w:tc>
      </w:tr>
    </w:tbl>
    <w:p w14:paraId="73E5400E" w14:textId="579DBDA1" w:rsidR="00D27C60" w:rsidRPr="004719E1" w:rsidRDefault="00D27C60" w:rsidP="00D27C60">
      <w:pPr>
        <w:spacing w:after="0"/>
        <w:ind w:left="-567"/>
        <w:rPr>
          <w:rFonts w:asciiTheme="majorHAnsi" w:hAnsiTheme="majorHAnsi" w:cstheme="majorHAnsi"/>
          <w:b/>
          <w:bCs/>
        </w:rPr>
      </w:pPr>
      <w:r w:rsidRPr="004719E1">
        <w:rPr>
          <w:rFonts w:asciiTheme="majorHAnsi" w:hAnsiTheme="majorHAnsi" w:cstheme="majorHAnsi"/>
          <w:b/>
          <w:bCs/>
        </w:rPr>
        <w:t>ANEXO I.g – Indicadores Institucionais e de Resultado – CAU UF</w:t>
      </w:r>
    </w:p>
    <w:tbl>
      <w:tblPr>
        <w:tblW w:w="15593" w:type="dxa"/>
        <w:tblInd w:w="-577" w:type="dxa"/>
        <w:tblLayout w:type="fixed"/>
        <w:tblCellMar>
          <w:left w:w="70" w:type="dxa"/>
          <w:right w:w="70" w:type="dxa"/>
        </w:tblCellMar>
        <w:tblLook w:val="04A0" w:firstRow="1" w:lastRow="0" w:firstColumn="1" w:lastColumn="0" w:noHBand="0" w:noVBand="1"/>
      </w:tblPr>
      <w:tblGrid>
        <w:gridCol w:w="1134"/>
        <w:gridCol w:w="1552"/>
        <w:gridCol w:w="1381"/>
        <w:gridCol w:w="3163"/>
        <w:gridCol w:w="5103"/>
        <w:gridCol w:w="714"/>
        <w:gridCol w:w="1167"/>
        <w:gridCol w:w="1379"/>
      </w:tblGrid>
      <w:tr w:rsidR="00C45AEC" w:rsidRPr="00C45AEC" w14:paraId="067C49A1" w14:textId="77777777" w:rsidTr="00335B2F">
        <w:trPr>
          <w:trHeight w:val="1575"/>
        </w:trPr>
        <w:tc>
          <w:tcPr>
            <w:tcW w:w="1134"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49EEDE2E" w14:textId="77777777"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Perspectiva</w:t>
            </w:r>
          </w:p>
        </w:tc>
        <w:tc>
          <w:tcPr>
            <w:tcW w:w="1552" w:type="dxa"/>
            <w:tcBorders>
              <w:top w:val="single" w:sz="8" w:space="0" w:color="auto"/>
              <w:left w:val="nil"/>
              <w:bottom w:val="single" w:sz="8" w:space="0" w:color="auto"/>
              <w:right w:val="single" w:sz="4" w:space="0" w:color="auto"/>
            </w:tcBorders>
            <w:shd w:val="clear" w:color="auto" w:fill="ED7D31" w:themeFill="accent2"/>
            <w:vAlign w:val="center"/>
            <w:hideMark/>
          </w:tcPr>
          <w:p w14:paraId="6BCE7506" w14:textId="77777777"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Objetivo Estratégico</w:t>
            </w:r>
          </w:p>
        </w:tc>
        <w:tc>
          <w:tcPr>
            <w:tcW w:w="1381" w:type="dxa"/>
            <w:tcBorders>
              <w:top w:val="single" w:sz="8" w:space="0" w:color="auto"/>
              <w:left w:val="nil"/>
              <w:bottom w:val="single" w:sz="8" w:space="0" w:color="auto"/>
              <w:right w:val="single" w:sz="4" w:space="0" w:color="auto"/>
            </w:tcBorders>
            <w:shd w:val="clear" w:color="auto" w:fill="ED7D31" w:themeFill="accent2"/>
            <w:vAlign w:val="center"/>
            <w:hideMark/>
          </w:tcPr>
          <w:p w14:paraId="6A6C4E6E" w14:textId="00FC5F24"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Indicador</w:t>
            </w:r>
          </w:p>
        </w:tc>
        <w:tc>
          <w:tcPr>
            <w:tcW w:w="3163" w:type="dxa"/>
            <w:tcBorders>
              <w:top w:val="single" w:sz="8" w:space="0" w:color="auto"/>
              <w:left w:val="nil"/>
              <w:bottom w:val="single" w:sz="8" w:space="0" w:color="auto"/>
              <w:right w:val="single" w:sz="4" w:space="0" w:color="auto"/>
            </w:tcBorders>
            <w:shd w:val="clear" w:color="auto" w:fill="ED7D31" w:themeFill="accent2"/>
            <w:vAlign w:val="center"/>
            <w:hideMark/>
          </w:tcPr>
          <w:p w14:paraId="5809B77D" w14:textId="77777777"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Descrição</w:t>
            </w:r>
          </w:p>
        </w:tc>
        <w:tc>
          <w:tcPr>
            <w:tcW w:w="5817" w:type="dxa"/>
            <w:gridSpan w:val="2"/>
            <w:tcBorders>
              <w:top w:val="single" w:sz="8" w:space="0" w:color="auto"/>
              <w:left w:val="nil"/>
              <w:bottom w:val="single" w:sz="8" w:space="0" w:color="auto"/>
              <w:right w:val="single" w:sz="4" w:space="0" w:color="auto"/>
            </w:tcBorders>
            <w:shd w:val="clear" w:color="auto" w:fill="ED7D31" w:themeFill="accent2"/>
            <w:noWrap/>
            <w:vAlign w:val="center"/>
            <w:hideMark/>
          </w:tcPr>
          <w:p w14:paraId="07D114F9" w14:textId="77777777"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Fórmula de Cálculo</w:t>
            </w:r>
          </w:p>
        </w:tc>
        <w:tc>
          <w:tcPr>
            <w:tcW w:w="1167" w:type="dxa"/>
            <w:tcBorders>
              <w:top w:val="single" w:sz="8" w:space="0" w:color="auto"/>
              <w:left w:val="nil"/>
              <w:bottom w:val="single" w:sz="8" w:space="0" w:color="auto"/>
              <w:right w:val="single" w:sz="4" w:space="0" w:color="auto"/>
            </w:tcBorders>
            <w:shd w:val="clear" w:color="auto" w:fill="ED7D31" w:themeFill="accent2"/>
            <w:vAlign w:val="center"/>
            <w:hideMark/>
          </w:tcPr>
          <w:p w14:paraId="7B1E50C5" w14:textId="77777777"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Frequência</w:t>
            </w:r>
            <w:r w:rsidRPr="00C45AEC">
              <w:rPr>
                <w:rFonts w:ascii="Calibri" w:eastAsia="Times New Roman" w:hAnsi="Calibri" w:cs="Calibri"/>
                <w:b/>
                <w:bCs/>
                <w:color w:val="FFFFFF"/>
                <w:sz w:val="20"/>
                <w:szCs w:val="20"/>
                <w:lang w:eastAsia="pt-BR"/>
              </w:rPr>
              <w:br/>
              <w:t>de Medição</w:t>
            </w:r>
          </w:p>
        </w:tc>
        <w:tc>
          <w:tcPr>
            <w:tcW w:w="1379" w:type="dxa"/>
            <w:tcBorders>
              <w:top w:val="single" w:sz="8" w:space="0" w:color="auto"/>
              <w:left w:val="nil"/>
              <w:bottom w:val="single" w:sz="8" w:space="0" w:color="auto"/>
              <w:right w:val="single" w:sz="8" w:space="0" w:color="auto"/>
            </w:tcBorders>
            <w:shd w:val="clear" w:color="auto" w:fill="ED7D31" w:themeFill="accent2"/>
            <w:vAlign w:val="center"/>
            <w:hideMark/>
          </w:tcPr>
          <w:p w14:paraId="550D9E3C" w14:textId="77777777"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Fonte do Indicador</w:t>
            </w:r>
          </w:p>
        </w:tc>
      </w:tr>
      <w:tr w:rsidR="00C45AEC" w:rsidRPr="00C45AEC" w14:paraId="3AE9AF97" w14:textId="77777777" w:rsidTr="00BC1A80">
        <w:trPr>
          <w:trHeight w:val="1662"/>
        </w:trPr>
        <w:tc>
          <w:tcPr>
            <w:tcW w:w="1134" w:type="dxa"/>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14:paraId="69215331"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Processos Internos (Relação com a Sociedade)</w:t>
            </w:r>
          </w:p>
        </w:tc>
        <w:tc>
          <w:tcPr>
            <w:tcW w:w="15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81775C"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Assegurar a eficácia no relacionamento e comunicação com a sociedade</w:t>
            </w:r>
          </w:p>
        </w:tc>
        <w:tc>
          <w:tcPr>
            <w:tcW w:w="1381" w:type="dxa"/>
            <w:tcBorders>
              <w:top w:val="single" w:sz="4" w:space="0" w:color="auto"/>
              <w:left w:val="nil"/>
              <w:bottom w:val="single" w:sz="4" w:space="0" w:color="auto"/>
              <w:right w:val="single" w:sz="4" w:space="0" w:color="auto"/>
            </w:tcBorders>
            <w:shd w:val="clear" w:color="000000" w:fill="FFFFFF"/>
            <w:vAlign w:val="center"/>
            <w:hideMark/>
          </w:tcPr>
          <w:p w14:paraId="07CCE83B"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Acessos à página do CAU (Qtd.)</w:t>
            </w:r>
            <w:r w:rsidRPr="00C45AEC">
              <w:rPr>
                <w:rFonts w:ascii="Calibri" w:eastAsia="Times New Roman" w:hAnsi="Calibri" w:cs="Calibri"/>
                <w:sz w:val="20"/>
                <w:szCs w:val="20"/>
                <w:lang w:eastAsia="pt-BR"/>
              </w:rPr>
              <w:br/>
            </w:r>
            <w:r w:rsidRPr="00C45AEC">
              <w:rPr>
                <w:rFonts w:ascii="Calibri" w:eastAsia="Times New Roman" w:hAnsi="Calibri" w:cs="Calibri"/>
                <w:b/>
                <w:bCs/>
                <w:sz w:val="20"/>
                <w:szCs w:val="20"/>
                <w:lang w:eastAsia="pt-BR"/>
              </w:rPr>
              <w:t>(CAU/UF)</w:t>
            </w:r>
          </w:p>
        </w:tc>
        <w:tc>
          <w:tcPr>
            <w:tcW w:w="3163" w:type="dxa"/>
            <w:tcBorders>
              <w:top w:val="single" w:sz="4" w:space="0" w:color="auto"/>
              <w:left w:val="nil"/>
              <w:bottom w:val="single" w:sz="4" w:space="0" w:color="auto"/>
              <w:right w:val="single" w:sz="4" w:space="0" w:color="auto"/>
            </w:tcBorders>
            <w:shd w:val="clear" w:color="000000" w:fill="FFFFFF"/>
            <w:vAlign w:val="center"/>
            <w:hideMark/>
          </w:tcPr>
          <w:p w14:paraId="5AF5D0CF" w14:textId="77777777" w:rsidR="00C45AEC" w:rsidRPr="00C45AEC" w:rsidRDefault="00C45AEC" w:rsidP="00C45AEC">
            <w:pPr>
              <w:spacing w:after="0" w:line="240" w:lineRule="auto"/>
              <w:jc w:val="both"/>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Mede o quanto a sociedade está acessando o site dos CAU/UF para buscar informações sobre o CAU ou sobre Arquitetura e Urbanismo.</w:t>
            </w:r>
          </w:p>
        </w:tc>
        <w:tc>
          <w:tcPr>
            <w:tcW w:w="5817" w:type="dxa"/>
            <w:gridSpan w:val="2"/>
            <w:tcBorders>
              <w:top w:val="single" w:sz="4" w:space="0" w:color="auto"/>
              <w:left w:val="nil"/>
              <w:bottom w:val="single" w:sz="4" w:space="0" w:color="auto"/>
              <w:right w:val="single" w:sz="4" w:space="0" w:color="000000"/>
            </w:tcBorders>
            <w:shd w:val="clear" w:color="000000" w:fill="FFFFFF"/>
            <w:vAlign w:val="center"/>
            <w:hideMark/>
          </w:tcPr>
          <w:p w14:paraId="235889F1"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quantidade de acessos qualificados (visitantes únicos) a página do CAU/UF</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16B095E1"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 xml:space="preserve">Mensal </w:t>
            </w:r>
          </w:p>
        </w:tc>
        <w:tc>
          <w:tcPr>
            <w:tcW w:w="1379" w:type="dxa"/>
            <w:tcBorders>
              <w:top w:val="single" w:sz="4" w:space="0" w:color="auto"/>
              <w:left w:val="nil"/>
              <w:bottom w:val="single" w:sz="4" w:space="0" w:color="auto"/>
              <w:right w:val="single" w:sz="8" w:space="0" w:color="auto"/>
            </w:tcBorders>
            <w:shd w:val="clear" w:color="000000" w:fill="FFFFFF"/>
            <w:vAlign w:val="center"/>
            <w:hideMark/>
          </w:tcPr>
          <w:p w14:paraId="52EC25F6" w14:textId="487926DB" w:rsidR="00AC4CB0"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Área de Comunicaçã</w:t>
            </w:r>
            <w:r w:rsidR="00AC4CB0">
              <w:rPr>
                <w:rFonts w:ascii="Calibri" w:eastAsia="Times New Roman" w:hAnsi="Calibri" w:cs="Calibri"/>
                <w:sz w:val="20"/>
                <w:szCs w:val="20"/>
                <w:lang w:eastAsia="pt-BR"/>
              </w:rPr>
              <w:t>o</w:t>
            </w:r>
          </w:p>
          <w:p w14:paraId="0F729C7A" w14:textId="3192419E"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CAU/UF</w:t>
            </w:r>
          </w:p>
        </w:tc>
      </w:tr>
      <w:tr w:rsidR="00C45AEC" w:rsidRPr="00C45AEC" w14:paraId="407E2C23" w14:textId="77777777" w:rsidTr="00BC1A80">
        <w:trPr>
          <w:trHeight w:val="870"/>
        </w:trPr>
        <w:tc>
          <w:tcPr>
            <w:tcW w:w="1134" w:type="dxa"/>
            <w:vMerge/>
            <w:tcBorders>
              <w:top w:val="single" w:sz="4" w:space="0" w:color="auto"/>
              <w:left w:val="single" w:sz="8" w:space="0" w:color="auto"/>
              <w:bottom w:val="single" w:sz="4" w:space="0" w:color="auto"/>
              <w:right w:val="single" w:sz="4" w:space="0" w:color="auto"/>
            </w:tcBorders>
            <w:vAlign w:val="center"/>
            <w:hideMark/>
          </w:tcPr>
          <w:p w14:paraId="32020155"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11F9ECAE"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F977AC"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Índice de presença na mídia como um todo (%)</w:t>
            </w:r>
            <w:r w:rsidRPr="00C45AEC">
              <w:rPr>
                <w:rFonts w:ascii="Calibri" w:eastAsia="Times New Roman" w:hAnsi="Calibri" w:cs="Calibri"/>
                <w:sz w:val="20"/>
                <w:szCs w:val="20"/>
                <w:lang w:eastAsia="pt-BR"/>
              </w:rPr>
              <w:br/>
            </w:r>
            <w:r w:rsidRPr="00C45AEC">
              <w:rPr>
                <w:rFonts w:ascii="Calibri" w:eastAsia="Times New Roman" w:hAnsi="Calibri" w:cs="Calibri"/>
                <w:b/>
                <w:bCs/>
                <w:sz w:val="20"/>
                <w:szCs w:val="20"/>
                <w:lang w:eastAsia="pt-BR"/>
              </w:rPr>
              <w:t>(CAU/UF)</w:t>
            </w:r>
          </w:p>
        </w:tc>
        <w:tc>
          <w:tcPr>
            <w:tcW w:w="316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70DE9E" w14:textId="77777777" w:rsidR="00C45AEC" w:rsidRPr="00C45AEC" w:rsidRDefault="00C45AEC" w:rsidP="00C45AEC">
            <w:pPr>
              <w:spacing w:after="0" w:line="240" w:lineRule="auto"/>
              <w:jc w:val="both"/>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Mede se o CAU está sendo chamado a se pronunciar sobre questões de Arquitetura e Urbanismo nas notícias sobre esse assunto, representando assim um reconhecimento sobre sua posição na sociedade.</w:t>
            </w:r>
          </w:p>
        </w:tc>
        <w:tc>
          <w:tcPr>
            <w:tcW w:w="5103" w:type="dxa"/>
            <w:tcBorders>
              <w:top w:val="nil"/>
              <w:left w:val="nil"/>
              <w:bottom w:val="single" w:sz="4" w:space="0" w:color="auto"/>
              <w:right w:val="nil"/>
            </w:tcBorders>
            <w:shd w:val="clear" w:color="000000" w:fill="FFFFFF"/>
            <w:vAlign w:val="bottom"/>
            <w:hideMark/>
          </w:tcPr>
          <w:p w14:paraId="41194B22"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número de inserções na mídia em geral onde o CAU/UF foi citado</w:t>
            </w:r>
          </w:p>
        </w:tc>
        <w:tc>
          <w:tcPr>
            <w:tcW w:w="714" w:type="dxa"/>
            <w:vMerge w:val="restart"/>
            <w:tcBorders>
              <w:top w:val="nil"/>
              <w:left w:val="nil"/>
              <w:bottom w:val="single" w:sz="4" w:space="0" w:color="auto"/>
              <w:right w:val="single" w:sz="4" w:space="0" w:color="auto"/>
            </w:tcBorders>
            <w:shd w:val="clear" w:color="000000" w:fill="FFFFFF"/>
            <w:vAlign w:val="center"/>
            <w:hideMark/>
          </w:tcPr>
          <w:p w14:paraId="02643B63" w14:textId="77777777" w:rsidR="00C45AEC" w:rsidRPr="00C45AEC" w:rsidRDefault="00C45AEC" w:rsidP="00C45AEC">
            <w:pPr>
              <w:spacing w:after="0" w:line="240" w:lineRule="auto"/>
              <w:ind w:hanging="13"/>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x 100</w:t>
            </w:r>
          </w:p>
        </w:tc>
        <w:tc>
          <w:tcPr>
            <w:tcW w:w="11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46E4E2"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Trimestral</w:t>
            </w:r>
          </w:p>
        </w:tc>
        <w:tc>
          <w:tcPr>
            <w:tcW w:w="1379" w:type="dxa"/>
            <w:vMerge w:val="restart"/>
            <w:tcBorders>
              <w:top w:val="nil"/>
              <w:left w:val="single" w:sz="4" w:space="0" w:color="auto"/>
              <w:bottom w:val="single" w:sz="4" w:space="0" w:color="auto"/>
              <w:right w:val="single" w:sz="8" w:space="0" w:color="auto"/>
            </w:tcBorders>
            <w:shd w:val="clear" w:color="000000" w:fill="FFFFFF"/>
            <w:vAlign w:val="center"/>
            <w:hideMark/>
          </w:tcPr>
          <w:p w14:paraId="2552F47A" w14:textId="6AD48D40" w:rsid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Área de Comunicaçã</w:t>
            </w:r>
            <w:r w:rsidR="00AC4CB0">
              <w:rPr>
                <w:rFonts w:ascii="Calibri" w:eastAsia="Times New Roman" w:hAnsi="Calibri" w:cs="Calibri"/>
                <w:sz w:val="20"/>
                <w:szCs w:val="20"/>
                <w:lang w:eastAsia="pt-BR"/>
              </w:rPr>
              <w:t>o</w:t>
            </w:r>
          </w:p>
          <w:p w14:paraId="6CC79A7A" w14:textId="3E56DC6C"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CAU/UF</w:t>
            </w:r>
          </w:p>
        </w:tc>
      </w:tr>
      <w:tr w:rsidR="00C45AEC" w:rsidRPr="00C45AEC" w14:paraId="104602A1" w14:textId="77777777" w:rsidTr="00BC1A80">
        <w:trPr>
          <w:trHeight w:val="870"/>
        </w:trPr>
        <w:tc>
          <w:tcPr>
            <w:tcW w:w="1134" w:type="dxa"/>
            <w:vMerge/>
            <w:tcBorders>
              <w:top w:val="single" w:sz="4" w:space="0" w:color="auto"/>
              <w:left w:val="single" w:sz="8" w:space="0" w:color="auto"/>
              <w:bottom w:val="single" w:sz="4" w:space="0" w:color="auto"/>
              <w:right w:val="single" w:sz="4" w:space="0" w:color="auto"/>
            </w:tcBorders>
            <w:vAlign w:val="center"/>
            <w:hideMark/>
          </w:tcPr>
          <w:p w14:paraId="43701142"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3D52E2F3"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81" w:type="dxa"/>
            <w:vMerge/>
            <w:tcBorders>
              <w:top w:val="nil"/>
              <w:left w:val="single" w:sz="4" w:space="0" w:color="auto"/>
              <w:bottom w:val="single" w:sz="4" w:space="0" w:color="auto"/>
              <w:right w:val="single" w:sz="4" w:space="0" w:color="auto"/>
            </w:tcBorders>
            <w:vAlign w:val="center"/>
            <w:hideMark/>
          </w:tcPr>
          <w:p w14:paraId="2FD9532E"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3163" w:type="dxa"/>
            <w:vMerge/>
            <w:tcBorders>
              <w:top w:val="nil"/>
              <w:left w:val="single" w:sz="4" w:space="0" w:color="auto"/>
              <w:bottom w:val="single" w:sz="4" w:space="0" w:color="auto"/>
              <w:right w:val="single" w:sz="4" w:space="0" w:color="auto"/>
            </w:tcBorders>
            <w:vAlign w:val="center"/>
            <w:hideMark/>
          </w:tcPr>
          <w:p w14:paraId="3F58C974"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5103" w:type="dxa"/>
            <w:tcBorders>
              <w:top w:val="nil"/>
              <w:left w:val="nil"/>
              <w:bottom w:val="single" w:sz="4" w:space="0" w:color="auto"/>
              <w:right w:val="nil"/>
            </w:tcBorders>
            <w:shd w:val="clear" w:color="000000" w:fill="FFFFFF"/>
            <w:hideMark/>
          </w:tcPr>
          <w:p w14:paraId="4C353464"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total de notícias sobre questões de Arquitetura e Urbanismo</w:t>
            </w:r>
          </w:p>
        </w:tc>
        <w:tc>
          <w:tcPr>
            <w:tcW w:w="714" w:type="dxa"/>
            <w:vMerge/>
            <w:tcBorders>
              <w:top w:val="nil"/>
              <w:left w:val="nil"/>
              <w:bottom w:val="single" w:sz="4" w:space="0" w:color="auto"/>
              <w:right w:val="single" w:sz="4" w:space="0" w:color="auto"/>
            </w:tcBorders>
            <w:vAlign w:val="center"/>
            <w:hideMark/>
          </w:tcPr>
          <w:p w14:paraId="3027C495"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167" w:type="dxa"/>
            <w:vMerge/>
            <w:tcBorders>
              <w:top w:val="nil"/>
              <w:left w:val="single" w:sz="4" w:space="0" w:color="auto"/>
              <w:bottom w:val="single" w:sz="4" w:space="0" w:color="auto"/>
              <w:right w:val="single" w:sz="4" w:space="0" w:color="auto"/>
            </w:tcBorders>
            <w:vAlign w:val="center"/>
            <w:hideMark/>
          </w:tcPr>
          <w:p w14:paraId="00AD6352"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79" w:type="dxa"/>
            <w:vMerge/>
            <w:tcBorders>
              <w:top w:val="nil"/>
              <w:left w:val="single" w:sz="4" w:space="0" w:color="auto"/>
              <w:bottom w:val="single" w:sz="4" w:space="0" w:color="auto"/>
              <w:right w:val="single" w:sz="8" w:space="0" w:color="auto"/>
            </w:tcBorders>
            <w:vAlign w:val="center"/>
            <w:hideMark/>
          </w:tcPr>
          <w:p w14:paraId="16C7F671" w14:textId="77777777" w:rsidR="00C45AEC" w:rsidRPr="00C45AEC" w:rsidRDefault="00C45AEC" w:rsidP="00C45AEC">
            <w:pPr>
              <w:spacing w:after="0" w:line="240" w:lineRule="auto"/>
              <w:rPr>
                <w:rFonts w:ascii="Calibri" w:eastAsia="Times New Roman" w:hAnsi="Calibri" w:cs="Calibri"/>
                <w:sz w:val="20"/>
                <w:szCs w:val="20"/>
                <w:lang w:eastAsia="pt-BR"/>
              </w:rPr>
            </w:pPr>
          </w:p>
        </w:tc>
      </w:tr>
      <w:tr w:rsidR="00C45AEC" w:rsidRPr="00C45AEC" w14:paraId="6FF245F2" w14:textId="77777777" w:rsidTr="00BC1A80">
        <w:trPr>
          <w:trHeight w:val="870"/>
        </w:trPr>
        <w:tc>
          <w:tcPr>
            <w:tcW w:w="1134" w:type="dxa"/>
            <w:vMerge/>
            <w:tcBorders>
              <w:top w:val="single" w:sz="4" w:space="0" w:color="auto"/>
              <w:left w:val="single" w:sz="8" w:space="0" w:color="auto"/>
              <w:bottom w:val="single" w:sz="4" w:space="0" w:color="auto"/>
              <w:right w:val="single" w:sz="4" w:space="0" w:color="auto"/>
            </w:tcBorders>
            <w:vAlign w:val="center"/>
            <w:hideMark/>
          </w:tcPr>
          <w:p w14:paraId="68DF9498"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645472F5"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CAFA2C"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Índice de inserções positivas na mídia (%)</w:t>
            </w:r>
            <w:r w:rsidRPr="00C45AEC">
              <w:rPr>
                <w:rFonts w:ascii="Calibri" w:eastAsia="Times New Roman" w:hAnsi="Calibri" w:cs="Calibri"/>
                <w:sz w:val="20"/>
                <w:szCs w:val="20"/>
                <w:lang w:eastAsia="pt-BR"/>
              </w:rPr>
              <w:br/>
            </w:r>
            <w:r w:rsidRPr="00C45AEC">
              <w:rPr>
                <w:rFonts w:ascii="Calibri" w:eastAsia="Times New Roman" w:hAnsi="Calibri" w:cs="Calibri"/>
                <w:b/>
                <w:bCs/>
                <w:sz w:val="20"/>
                <w:szCs w:val="20"/>
                <w:lang w:eastAsia="pt-BR"/>
              </w:rPr>
              <w:t>(CAU/UF)</w:t>
            </w:r>
          </w:p>
        </w:tc>
        <w:tc>
          <w:tcPr>
            <w:tcW w:w="316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EC234F" w14:textId="77777777" w:rsidR="00C45AEC" w:rsidRPr="00C45AEC" w:rsidRDefault="00C45AEC" w:rsidP="00C45AEC">
            <w:pPr>
              <w:spacing w:after="0" w:line="240" w:lineRule="auto"/>
              <w:jc w:val="both"/>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Para todas as menções ao CAU na mídia, é preciso medir quantas delas foram positivas, levando ao entendimento do bom papel sendo desempenhado pelo CAU.</w:t>
            </w:r>
          </w:p>
        </w:tc>
        <w:tc>
          <w:tcPr>
            <w:tcW w:w="5103" w:type="dxa"/>
            <w:tcBorders>
              <w:top w:val="nil"/>
              <w:left w:val="nil"/>
              <w:bottom w:val="single" w:sz="4" w:space="0" w:color="auto"/>
              <w:right w:val="nil"/>
            </w:tcBorders>
            <w:shd w:val="clear" w:color="000000" w:fill="FFFFFF"/>
            <w:vAlign w:val="bottom"/>
            <w:hideMark/>
          </w:tcPr>
          <w:p w14:paraId="15133F74"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número de inserções positivas do CAU/UF na mídia</w:t>
            </w:r>
          </w:p>
        </w:tc>
        <w:tc>
          <w:tcPr>
            <w:tcW w:w="714" w:type="dxa"/>
            <w:vMerge w:val="restart"/>
            <w:tcBorders>
              <w:top w:val="nil"/>
              <w:left w:val="nil"/>
              <w:bottom w:val="single" w:sz="4" w:space="0" w:color="auto"/>
              <w:right w:val="single" w:sz="4" w:space="0" w:color="auto"/>
            </w:tcBorders>
            <w:shd w:val="clear" w:color="000000" w:fill="FFFFFF"/>
            <w:vAlign w:val="center"/>
            <w:hideMark/>
          </w:tcPr>
          <w:p w14:paraId="1E760FFF" w14:textId="77777777" w:rsidR="00C45AEC" w:rsidRPr="00C45AEC" w:rsidRDefault="00C45AEC" w:rsidP="00C45AEC">
            <w:pPr>
              <w:spacing w:after="0" w:line="240" w:lineRule="auto"/>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x 100</w:t>
            </w:r>
          </w:p>
        </w:tc>
        <w:tc>
          <w:tcPr>
            <w:tcW w:w="11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506EB9"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Trimestral</w:t>
            </w:r>
          </w:p>
        </w:tc>
        <w:tc>
          <w:tcPr>
            <w:tcW w:w="1379" w:type="dxa"/>
            <w:vMerge w:val="restart"/>
            <w:tcBorders>
              <w:top w:val="nil"/>
              <w:left w:val="single" w:sz="4" w:space="0" w:color="auto"/>
              <w:bottom w:val="single" w:sz="4" w:space="0" w:color="auto"/>
              <w:right w:val="single" w:sz="8" w:space="0" w:color="auto"/>
            </w:tcBorders>
            <w:shd w:val="clear" w:color="000000" w:fill="FFFFFF"/>
            <w:vAlign w:val="center"/>
            <w:hideMark/>
          </w:tcPr>
          <w:p w14:paraId="43B24683" w14:textId="77777777" w:rsidR="00AC4CB0"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Área de Comunicação</w:t>
            </w:r>
          </w:p>
          <w:p w14:paraId="52B474D1" w14:textId="2EA67A65"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CAU/UF</w:t>
            </w:r>
          </w:p>
        </w:tc>
      </w:tr>
      <w:tr w:rsidR="00C45AEC" w:rsidRPr="00C45AEC" w14:paraId="0CCDB21A" w14:textId="77777777" w:rsidTr="00BC1A80">
        <w:trPr>
          <w:trHeight w:val="870"/>
        </w:trPr>
        <w:tc>
          <w:tcPr>
            <w:tcW w:w="1134" w:type="dxa"/>
            <w:vMerge/>
            <w:tcBorders>
              <w:top w:val="single" w:sz="4" w:space="0" w:color="auto"/>
              <w:left w:val="single" w:sz="8" w:space="0" w:color="auto"/>
              <w:bottom w:val="single" w:sz="4" w:space="0" w:color="auto"/>
              <w:right w:val="single" w:sz="4" w:space="0" w:color="auto"/>
            </w:tcBorders>
            <w:vAlign w:val="center"/>
            <w:hideMark/>
          </w:tcPr>
          <w:p w14:paraId="3C7254D1"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092CB22B"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81" w:type="dxa"/>
            <w:vMerge/>
            <w:tcBorders>
              <w:top w:val="nil"/>
              <w:left w:val="single" w:sz="4" w:space="0" w:color="auto"/>
              <w:bottom w:val="single" w:sz="4" w:space="0" w:color="auto"/>
              <w:right w:val="single" w:sz="4" w:space="0" w:color="auto"/>
            </w:tcBorders>
            <w:vAlign w:val="center"/>
            <w:hideMark/>
          </w:tcPr>
          <w:p w14:paraId="12BBBFBD"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3163" w:type="dxa"/>
            <w:vMerge/>
            <w:tcBorders>
              <w:top w:val="nil"/>
              <w:left w:val="single" w:sz="4" w:space="0" w:color="auto"/>
              <w:bottom w:val="single" w:sz="4" w:space="0" w:color="auto"/>
              <w:right w:val="single" w:sz="4" w:space="0" w:color="auto"/>
            </w:tcBorders>
            <w:vAlign w:val="center"/>
            <w:hideMark/>
          </w:tcPr>
          <w:p w14:paraId="47B77E44"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5103" w:type="dxa"/>
            <w:tcBorders>
              <w:top w:val="nil"/>
              <w:left w:val="nil"/>
              <w:bottom w:val="single" w:sz="4" w:space="0" w:color="auto"/>
              <w:right w:val="nil"/>
            </w:tcBorders>
            <w:shd w:val="clear" w:color="000000" w:fill="FFFFFF"/>
            <w:hideMark/>
          </w:tcPr>
          <w:p w14:paraId="6573D0EA"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total de inserções do CAU na mídia</w:t>
            </w:r>
          </w:p>
        </w:tc>
        <w:tc>
          <w:tcPr>
            <w:tcW w:w="714" w:type="dxa"/>
            <w:vMerge/>
            <w:tcBorders>
              <w:top w:val="nil"/>
              <w:left w:val="nil"/>
              <w:bottom w:val="single" w:sz="4" w:space="0" w:color="auto"/>
              <w:right w:val="single" w:sz="4" w:space="0" w:color="auto"/>
            </w:tcBorders>
            <w:vAlign w:val="center"/>
            <w:hideMark/>
          </w:tcPr>
          <w:p w14:paraId="27229586"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167" w:type="dxa"/>
            <w:vMerge/>
            <w:tcBorders>
              <w:top w:val="nil"/>
              <w:left w:val="single" w:sz="4" w:space="0" w:color="auto"/>
              <w:bottom w:val="single" w:sz="4" w:space="0" w:color="auto"/>
              <w:right w:val="single" w:sz="4" w:space="0" w:color="auto"/>
            </w:tcBorders>
            <w:vAlign w:val="center"/>
            <w:hideMark/>
          </w:tcPr>
          <w:p w14:paraId="74CEFA76"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79" w:type="dxa"/>
            <w:vMerge/>
            <w:tcBorders>
              <w:top w:val="nil"/>
              <w:left w:val="single" w:sz="4" w:space="0" w:color="auto"/>
              <w:bottom w:val="single" w:sz="4" w:space="0" w:color="auto"/>
              <w:right w:val="single" w:sz="8" w:space="0" w:color="auto"/>
            </w:tcBorders>
            <w:vAlign w:val="center"/>
            <w:hideMark/>
          </w:tcPr>
          <w:p w14:paraId="436B7754" w14:textId="77777777" w:rsidR="00C45AEC" w:rsidRPr="00C45AEC" w:rsidRDefault="00C45AEC" w:rsidP="00C45AEC">
            <w:pPr>
              <w:spacing w:after="0" w:line="240" w:lineRule="auto"/>
              <w:rPr>
                <w:rFonts w:ascii="Calibri" w:eastAsia="Times New Roman" w:hAnsi="Calibri" w:cs="Calibri"/>
                <w:sz w:val="20"/>
                <w:szCs w:val="20"/>
                <w:lang w:eastAsia="pt-BR"/>
              </w:rPr>
            </w:pPr>
          </w:p>
        </w:tc>
      </w:tr>
      <w:tr w:rsidR="00C45AEC" w:rsidRPr="00C45AEC" w14:paraId="2F906AAA" w14:textId="77777777" w:rsidTr="00BC1A80">
        <w:trPr>
          <w:trHeight w:val="1662"/>
        </w:trPr>
        <w:tc>
          <w:tcPr>
            <w:tcW w:w="1134" w:type="dxa"/>
            <w:vMerge/>
            <w:tcBorders>
              <w:top w:val="single" w:sz="4" w:space="0" w:color="auto"/>
              <w:left w:val="single" w:sz="8" w:space="0" w:color="auto"/>
              <w:bottom w:val="single" w:sz="4" w:space="0" w:color="auto"/>
              <w:right w:val="single" w:sz="4" w:space="0" w:color="auto"/>
            </w:tcBorders>
            <w:vAlign w:val="center"/>
            <w:hideMark/>
          </w:tcPr>
          <w:p w14:paraId="4A364817"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1F78807C"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81" w:type="dxa"/>
            <w:tcBorders>
              <w:top w:val="nil"/>
              <w:left w:val="nil"/>
              <w:bottom w:val="single" w:sz="4" w:space="0" w:color="auto"/>
              <w:right w:val="single" w:sz="4" w:space="0" w:color="auto"/>
            </w:tcBorders>
            <w:shd w:val="clear" w:color="000000" w:fill="FFFFFF"/>
            <w:vAlign w:val="center"/>
            <w:hideMark/>
          </w:tcPr>
          <w:p w14:paraId="6CE5DEA0" w14:textId="2B757118"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Número de visualizações das publicações do CAU/UF das redes sociais</w:t>
            </w:r>
          </w:p>
        </w:tc>
        <w:tc>
          <w:tcPr>
            <w:tcW w:w="3163" w:type="dxa"/>
            <w:tcBorders>
              <w:top w:val="nil"/>
              <w:left w:val="nil"/>
              <w:bottom w:val="single" w:sz="4" w:space="0" w:color="auto"/>
              <w:right w:val="single" w:sz="4" w:space="0" w:color="auto"/>
            </w:tcBorders>
            <w:shd w:val="clear" w:color="000000" w:fill="FFFFFF"/>
            <w:vAlign w:val="center"/>
            <w:hideMark/>
          </w:tcPr>
          <w:p w14:paraId="499A8833" w14:textId="53807B10" w:rsidR="00C45AEC" w:rsidRPr="00C45AEC" w:rsidRDefault="00C45AEC" w:rsidP="00C45AEC">
            <w:pPr>
              <w:spacing w:after="0" w:line="240" w:lineRule="auto"/>
              <w:jc w:val="both"/>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Indica o número de vezes que as publicações na página do CAU/UF foram visualizadas pelos seguidores nas redes sociais.</w:t>
            </w:r>
          </w:p>
        </w:tc>
        <w:tc>
          <w:tcPr>
            <w:tcW w:w="5817" w:type="dxa"/>
            <w:gridSpan w:val="2"/>
            <w:tcBorders>
              <w:top w:val="single" w:sz="4" w:space="0" w:color="auto"/>
              <w:left w:val="nil"/>
              <w:bottom w:val="single" w:sz="4" w:space="0" w:color="auto"/>
              <w:right w:val="single" w:sz="4" w:space="0" w:color="000000"/>
            </w:tcBorders>
            <w:shd w:val="clear" w:color="000000" w:fill="FFFFFF"/>
            <w:vAlign w:val="center"/>
            <w:hideMark/>
          </w:tcPr>
          <w:p w14:paraId="4867F1E8"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quantidade de visualizações das publicações do CAU/UF das redes sociais</w:t>
            </w:r>
          </w:p>
        </w:tc>
        <w:tc>
          <w:tcPr>
            <w:tcW w:w="1167" w:type="dxa"/>
            <w:tcBorders>
              <w:top w:val="nil"/>
              <w:left w:val="nil"/>
              <w:bottom w:val="single" w:sz="4" w:space="0" w:color="auto"/>
              <w:right w:val="single" w:sz="4" w:space="0" w:color="auto"/>
            </w:tcBorders>
            <w:shd w:val="clear" w:color="000000" w:fill="FFFFFF"/>
            <w:vAlign w:val="center"/>
            <w:hideMark/>
          </w:tcPr>
          <w:p w14:paraId="56B821E7"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Semestral</w:t>
            </w:r>
          </w:p>
        </w:tc>
        <w:tc>
          <w:tcPr>
            <w:tcW w:w="1379" w:type="dxa"/>
            <w:tcBorders>
              <w:top w:val="nil"/>
              <w:left w:val="nil"/>
              <w:bottom w:val="single" w:sz="4" w:space="0" w:color="auto"/>
              <w:right w:val="single" w:sz="8" w:space="0" w:color="auto"/>
            </w:tcBorders>
            <w:shd w:val="clear" w:color="000000" w:fill="FFFFFF"/>
            <w:vAlign w:val="center"/>
            <w:hideMark/>
          </w:tcPr>
          <w:p w14:paraId="70F985D7"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Sites</w:t>
            </w:r>
          </w:p>
        </w:tc>
      </w:tr>
    </w:tbl>
    <w:p w14:paraId="668BDEC3" w14:textId="2B9D8A9C" w:rsidR="005363EF" w:rsidRPr="00C53536" w:rsidRDefault="00C53536" w:rsidP="00C53536">
      <w:pPr>
        <w:rPr>
          <w:rFonts w:asciiTheme="majorHAnsi" w:eastAsia="Arial Unicode MS" w:hAnsiTheme="majorHAnsi" w:cstheme="majorBidi"/>
          <w:b/>
          <w:color w:val="000000" w:themeColor="text1"/>
        </w:rPr>
      </w:pPr>
      <w:r>
        <w:rPr>
          <w:rFonts w:eastAsia="Arial Unicode MS"/>
        </w:rPr>
        <w:br w:type="page"/>
      </w:r>
    </w:p>
    <w:p w14:paraId="0580C918" w14:textId="22198128" w:rsidR="00D27C60" w:rsidRPr="004719E1" w:rsidRDefault="00D27C60" w:rsidP="00D27C60">
      <w:pPr>
        <w:spacing w:after="0"/>
        <w:ind w:left="-567"/>
        <w:rPr>
          <w:rFonts w:asciiTheme="majorHAnsi" w:hAnsiTheme="majorHAnsi" w:cstheme="majorHAnsi"/>
          <w:b/>
          <w:bCs/>
        </w:rPr>
      </w:pPr>
      <w:r w:rsidRPr="004719E1">
        <w:rPr>
          <w:rFonts w:asciiTheme="majorHAnsi" w:hAnsiTheme="majorHAnsi" w:cstheme="majorHAnsi"/>
          <w:b/>
          <w:bCs/>
        </w:rPr>
        <w:t>ANEXO I.h – Indicadores Institucionais e de Resultado – CAU UF</w:t>
      </w:r>
    </w:p>
    <w:tbl>
      <w:tblPr>
        <w:tblW w:w="15596" w:type="dxa"/>
        <w:tblInd w:w="-577" w:type="dxa"/>
        <w:tblCellMar>
          <w:left w:w="70" w:type="dxa"/>
          <w:right w:w="70" w:type="dxa"/>
        </w:tblCellMar>
        <w:tblLook w:val="04A0" w:firstRow="1" w:lastRow="0" w:firstColumn="1" w:lastColumn="0" w:noHBand="0" w:noVBand="1"/>
      </w:tblPr>
      <w:tblGrid>
        <w:gridCol w:w="1811"/>
        <w:gridCol w:w="1663"/>
        <w:gridCol w:w="1629"/>
        <w:gridCol w:w="3828"/>
        <w:gridCol w:w="3402"/>
        <w:gridCol w:w="711"/>
        <w:gridCol w:w="1134"/>
        <w:gridCol w:w="1418"/>
      </w:tblGrid>
      <w:tr w:rsidR="00DD7DD7" w:rsidRPr="00DD7DD7" w14:paraId="2504EA75" w14:textId="77777777" w:rsidTr="00335B2F">
        <w:trPr>
          <w:trHeight w:val="1575"/>
        </w:trPr>
        <w:tc>
          <w:tcPr>
            <w:tcW w:w="1811"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435B588C" w14:textId="5E5A6FED"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Perspectiva</w:t>
            </w:r>
          </w:p>
        </w:tc>
        <w:tc>
          <w:tcPr>
            <w:tcW w:w="1663" w:type="dxa"/>
            <w:tcBorders>
              <w:top w:val="single" w:sz="8" w:space="0" w:color="auto"/>
              <w:left w:val="nil"/>
              <w:bottom w:val="single" w:sz="8" w:space="0" w:color="auto"/>
              <w:right w:val="single" w:sz="4" w:space="0" w:color="auto"/>
            </w:tcBorders>
            <w:shd w:val="clear" w:color="auto" w:fill="ED7D31" w:themeFill="accent2"/>
            <w:vAlign w:val="center"/>
            <w:hideMark/>
          </w:tcPr>
          <w:p w14:paraId="2260DE62" w14:textId="77777777"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Objetivo Estratégico</w:t>
            </w:r>
          </w:p>
        </w:tc>
        <w:tc>
          <w:tcPr>
            <w:tcW w:w="1629" w:type="dxa"/>
            <w:tcBorders>
              <w:top w:val="single" w:sz="8" w:space="0" w:color="auto"/>
              <w:left w:val="nil"/>
              <w:bottom w:val="single" w:sz="8" w:space="0" w:color="auto"/>
              <w:right w:val="single" w:sz="4" w:space="0" w:color="auto"/>
            </w:tcBorders>
            <w:shd w:val="clear" w:color="auto" w:fill="ED7D31" w:themeFill="accent2"/>
            <w:vAlign w:val="center"/>
            <w:hideMark/>
          </w:tcPr>
          <w:p w14:paraId="7940222D" w14:textId="59C7A558"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Indicador</w:t>
            </w:r>
          </w:p>
        </w:tc>
        <w:tc>
          <w:tcPr>
            <w:tcW w:w="3828" w:type="dxa"/>
            <w:tcBorders>
              <w:top w:val="single" w:sz="8" w:space="0" w:color="auto"/>
              <w:left w:val="nil"/>
              <w:bottom w:val="single" w:sz="8" w:space="0" w:color="auto"/>
              <w:right w:val="single" w:sz="4" w:space="0" w:color="auto"/>
            </w:tcBorders>
            <w:shd w:val="clear" w:color="auto" w:fill="ED7D31" w:themeFill="accent2"/>
            <w:vAlign w:val="center"/>
            <w:hideMark/>
          </w:tcPr>
          <w:p w14:paraId="2C6C0A9D" w14:textId="77777777"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Descrição</w:t>
            </w:r>
          </w:p>
        </w:tc>
        <w:tc>
          <w:tcPr>
            <w:tcW w:w="4113" w:type="dxa"/>
            <w:gridSpan w:val="2"/>
            <w:tcBorders>
              <w:top w:val="single" w:sz="8" w:space="0" w:color="auto"/>
              <w:left w:val="nil"/>
              <w:bottom w:val="single" w:sz="8" w:space="0" w:color="auto"/>
              <w:right w:val="single" w:sz="4" w:space="0" w:color="auto"/>
            </w:tcBorders>
            <w:shd w:val="clear" w:color="auto" w:fill="ED7D31" w:themeFill="accent2"/>
            <w:noWrap/>
            <w:vAlign w:val="center"/>
            <w:hideMark/>
          </w:tcPr>
          <w:p w14:paraId="47E00306" w14:textId="77777777"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Fórmula de Cálculo</w:t>
            </w:r>
          </w:p>
        </w:tc>
        <w:tc>
          <w:tcPr>
            <w:tcW w:w="1134" w:type="dxa"/>
            <w:tcBorders>
              <w:top w:val="single" w:sz="8" w:space="0" w:color="auto"/>
              <w:left w:val="nil"/>
              <w:bottom w:val="single" w:sz="8" w:space="0" w:color="auto"/>
              <w:right w:val="single" w:sz="4" w:space="0" w:color="auto"/>
            </w:tcBorders>
            <w:shd w:val="clear" w:color="auto" w:fill="ED7D31" w:themeFill="accent2"/>
            <w:vAlign w:val="center"/>
            <w:hideMark/>
          </w:tcPr>
          <w:p w14:paraId="77E0DCC9" w14:textId="77777777"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Frequência</w:t>
            </w:r>
            <w:r w:rsidRPr="00DD7DD7">
              <w:rPr>
                <w:rFonts w:ascii="Calibri" w:eastAsia="Times New Roman" w:hAnsi="Calibri" w:cs="Calibri"/>
                <w:b/>
                <w:bCs/>
                <w:color w:val="FFFFFF"/>
                <w:sz w:val="20"/>
                <w:szCs w:val="20"/>
                <w:lang w:eastAsia="pt-BR"/>
              </w:rPr>
              <w:br/>
              <w:t>de Medição</w:t>
            </w:r>
          </w:p>
        </w:tc>
        <w:tc>
          <w:tcPr>
            <w:tcW w:w="1418" w:type="dxa"/>
            <w:tcBorders>
              <w:top w:val="single" w:sz="8" w:space="0" w:color="auto"/>
              <w:left w:val="nil"/>
              <w:bottom w:val="single" w:sz="8" w:space="0" w:color="auto"/>
              <w:right w:val="single" w:sz="8" w:space="0" w:color="auto"/>
            </w:tcBorders>
            <w:shd w:val="clear" w:color="auto" w:fill="ED7D31" w:themeFill="accent2"/>
            <w:vAlign w:val="center"/>
            <w:hideMark/>
          </w:tcPr>
          <w:p w14:paraId="08830289" w14:textId="77777777"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Fonte do Indicador</w:t>
            </w:r>
          </w:p>
        </w:tc>
      </w:tr>
      <w:tr w:rsidR="00DD7DD7" w:rsidRPr="00DD7DD7" w14:paraId="077977FB" w14:textId="77777777" w:rsidTr="00110DEC">
        <w:trPr>
          <w:trHeight w:val="1372"/>
        </w:trPr>
        <w:tc>
          <w:tcPr>
            <w:tcW w:w="1811" w:type="dxa"/>
            <w:vMerge w:val="restart"/>
            <w:tcBorders>
              <w:top w:val="nil"/>
              <w:left w:val="single" w:sz="8" w:space="0" w:color="auto"/>
              <w:bottom w:val="single" w:sz="4" w:space="0" w:color="000000"/>
              <w:right w:val="single" w:sz="4" w:space="0" w:color="auto"/>
            </w:tcBorders>
            <w:shd w:val="clear" w:color="F2F2F2" w:fill="FFFFFF"/>
            <w:vAlign w:val="center"/>
            <w:hideMark/>
          </w:tcPr>
          <w:p w14:paraId="48A3562E"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Processos Internos (Relação com a Sociedade)</w:t>
            </w:r>
          </w:p>
        </w:tc>
        <w:tc>
          <w:tcPr>
            <w:tcW w:w="1663" w:type="dxa"/>
            <w:vMerge w:val="restart"/>
            <w:tcBorders>
              <w:top w:val="single" w:sz="4" w:space="0" w:color="auto"/>
              <w:left w:val="single" w:sz="4" w:space="0" w:color="auto"/>
              <w:bottom w:val="single" w:sz="4" w:space="0" w:color="auto"/>
              <w:right w:val="single" w:sz="4" w:space="0" w:color="auto"/>
            </w:tcBorders>
            <w:shd w:val="clear" w:color="F2F2F2" w:fill="FFFFFF"/>
            <w:vAlign w:val="center"/>
            <w:hideMark/>
          </w:tcPr>
          <w:p w14:paraId="3D2E0E15"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Promover o exercício ético e qualificado da profissão</w:t>
            </w:r>
          </w:p>
        </w:tc>
        <w:tc>
          <w:tcPr>
            <w:tcW w:w="1629" w:type="dxa"/>
            <w:vMerge w:val="restart"/>
            <w:tcBorders>
              <w:top w:val="single" w:sz="4" w:space="0" w:color="auto"/>
              <w:left w:val="single" w:sz="4" w:space="0" w:color="auto"/>
              <w:bottom w:val="single" w:sz="4" w:space="0" w:color="auto"/>
              <w:right w:val="single" w:sz="4" w:space="0" w:color="auto"/>
            </w:tcBorders>
            <w:shd w:val="clear" w:color="F2F2F2" w:fill="FFFFFF"/>
            <w:vAlign w:val="center"/>
            <w:hideMark/>
          </w:tcPr>
          <w:p w14:paraId="2ADF20A2" w14:textId="428053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 xml:space="preserve">Índice de escolas que possuem disciplinas com conteúdo sobre a ética profissional </w:t>
            </w:r>
            <w:r w:rsidRPr="00DD7DD7">
              <w:rPr>
                <w:rFonts w:ascii="Calibri" w:eastAsia="Times New Roman" w:hAnsi="Calibri" w:cs="Calibri"/>
                <w:sz w:val="20"/>
                <w:szCs w:val="20"/>
                <w:lang w:eastAsia="pt-BR"/>
              </w:rPr>
              <w:br/>
            </w:r>
            <w:r w:rsidRPr="00DD7DD7">
              <w:rPr>
                <w:rFonts w:ascii="Calibri" w:eastAsia="Times New Roman" w:hAnsi="Calibri" w:cs="Calibri"/>
                <w:b/>
                <w:bCs/>
                <w:sz w:val="20"/>
                <w:szCs w:val="20"/>
                <w:lang w:eastAsia="pt-BR"/>
              </w:rPr>
              <w:t>(CAU/UF)</w:t>
            </w:r>
          </w:p>
        </w:tc>
        <w:tc>
          <w:tcPr>
            <w:tcW w:w="3828" w:type="dxa"/>
            <w:vMerge w:val="restart"/>
            <w:tcBorders>
              <w:top w:val="single" w:sz="4" w:space="0" w:color="auto"/>
              <w:left w:val="single" w:sz="4" w:space="0" w:color="auto"/>
              <w:bottom w:val="single" w:sz="4" w:space="0" w:color="auto"/>
              <w:right w:val="single" w:sz="4" w:space="0" w:color="auto"/>
            </w:tcBorders>
            <w:shd w:val="clear" w:color="F2F2F2" w:fill="FFFFFF"/>
            <w:vAlign w:val="center"/>
            <w:hideMark/>
          </w:tcPr>
          <w:p w14:paraId="4CF3BAFF" w14:textId="77777777" w:rsidR="00DD7DD7" w:rsidRPr="00DD7DD7" w:rsidRDefault="00DD7DD7" w:rsidP="00DD7DD7">
            <w:pPr>
              <w:spacing w:after="0" w:line="240" w:lineRule="auto"/>
              <w:jc w:val="both"/>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Não basta cobrar que os profissionais cumpram o código de ética da Arquitetura e Urbanismo. É preciso que eles sejam preparados nas universidades para entenderem a ética profissional, assim como sua aplicação na prática. Dessa forma, as universidades devem incluir a disciplina de ética em sua grade curricular de forma efetiva.</w:t>
            </w:r>
          </w:p>
        </w:tc>
        <w:tc>
          <w:tcPr>
            <w:tcW w:w="3402" w:type="dxa"/>
            <w:tcBorders>
              <w:top w:val="single" w:sz="4" w:space="0" w:color="auto"/>
              <w:left w:val="nil"/>
              <w:bottom w:val="single" w:sz="4" w:space="0" w:color="auto"/>
              <w:right w:val="nil"/>
            </w:tcBorders>
            <w:shd w:val="clear" w:color="F2F2F2" w:fill="FFFFFF"/>
            <w:vAlign w:val="bottom"/>
            <w:hideMark/>
          </w:tcPr>
          <w:p w14:paraId="3D59A1CD"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número de escolas da UF com a disciplina de ética profissional na grade curricular</w:t>
            </w:r>
          </w:p>
        </w:tc>
        <w:tc>
          <w:tcPr>
            <w:tcW w:w="711" w:type="dxa"/>
            <w:vMerge w:val="restart"/>
            <w:tcBorders>
              <w:top w:val="single" w:sz="4" w:space="0" w:color="auto"/>
              <w:left w:val="nil"/>
              <w:bottom w:val="single" w:sz="4" w:space="0" w:color="auto"/>
              <w:right w:val="single" w:sz="4" w:space="0" w:color="auto"/>
            </w:tcBorders>
            <w:shd w:val="clear" w:color="F2F2F2" w:fill="FFFFFF"/>
            <w:vAlign w:val="center"/>
            <w:hideMark/>
          </w:tcPr>
          <w:p w14:paraId="32A11528" w14:textId="77777777" w:rsidR="00DD7DD7" w:rsidRPr="00DD7DD7" w:rsidRDefault="00DD7DD7" w:rsidP="00DD7DD7">
            <w:pPr>
              <w:spacing w:after="0" w:line="240" w:lineRule="auto"/>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x 100</w:t>
            </w:r>
          </w:p>
        </w:tc>
        <w:tc>
          <w:tcPr>
            <w:tcW w:w="1134" w:type="dxa"/>
            <w:vMerge w:val="restart"/>
            <w:tcBorders>
              <w:top w:val="single" w:sz="4" w:space="0" w:color="auto"/>
              <w:left w:val="single" w:sz="4" w:space="0" w:color="auto"/>
              <w:bottom w:val="single" w:sz="4" w:space="0" w:color="auto"/>
              <w:right w:val="single" w:sz="4" w:space="0" w:color="auto"/>
            </w:tcBorders>
            <w:shd w:val="clear" w:color="F2F2F2" w:fill="FFFFFF"/>
            <w:vAlign w:val="center"/>
            <w:hideMark/>
          </w:tcPr>
          <w:p w14:paraId="68B577A5"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Anual</w:t>
            </w:r>
          </w:p>
        </w:tc>
        <w:tc>
          <w:tcPr>
            <w:tcW w:w="1418" w:type="dxa"/>
            <w:vMerge w:val="restart"/>
            <w:tcBorders>
              <w:top w:val="single" w:sz="4" w:space="0" w:color="auto"/>
              <w:left w:val="single" w:sz="4" w:space="0" w:color="auto"/>
              <w:bottom w:val="single" w:sz="4" w:space="0" w:color="auto"/>
              <w:right w:val="single" w:sz="8" w:space="0" w:color="auto"/>
            </w:tcBorders>
            <w:shd w:val="clear" w:color="F2F2F2" w:fill="FFFFFF"/>
            <w:vAlign w:val="center"/>
            <w:hideMark/>
          </w:tcPr>
          <w:p w14:paraId="14BBE629"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Comissão de ensino (CAU BR)</w:t>
            </w:r>
          </w:p>
        </w:tc>
      </w:tr>
      <w:tr w:rsidR="00DD7DD7" w:rsidRPr="00DD7DD7" w14:paraId="28476CC9" w14:textId="77777777" w:rsidTr="00110DEC">
        <w:trPr>
          <w:trHeight w:val="1246"/>
        </w:trPr>
        <w:tc>
          <w:tcPr>
            <w:tcW w:w="1811" w:type="dxa"/>
            <w:vMerge/>
            <w:tcBorders>
              <w:top w:val="nil"/>
              <w:left w:val="single" w:sz="8" w:space="0" w:color="auto"/>
              <w:bottom w:val="single" w:sz="4" w:space="0" w:color="000000"/>
              <w:right w:val="single" w:sz="4" w:space="0" w:color="auto"/>
            </w:tcBorders>
            <w:vAlign w:val="center"/>
            <w:hideMark/>
          </w:tcPr>
          <w:p w14:paraId="59FC9DCA"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4B3E44C5"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EE1131B"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14:paraId="0BA6CEF9"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3402" w:type="dxa"/>
            <w:tcBorders>
              <w:top w:val="nil"/>
              <w:left w:val="nil"/>
              <w:bottom w:val="single" w:sz="4" w:space="0" w:color="auto"/>
              <w:right w:val="nil"/>
            </w:tcBorders>
            <w:shd w:val="clear" w:color="F2F2F2" w:fill="FFFFFF"/>
            <w:hideMark/>
          </w:tcPr>
          <w:p w14:paraId="195EE9F8"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número total de escolas da UF</w:t>
            </w:r>
          </w:p>
        </w:tc>
        <w:tc>
          <w:tcPr>
            <w:tcW w:w="711" w:type="dxa"/>
            <w:vMerge/>
            <w:tcBorders>
              <w:top w:val="single" w:sz="4" w:space="0" w:color="auto"/>
              <w:left w:val="nil"/>
              <w:bottom w:val="single" w:sz="4" w:space="0" w:color="auto"/>
              <w:right w:val="single" w:sz="4" w:space="0" w:color="auto"/>
            </w:tcBorders>
            <w:vAlign w:val="center"/>
            <w:hideMark/>
          </w:tcPr>
          <w:p w14:paraId="69429BD1"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60A121"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418" w:type="dxa"/>
            <w:vMerge/>
            <w:tcBorders>
              <w:top w:val="single" w:sz="4" w:space="0" w:color="auto"/>
              <w:left w:val="single" w:sz="4" w:space="0" w:color="auto"/>
              <w:bottom w:val="single" w:sz="4" w:space="0" w:color="auto"/>
              <w:right w:val="single" w:sz="8" w:space="0" w:color="auto"/>
            </w:tcBorders>
            <w:vAlign w:val="center"/>
            <w:hideMark/>
          </w:tcPr>
          <w:p w14:paraId="051240AA" w14:textId="77777777" w:rsidR="00DD7DD7" w:rsidRPr="00DD7DD7" w:rsidRDefault="00DD7DD7" w:rsidP="00DD7DD7">
            <w:pPr>
              <w:spacing w:after="0" w:line="240" w:lineRule="auto"/>
              <w:rPr>
                <w:rFonts w:ascii="Calibri" w:eastAsia="Times New Roman" w:hAnsi="Calibri" w:cs="Calibri"/>
                <w:sz w:val="20"/>
                <w:szCs w:val="20"/>
                <w:lang w:eastAsia="pt-BR"/>
              </w:rPr>
            </w:pPr>
          </w:p>
        </w:tc>
      </w:tr>
      <w:tr w:rsidR="00DD7DD7" w:rsidRPr="00DD7DD7" w14:paraId="6547801E" w14:textId="77777777" w:rsidTr="003D0203">
        <w:trPr>
          <w:trHeight w:val="1136"/>
        </w:trPr>
        <w:tc>
          <w:tcPr>
            <w:tcW w:w="1811" w:type="dxa"/>
            <w:vMerge/>
            <w:tcBorders>
              <w:top w:val="nil"/>
              <w:left w:val="single" w:sz="8" w:space="0" w:color="auto"/>
              <w:bottom w:val="single" w:sz="4" w:space="0" w:color="000000"/>
              <w:right w:val="single" w:sz="4" w:space="0" w:color="auto"/>
            </w:tcBorders>
            <w:vAlign w:val="center"/>
            <w:hideMark/>
          </w:tcPr>
          <w:p w14:paraId="5725293E"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47AC21A4"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29" w:type="dxa"/>
            <w:vMerge w:val="restart"/>
            <w:tcBorders>
              <w:top w:val="nil"/>
              <w:left w:val="single" w:sz="4" w:space="0" w:color="auto"/>
              <w:bottom w:val="single" w:sz="4" w:space="0" w:color="auto"/>
              <w:right w:val="single" w:sz="4" w:space="0" w:color="auto"/>
            </w:tcBorders>
            <w:shd w:val="clear" w:color="F2F2F2" w:fill="FFFFFF"/>
            <w:vAlign w:val="center"/>
            <w:hideMark/>
          </w:tcPr>
          <w:p w14:paraId="31935C8E"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Índice de eficiência na conclusão de processos éticos (%)</w:t>
            </w:r>
            <w:r w:rsidRPr="00DD7DD7">
              <w:rPr>
                <w:rFonts w:ascii="Calibri" w:eastAsia="Times New Roman" w:hAnsi="Calibri" w:cs="Calibri"/>
                <w:sz w:val="20"/>
                <w:szCs w:val="20"/>
                <w:lang w:eastAsia="pt-BR"/>
              </w:rPr>
              <w:br/>
            </w:r>
            <w:r w:rsidRPr="00DD7DD7">
              <w:rPr>
                <w:rFonts w:ascii="Calibri" w:eastAsia="Times New Roman" w:hAnsi="Calibri" w:cs="Calibri"/>
                <w:b/>
                <w:bCs/>
                <w:sz w:val="20"/>
                <w:szCs w:val="20"/>
                <w:lang w:eastAsia="pt-BR"/>
              </w:rPr>
              <w:t>(CAU/UF)</w:t>
            </w:r>
          </w:p>
        </w:tc>
        <w:tc>
          <w:tcPr>
            <w:tcW w:w="3828" w:type="dxa"/>
            <w:vMerge w:val="restart"/>
            <w:tcBorders>
              <w:top w:val="nil"/>
              <w:left w:val="single" w:sz="4" w:space="0" w:color="auto"/>
              <w:bottom w:val="single" w:sz="4" w:space="0" w:color="auto"/>
              <w:right w:val="single" w:sz="4" w:space="0" w:color="auto"/>
            </w:tcBorders>
            <w:shd w:val="clear" w:color="F2F2F2" w:fill="FFFFFF"/>
            <w:vAlign w:val="center"/>
            <w:hideMark/>
          </w:tcPr>
          <w:p w14:paraId="7D529477" w14:textId="77777777" w:rsidR="00DD7DD7" w:rsidRPr="00DD7DD7" w:rsidRDefault="00DD7DD7" w:rsidP="00DD7DD7">
            <w:pPr>
              <w:spacing w:after="0" w:line="240" w:lineRule="auto"/>
              <w:jc w:val="both"/>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Para promover o exercício ético da profissão é preciso concluir os processos éticos em tempo razoável. Dessa forma, é possível dar uma resposta à sociedade sobre as questões julgadas e buscar o reconhecimento do trabalho sendo realizado.</w:t>
            </w:r>
          </w:p>
        </w:tc>
        <w:tc>
          <w:tcPr>
            <w:tcW w:w="3402" w:type="dxa"/>
            <w:tcBorders>
              <w:top w:val="nil"/>
              <w:left w:val="nil"/>
              <w:bottom w:val="single" w:sz="4" w:space="0" w:color="auto"/>
              <w:right w:val="nil"/>
            </w:tcBorders>
            <w:shd w:val="clear" w:color="F2F2F2" w:fill="FFFFFF"/>
            <w:vAlign w:val="bottom"/>
            <w:hideMark/>
          </w:tcPr>
          <w:p w14:paraId="6416941C"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número de processos éticos concluídos em um ano</w:t>
            </w:r>
          </w:p>
        </w:tc>
        <w:tc>
          <w:tcPr>
            <w:tcW w:w="711" w:type="dxa"/>
            <w:vMerge w:val="restart"/>
            <w:tcBorders>
              <w:top w:val="nil"/>
              <w:left w:val="nil"/>
              <w:bottom w:val="single" w:sz="4" w:space="0" w:color="auto"/>
              <w:right w:val="single" w:sz="4" w:space="0" w:color="auto"/>
            </w:tcBorders>
            <w:shd w:val="clear" w:color="F2F2F2" w:fill="FFFFFF"/>
            <w:vAlign w:val="center"/>
            <w:hideMark/>
          </w:tcPr>
          <w:p w14:paraId="513CF22D"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x 100</w:t>
            </w:r>
          </w:p>
        </w:tc>
        <w:tc>
          <w:tcPr>
            <w:tcW w:w="1134" w:type="dxa"/>
            <w:vMerge w:val="restart"/>
            <w:tcBorders>
              <w:top w:val="nil"/>
              <w:left w:val="single" w:sz="4" w:space="0" w:color="auto"/>
              <w:bottom w:val="single" w:sz="4" w:space="0" w:color="auto"/>
              <w:right w:val="single" w:sz="4" w:space="0" w:color="auto"/>
            </w:tcBorders>
            <w:shd w:val="clear" w:color="F2F2F2" w:fill="FFFFFF"/>
            <w:vAlign w:val="center"/>
            <w:hideMark/>
          </w:tcPr>
          <w:p w14:paraId="2A2399CA"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Anual</w:t>
            </w:r>
          </w:p>
        </w:tc>
        <w:tc>
          <w:tcPr>
            <w:tcW w:w="1418" w:type="dxa"/>
            <w:vMerge w:val="restart"/>
            <w:tcBorders>
              <w:top w:val="nil"/>
              <w:left w:val="single" w:sz="4" w:space="0" w:color="auto"/>
              <w:bottom w:val="single" w:sz="4" w:space="0" w:color="auto"/>
              <w:right w:val="single" w:sz="8" w:space="0" w:color="auto"/>
            </w:tcBorders>
            <w:shd w:val="clear" w:color="F2F2F2" w:fill="FFFFFF"/>
            <w:vAlign w:val="center"/>
            <w:hideMark/>
          </w:tcPr>
          <w:p w14:paraId="32CFB45F"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Comissão de ética do CAU/UF</w:t>
            </w:r>
          </w:p>
        </w:tc>
      </w:tr>
      <w:tr w:rsidR="00DD7DD7" w:rsidRPr="00DD7DD7" w14:paraId="32A649CD" w14:textId="77777777" w:rsidTr="003D0203">
        <w:trPr>
          <w:trHeight w:val="982"/>
        </w:trPr>
        <w:tc>
          <w:tcPr>
            <w:tcW w:w="1811" w:type="dxa"/>
            <w:vMerge/>
            <w:tcBorders>
              <w:top w:val="nil"/>
              <w:left w:val="single" w:sz="8" w:space="0" w:color="auto"/>
              <w:bottom w:val="single" w:sz="4" w:space="0" w:color="000000"/>
              <w:right w:val="single" w:sz="4" w:space="0" w:color="auto"/>
            </w:tcBorders>
            <w:vAlign w:val="center"/>
            <w:hideMark/>
          </w:tcPr>
          <w:p w14:paraId="030AF66A"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569BE91E"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29" w:type="dxa"/>
            <w:vMerge/>
            <w:tcBorders>
              <w:top w:val="nil"/>
              <w:left w:val="single" w:sz="4" w:space="0" w:color="auto"/>
              <w:bottom w:val="single" w:sz="4" w:space="0" w:color="auto"/>
              <w:right w:val="single" w:sz="4" w:space="0" w:color="auto"/>
            </w:tcBorders>
            <w:vAlign w:val="center"/>
            <w:hideMark/>
          </w:tcPr>
          <w:p w14:paraId="364B0EF9"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3828" w:type="dxa"/>
            <w:vMerge/>
            <w:tcBorders>
              <w:top w:val="nil"/>
              <w:left w:val="single" w:sz="4" w:space="0" w:color="auto"/>
              <w:bottom w:val="single" w:sz="4" w:space="0" w:color="auto"/>
              <w:right w:val="single" w:sz="4" w:space="0" w:color="auto"/>
            </w:tcBorders>
            <w:vAlign w:val="center"/>
            <w:hideMark/>
          </w:tcPr>
          <w:p w14:paraId="788A4696"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3402" w:type="dxa"/>
            <w:tcBorders>
              <w:top w:val="nil"/>
              <w:left w:val="nil"/>
              <w:bottom w:val="single" w:sz="4" w:space="0" w:color="auto"/>
              <w:right w:val="nil"/>
            </w:tcBorders>
            <w:shd w:val="clear" w:color="F2F2F2" w:fill="FFFFFF"/>
            <w:hideMark/>
          </w:tcPr>
          <w:p w14:paraId="6BC2EA6A"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número total de processos éticos abertos</w:t>
            </w:r>
          </w:p>
        </w:tc>
        <w:tc>
          <w:tcPr>
            <w:tcW w:w="711" w:type="dxa"/>
            <w:vMerge/>
            <w:tcBorders>
              <w:top w:val="nil"/>
              <w:left w:val="nil"/>
              <w:bottom w:val="single" w:sz="4" w:space="0" w:color="auto"/>
              <w:right w:val="single" w:sz="4" w:space="0" w:color="auto"/>
            </w:tcBorders>
            <w:vAlign w:val="center"/>
            <w:hideMark/>
          </w:tcPr>
          <w:p w14:paraId="2FA7E383"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56CFEDEF"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418" w:type="dxa"/>
            <w:vMerge/>
            <w:tcBorders>
              <w:top w:val="nil"/>
              <w:left w:val="single" w:sz="4" w:space="0" w:color="auto"/>
              <w:bottom w:val="single" w:sz="4" w:space="0" w:color="auto"/>
              <w:right w:val="single" w:sz="8" w:space="0" w:color="auto"/>
            </w:tcBorders>
            <w:vAlign w:val="center"/>
            <w:hideMark/>
          </w:tcPr>
          <w:p w14:paraId="01E7BF65" w14:textId="77777777" w:rsidR="00DD7DD7" w:rsidRPr="00DD7DD7" w:rsidRDefault="00DD7DD7" w:rsidP="00DD7DD7">
            <w:pPr>
              <w:spacing w:after="0" w:line="240" w:lineRule="auto"/>
              <w:rPr>
                <w:rFonts w:ascii="Calibri" w:eastAsia="Times New Roman" w:hAnsi="Calibri" w:cs="Calibri"/>
                <w:sz w:val="20"/>
                <w:szCs w:val="20"/>
                <w:lang w:eastAsia="pt-BR"/>
              </w:rPr>
            </w:pPr>
          </w:p>
        </w:tc>
      </w:tr>
      <w:tr w:rsidR="00DD7DD7" w:rsidRPr="00DD7DD7" w14:paraId="5ED68E5F" w14:textId="77777777" w:rsidTr="0054161E">
        <w:trPr>
          <w:trHeight w:val="982"/>
        </w:trPr>
        <w:tc>
          <w:tcPr>
            <w:tcW w:w="1811" w:type="dxa"/>
            <w:vMerge/>
            <w:tcBorders>
              <w:top w:val="nil"/>
              <w:left w:val="single" w:sz="8" w:space="0" w:color="auto"/>
              <w:bottom w:val="single" w:sz="4" w:space="0" w:color="000000"/>
              <w:right w:val="single" w:sz="4" w:space="0" w:color="auto"/>
            </w:tcBorders>
            <w:vAlign w:val="center"/>
            <w:hideMark/>
          </w:tcPr>
          <w:p w14:paraId="306A1B96"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71B1195D"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26F6C1"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Eficiência no trâmite de processos éticos (dias)</w:t>
            </w:r>
            <w:r w:rsidRPr="00DD7DD7">
              <w:rPr>
                <w:rFonts w:ascii="Calibri" w:eastAsia="Times New Roman" w:hAnsi="Calibri" w:cs="Calibri"/>
                <w:sz w:val="20"/>
                <w:szCs w:val="20"/>
                <w:lang w:eastAsia="pt-BR"/>
              </w:rPr>
              <w:br/>
            </w:r>
            <w:r w:rsidRPr="00DD7DD7">
              <w:rPr>
                <w:rFonts w:ascii="Calibri" w:eastAsia="Times New Roman" w:hAnsi="Calibri" w:cs="Calibri"/>
                <w:b/>
                <w:bCs/>
                <w:sz w:val="20"/>
                <w:szCs w:val="20"/>
                <w:lang w:eastAsia="pt-BR"/>
              </w:rPr>
              <w:t>(CAU/UF)</w:t>
            </w:r>
          </w:p>
        </w:tc>
        <w:tc>
          <w:tcPr>
            <w:tcW w:w="3828" w:type="dxa"/>
            <w:vMerge w:val="restart"/>
            <w:tcBorders>
              <w:top w:val="nil"/>
              <w:left w:val="single" w:sz="4" w:space="0" w:color="auto"/>
              <w:bottom w:val="single" w:sz="4" w:space="0" w:color="000000"/>
              <w:right w:val="single" w:sz="4" w:space="0" w:color="auto"/>
            </w:tcBorders>
            <w:shd w:val="clear" w:color="F2F2F2" w:fill="FFFFFF"/>
            <w:vAlign w:val="center"/>
            <w:hideMark/>
          </w:tcPr>
          <w:p w14:paraId="1BD5083B" w14:textId="1DCE4BC7" w:rsidR="00DD7DD7" w:rsidRPr="00DD7DD7" w:rsidRDefault="00DD7DD7" w:rsidP="00DD7DD7">
            <w:pPr>
              <w:spacing w:after="0" w:line="240" w:lineRule="auto"/>
              <w:jc w:val="both"/>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 xml:space="preserve">Para promover o exercício ético e qualificado da profissão é preciso concluir os processos de ética em tempo razoável. Dessa forma, é possível dar uma resposta à sociedade sobre as questões julgadas e buscar o reconhecimento do trabalho sendo realizado. O </w:t>
            </w:r>
            <w:r w:rsidR="003D0203" w:rsidRPr="00DD7DD7">
              <w:rPr>
                <w:rFonts w:ascii="Calibri" w:eastAsia="Times New Roman" w:hAnsi="Calibri" w:cs="Calibri"/>
                <w:sz w:val="20"/>
                <w:szCs w:val="20"/>
                <w:lang w:eastAsia="pt-BR"/>
              </w:rPr>
              <w:t>índice</w:t>
            </w:r>
            <w:r w:rsidRPr="00DD7DD7">
              <w:rPr>
                <w:rFonts w:ascii="Calibri" w:eastAsia="Times New Roman" w:hAnsi="Calibri" w:cs="Calibri"/>
                <w:sz w:val="20"/>
                <w:szCs w:val="20"/>
                <w:lang w:eastAsia="pt-BR"/>
              </w:rPr>
              <w:t xml:space="preserve"> ideal é maior ou igual a 1.</w:t>
            </w:r>
          </w:p>
        </w:tc>
        <w:tc>
          <w:tcPr>
            <w:tcW w:w="4113" w:type="dxa"/>
            <w:gridSpan w:val="2"/>
            <w:tcBorders>
              <w:top w:val="single" w:sz="4" w:space="0" w:color="auto"/>
              <w:left w:val="nil"/>
              <w:bottom w:val="single" w:sz="4" w:space="0" w:color="auto"/>
              <w:right w:val="single" w:sz="4" w:space="0" w:color="000000"/>
            </w:tcBorders>
            <w:shd w:val="clear" w:color="000000" w:fill="FFFFFF"/>
            <w:vAlign w:val="bottom"/>
            <w:hideMark/>
          </w:tcPr>
          <w:p w14:paraId="56A98929"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tempo médio de conclusão de processos éticos</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FFDFE8"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Semestral</w:t>
            </w:r>
          </w:p>
        </w:tc>
        <w:tc>
          <w:tcPr>
            <w:tcW w:w="1418" w:type="dxa"/>
            <w:vMerge w:val="restart"/>
            <w:tcBorders>
              <w:top w:val="nil"/>
              <w:left w:val="single" w:sz="4" w:space="0" w:color="auto"/>
              <w:bottom w:val="single" w:sz="4" w:space="0" w:color="auto"/>
              <w:right w:val="single" w:sz="8" w:space="0" w:color="auto"/>
            </w:tcBorders>
            <w:shd w:val="clear" w:color="F2F2F2" w:fill="FFFFFF"/>
            <w:vAlign w:val="center"/>
            <w:hideMark/>
          </w:tcPr>
          <w:p w14:paraId="333DA458"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Comissão de ética do CAU/UF</w:t>
            </w:r>
          </w:p>
        </w:tc>
      </w:tr>
      <w:tr w:rsidR="00DD7DD7" w:rsidRPr="00DD7DD7" w14:paraId="7EAD1174" w14:textId="77777777" w:rsidTr="0054161E">
        <w:trPr>
          <w:trHeight w:val="1046"/>
        </w:trPr>
        <w:tc>
          <w:tcPr>
            <w:tcW w:w="1811" w:type="dxa"/>
            <w:vMerge/>
            <w:tcBorders>
              <w:top w:val="nil"/>
              <w:left w:val="single" w:sz="8" w:space="0" w:color="auto"/>
              <w:bottom w:val="single" w:sz="4" w:space="0" w:color="000000"/>
              <w:right w:val="single" w:sz="4" w:space="0" w:color="auto"/>
            </w:tcBorders>
            <w:vAlign w:val="center"/>
            <w:hideMark/>
          </w:tcPr>
          <w:p w14:paraId="6820BA83"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4AA011ED"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29" w:type="dxa"/>
            <w:vMerge/>
            <w:tcBorders>
              <w:top w:val="nil"/>
              <w:left w:val="single" w:sz="4" w:space="0" w:color="auto"/>
              <w:bottom w:val="single" w:sz="4" w:space="0" w:color="auto"/>
              <w:right w:val="single" w:sz="4" w:space="0" w:color="auto"/>
            </w:tcBorders>
            <w:vAlign w:val="center"/>
            <w:hideMark/>
          </w:tcPr>
          <w:p w14:paraId="79DC7EDF"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3828" w:type="dxa"/>
            <w:vMerge/>
            <w:tcBorders>
              <w:top w:val="nil"/>
              <w:left w:val="single" w:sz="4" w:space="0" w:color="auto"/>
              <w:bottom w:val="single" w:sz="4" w:space="0" w:color="000000"/>
              <w:right w:val="single" w:sz="4" w:space="0" w:color="auto"/>
            </w:tcBorders>
            <w:vAlign w:val="center"/>
            <w:hideMark/>
          </w:tcPr>
          <w:p w14:paraId="1AFC1FAF"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4113" w:type="dxa"/>
            <w:gridSpan w:val="2"/>
            <w:tcBorders>
              <w:top w:val="nil"/>
              <w:left w:val="nil"/>
              <w:bottom w:val="single" w:sz="4" w:space="0" w:color="auto"/>
              <w:right w:val="single" w:sz="4" w:space="0" w:color="000000"/>
            </w:tcBorders>
            <w:shd w:val="clear" w:color="000000" w:fill="FFFFFF"/>
            <w:hideMark/>
          </w:tcPr>
          <w:p w14:paraId="55583AFD"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tempo máximo para conclusão de processo</w:t>
            </w:r>
          </w:p>
        </w:tc>
        <w:tc>
          <w:tcPr>
            <w:tcW w:w="1134" w:type="dxa"/>
            <w:vMerge/>
            <w:tcBorders>
              <w:top w:val="nil"/>
              <w:left w:val="single" w:sz="4" w:space="0" w:color="auto"/>
              <w:bottom w:val="single" w:sz="4" w:space="0" w:color="auto"/>
              <w:right w:val="single" w:sz="4" w:space="0" w:color="auto"/>
            </w:tcBorders>
            <w:vAlign w:val="center"/>
            <w:hideMark/>
          </w:tcPr>
          <w:p w14:paraId="34DBE184"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418" w:type="dxa"/>
            <w:vMerge/>
            <w:tcBorders>
              <w:top w:val="nil"/>
              <w:left w:val="single" w:sz="4" w:space="0" w:color="auto"/>
              <w:bottom w:val="single" w:sz="4" w:space="0" w:color="auto"/>
              <w:right w:val="single" w:sz="8" w:space="0" w:color="auto"/>
            </w:tcBorders>
            <w:vAlign w:val="center"/>
            <w:hideMark/>
          </w:tcPr>
          <w:p w14:paraId="7267441D" w14:textId="77777777" w:rsidR="00DD7DD7" w:rsidRPr="00DD7DD7" w:rsidRDefault="00DD7DD7" w:rsidP="00DD7DD7">
            <w:pPr>
              <w:spacing w:after="0" w:line="240" w:lineRule="auto"/>
              <w:rPr>
                <w:rFonts w:ascii="Calibri" w:eastAsia="Times New Roman" w:hAnsi="Calibri" w:cs="Calibri"/>
                <w:sz w:val="20"/>
                <w:szCs w:val="20"/>
                <w:lang w:eastAsia="pt-BR"/>
              </w:rPr>
            </w:pPr>
          </w:p>
        </w:tc>
      </w:tr>
    </w:tbl>
    <w:p w14:paraId="2796CBC7" w14:textId="65F4E2E6" w:rsidR="005363EF" w:rsidRDefault="00B303D1" w:rsidP="00B303D1">
      <w:pPr>
        <w:tabs>
          <w:tab w:val="left" w:pos="7798"/>
        </w:tabs>
        <w:spacing w:line="360" w:lineRule="auto"/>
        <w:ind w:left="-567"/>
        <w:jc w:val="both"/>
        <w:rPr>
          <w:rFonts w:eastAsia="Arial Unicode MS" w:cs="Calibri"/>
          <w:sz w:val="24"/>
          <w:szCs w:val="24"/>
        </w:rPr>
      </w:pPr>
      <w:r>
        <w:rPr>
          <w:rFonts w:eastAsia="Arial Unicode MS" w:cs="Calibri"/>
          <w:sz w:val="24"/>
          <w:szCs w:val="24"/>
        </w:rPr>
        <w:tab/>
      </w:r>
    </w:p>
    <w:p w14:paraId="78B6DDF0" w14:textId="76C441B0" w:rsidR="00D27C60" w:rsidRPr="004719E1" w:rsidRDefault="00D27C60" w:rsidP="00D27C60">
      <w:pPr>
        <w:spacing w:after="0"/>
        <w:ind w:left="-567"/>
        <w:rPr>
          <w:rFonts w:asciiTheme="majorHAnsi" w:hAnsiTheme="majorHAnsi" w:cstheme="majorHAnsi"/>
          <w:b/>
          <w:bCs/>
        </w:rPr>
      </w:pPr>
      <w:r w:rsidRPr="004719E1">
        <w:rPr>
          <w:rFonts w:asciiTheme="majorHAnsi" w:hAnsiTheme="majorHAnsi" w:cstheme="majorHAnsi"/>
          <w:b/>
          <w:bCs/>
        </w:rPr>
        <w:t>ANEXO I.i – Indicadores Institucionais e de Resultado – CAU UF</w:t>
      </w:r>
    </w:p>
    <w:tbl>
      <w:tblPr>
        <w:tblW w:w="15593" w:type="dxa"/>
        <w:tblInd w:w="-577" w:type="dxa"/>
        <w:tblCellMar>
          <w:left w:w="70" w:type="dxa"/>
          <w:right w:w="70" w:type="dxa"/>
        </w:tblCellMar>
        <w:tblLook w:val="04A0" w:firstRow="1" w:lastRow="0" w:firstColumn="1" w:lastColumn="0" w:noHBand="0" w:noVBand="1"/>
      </w:tblPr>
      <w:tblGrid>
        <w:gridCol w:w="1905"/>
        <w:gridCol w:w="1485"/>
        <w:gridCol w:w="1997"/>
        <w:gridCol w:w="4252"/>
        <w:gridCol w:w="2551"/>
        <w:gridCol w:w="709"/>
        <w:gridCol w:w="1276"/>
        <w:gridCol w:w="1418"/>
      </w:tblGrid>
      <w:tr w:rsidR="00487F4C" w:rsidRPr="00487F4C" w14:paraId="7BCC1D1B" w14:textId="77777777" w:rsidTr="00335B2F">
        <w:trPr>
          <w:trHeight w:val="1575"/>
        </w:trPr>
        <w:tc>
          <w:tcPr>
            <w:tcW w:w="1905"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29F27F9A" w14:textId="77777777"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Perspectiva</w:t>
            </w:r>
          </w:p>
        </w:tc>
        <w:tc>
          <w:tcPr>
            <w:tcW w:w="1485" w:type="dxa"/>
            <w:tcBorders>
              <w:top w:val="single" w:sz="8" w:space="0" w:color="auto"/>
              <w:left w:val="nil"/>
              <w:bottom w:val="single" w:sz="8" w:space="0" w:color="auto"/>
              <w:right w:val="single" w:sz="4" w:space="0" w:color="auto"/>
            </w:tcBorders>
            <w:shd w:val="clear" w:color="auto" w:fill="ED7D31" w:themeFill="accent2"/>
            <w:vAlign w:val="center"/>
            <w:hideMark/>
          </w:tcPr>
          <w:p w14:paraId="57160566" w14:textId="77777777"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Objetivo Estratégico</w:t>
            </w:r>
          </w:p>
        </w:tc>
        <w:tc>
          <w:tcPr>
            <w:tcW w:w="1997" w:type="dxa"/>
            <w:tcBorders>
              <w:top w:val="single" w:sz="8" w:space="0" w:color="auto"/>
              <w:left w:val="nil"/>
              <w:bottom w:val="single" w:sz="8" w:space="0" w:color="auto"/>
              <w:right w:val="single" w:sz="4" w:space="0" w:color="auto"/>
            </w:tcBorders>
            <w:shd w:val="clear" w:color="auto" w:fill="ED7D31" w:themeFill="accent2"/>
            <w:vAlign w:val="center"/>
            <w:hideMark/>
          </w:tcPr>
          <w:p w14:paraId="02D9EB5B" w14:textId="32318163"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Indicador</w:t>
            </w:r>
          </w:p>
        </w:tc>
        <w:tc>
          <w:tcPr>
            <w:tcW w:w="4252" w:type="dxa"/>
            <w:tcBorders>
              <w:top w:val="single" w:sz="8" w:space="0" w:color="auto"/>
              <w:left w:val="nil"/>
              <w:bottom w:val="single" w:sz="8" w:space="0" w:color="auto"/>
              <w:right w:val="single" w:sz="4" w:space="0" w:color="auto"/>
            </w:tcBorders>
            <w:shd w:val="clear" w:color="auto" w:fill="ED7D31" w:themeFill="accent2"/>
            <w:vAlign w:val="center"/>
            <w:hideMark/>
          </w:tcPr>
          <w:p w14:paraId="7D26B89A" w14:textId="77777777"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Descrição</w:t>
            </w:r>
          </w:p>
        </w:tc>
        <w:tc>
          <w:tcPr>
            <w:tcW w:w="3260" w:type="dxa"/>
            <w:gridSpan w:val="2"/>
            <w:tcBorders>
              <w:top w:val="single" w:sz="8" w:space="0" w:color="auto"/>
              <w:left w:val="nil"/>
              <w:bottom w:val="single" w:sz="8" w:space="0" w:color="auto"/>
              <w:right w:val="single" w:sz="4" w:space="0" w:color="auto"/>
            </w:tcBorders>
            <w:shd w:val="clear" w:color="auto" w:fill="ED7D31" w:themeFill="accent2"/>
            <w:noWrap/>
            <w:vAlign w:val="center"/>
            <w:hideMark/>
          </w:tcPr>
          <w:p w14:paraId="5184F524" w14:textId="77777777"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Fórmula de Cálculo</w:t>
            </w:r>
          </w:p>
        </w:tc>
        <w:tc>
          <w:tcPr>
            <w:tcW w:w="1276" w:type="dxa"/>
            <w:tcBorders>
              <w:top w:val="single" w:sz="8" w:space="0" w:color="auto"/>
              <w:left w:val="nil"/>
              <w:bottom w:val="single" w:sz="8" w:space="0" w:color="auto"/>
              <w:right w:val="single" w:sz="4" w:space="0" w:color="auto"/>
            </w:tcBorders>
            <w:shd w:val="clear" w:color="auto" w:fill="ED7D31" w:themeFill="accent2"/>
            <w:vAlign w:val="center"/>
            <w:hideMark/>
          </w:tcPr>
          <w:p w14:paraId="74BD46F5" w14:textId="77777777"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Frequência</w:t>
            </w:r>
            <w:r w:rsidRPr="00487F4C">
              <w:rPr>
                <w:rFonts w:ascii="Calibri" w:eastAsia="Times New Roman" w:hAnsi="Calibri" w:cs="Calibri"/>
                <w:b/>
                <w:bCs/>
                <w:color w:val="FFFFFF"/>
                <w:sz w:val="20"/>
                <w:szCs w:val="20"/>
                <w:lang w:eastAsia="pt-BR"/>
              </w:rPr>
              <w:br/>
              <w:t>de Medição</w:t>
            </w:r>
          </w:p>
        </w:tc>
        <w:tc>
          <w:tcPr>
            <w:tcW w:w="1418" w:type="dxa"/>
            <w:tcBorders>
              <w:top w:val="single" w:sz="8" w:space="0" w:color="auto"/>
              <w:left w:val="nil"/>
              <w:bottom w:val="single" w:sz="8" w:space="0" w:color="auto"/>
              <w:right w:val="single" w:sz="8" w:space="0" w:color="auto"/>
            </w:tcBorders>
            <w:shd w:val="clear" w:color="auto" w:fill="ED7D31" w:themeFill="accent2"/>
            <w:vAlign w:val="center"/>
            <w:hideMark/>
          </w:tcPr>
          <w:p w14:paraId="1C581FE4" w14:textId="77777777"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Fonte do Indicador</w:t>
            </w:r>
          </w:p>
        </w:tc>
      </w:tr>
      <w:tr w:rsidR="00487F4C" w:rsidRPr="00487F4C" w14:paraId="3ABC87DA" w14:textId="77777777" w:rsidTr="006A71FC">
        <w:trPr>
          <w:trHeight w:val="870"/>
        </w:trPr>
        <w:tc>
          <w:tcPr>
            <w:tcW w:w="1905" w:type="dxa"/>
            <w:vMerge w:val="restart"/>
            <w:tcBorders>
              <w:top w:val="nil"/>
              <w:left w:val="single" w:sz="8" w:space="0" w:color="auto"/>
              <w:bottom w:val="single" w:sz="4" w:space="0" w:color="000000"/>
              <w:right w:val="single" w:sz="4" w:space="0" w:color="auto"/>
            </w:tcBorders>
            <w:shd w:val="clear" w:color="F2F2F2" w:fill="FFFFFF"/>
            <w:vAlign w:val="center"/>
            <w:hideMark/>
          </w:tcPr>
          <w:p w14:paraId="60858640"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Processos Internos (Relação com a Sociedade)</w:t>
            </w:r>
          </w:p>
        </w:tc>
        <w:tc>
          <w:tcPr>
            <w:tcW w:w="14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7C1F63"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Fomentar o acesso da sociedade à Arquitetura e Urbanismo</w:t>
            </w:r>
          </w:p>
        </w:tc>
        <w:tc>
          <w:tcPr>
            <w:tcW w:w="199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DCD0683"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Índice de RRT por população (1.000 habitantes) (%)</w:t>
            </w:r>
            <w:r w:rsidRPr="00487F4C">
              <w:rPr>
                <w:rFonts w:ascii="Calibri" w:eastAsia="Times New Roman" w:hAnsi="Calibri" w:cs="Calibri"/>
                <w:sz w:val="20"/>
                <w:szCs w:val="20"/>
                <w:lang w:eastAsia="pt-BR"/>
              </w:rPr>
              <w:br/>
            </w:r>
            <w:r w:rsidRPr="00487F4C">
              <w:rPr>
                <w:rFonts w:ascii="Calibri" w:eastAsia="Times New Roman" w:hAnsi="Calibri" w:cs="Calibri"/>
                <w:b/>
                <w:bCs/>
                <w:sz w:val="20"/>
                <w:szCs w:val="20"/>
                <w:lang w:eastAsia="pt-BR"/>
              </w:rPr>
              <w:t>(CAU/UF)</w:t>
            </w:r>
          </w:p>
        </w:tc>
        <w:tc>
          <w:tcPr>
            <w:tcW w:w="42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D7F98A5" w14:textId="77777777" w:rsidR="00487F4C" w:rsidRPr="00487F4C" w:rsidRDefault="00487F4C" w:rsidP="00487F4C">
            <w:pPr>
              <w:spacing w:after="0" w:line="240" w:lineRule="auto"/>
              <w:jc w:val="both"/>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Mede se a população de cada Estado está usando mais serviços de Arquitetura e Urbanismo por meio do aumento do total de RRTs pagos na UF em comparação com sua população. </w:t>
            </w:r>
          </w:p>
        </w:tc>
        <w:tc>
          <w:tcPr>
            <w:tcW w:w="3260" w:type="dxa"/>
            <w:gridSpan w:val="2"/>
            <w:tcBorders>
              <w:top w:val="single" w:sz="4" w:space="0" w:color="auto"/>
              <w:left w:val="nil"/>
              <w:bottom w:val="single" w:sz="4" w:space="0" w:color="auto"/>
              <w:right w:val="single" w:sz="4" w:space="0" w:color="000000"/>
            </w:tcBorders>
            <w:shd w:val="clear" w:color="000000" w:fill="FFFFFF"/>
            <w:vAlign w:val="bottom"/>
            <w:hideMark/>
          </w:tcPr>
          <w:p w14:paraId="030FCF9B"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total de RRT na UF</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09C22BC"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Trimestral</w:t>
            </w:r>
          </w:p>
        </w:tc>
        <w:tc>
          <w:tcPr>
            <w:tcW w:w="1418" w:type="dxa"/>
            <w:vMerge w:val="restart"/>
            <w:tcBorders>
              <w:top w:val="single" w:sz="4" w:space="0" w:color="auto"/>
              <w:left w:val="single" w:sz="4" w:space="0" w:color="auto"/>
              <w:bottom w:val="single" w:sz="4" w:space="0" w:color="000000"/>
              <w:right w:val="single" w:sz="8" w:space="0" w:color="auto"/>
            </w:tcBorders>
            <w:shd w:val="clear" w:color="000000" w:fill="FFFFFF"/>
            <w:vAlign w:val="center"/>
            <w:hideMark/>
          </w:tcPr>
          <w:p w14:paraId="50ED4D55"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SICCAU/IGEO, Ministério das Cidades</w:t>
            </w:r>
          </w:p>
        </w:tc>
      </w:tr>
      <w:tr w:rsidR="00487F4C" w:rsidRPr="00487F4C" w14:paraId="38C22672" w14:textId="77777777" w:rsidTr="006A71FC">
        <w:trPr>
          <w:trHeight w:val="870"/>
        </w:trPr>
        <w:tc>
          <w:tcPr>
            <w:tcW w:w="1905" w:type="dxa"/>
            <w:vMerge/>
            <w:tcBorders>
              <w:top w:val="nil"/>
              <w:left w:val="single" w:sz="8" w:space="0" w:color="auto"/>
              <w:bottom w:val="single" w:sz="4" w:space="0" w:color="000000"/>
              <w:right w:val="single" w:sz="4" w:space="0" w:color="auto"/>
            </w:tcBorders>
            <w:vAlign w:val="center"/>
            <w:hideMark/>
          </w:tcPr>
          <w:p w14:paraId="6DB48518"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85" w:type="dxa"/>
            <w:vMerge/>
            <w:tcBorders>
              <w:top w:val="nil"/>
              <w:left w:val="single" w:sz="4" w:space="0" w:color="auto"/>
              <w:bottom w:val="single" w:sz="4" w:space="0" w:color="000000"/>
              <w:right w:val="single" w:sz="4" w:space="0" w:color="auto"/>
            </w:tcBorders>
            <w:vAlign w:val="center"/>
            <w:hideMark/>
          </w:tcPr>
          <w:p w14:paraId="4162CDD3"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997" w:type="dxa"/>
            <w:vMerge/>
            <w:tcBorders>
              <w:top w:val="single" w:sz="4" w:space="0" w:color="auto"/>
              <w:left w:val="single" w:sz="4" w:space="0" w:color="auto"/>
              <w:bottom w:val="single" w:sz="4" w:space="0" w:color="000000"/>
              <w:right w:val="single" w:sz="4" w:space="0" w:color="auto"/>
            </w:tcBorders>
            <w:vAlign w:val="center"/>
            <w:hideMark/>
          </w:tcPr>
          <w:p w14:paraId="067EE4E8"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4252" w:type="dxa"/>
            <w:vMerge/>
            <w:tcBorders>
              <w:top w:val="single" w:sz="4" w:space="0" w:color="auto"/>
              <w:left w:val="single" w:sz="4" w:space="0" w:color="auto"/>
              <w:bottom w:val="single" w:sz="4" w:space="0" w:color="000000"/>
              <w:right w:val="single" w:sz="4" w:space="0" w:color="auto"/>
            </w:tcBorders>
            <w:vAlign w:val="center"/>
            <w:hideMark/>
          </w:tcPr>
          <w:p w14:paraId="4D20562C"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3260" w:type="dxa"/>
            <w:gridSpan w:val="2"/>
            <w:tcBorders>
              <w:top w:val="nil"/>
              <w:left w:val="nil"/>
              <w:bottom w:val="single" w:sz="4" w:space="0" w:color="auto"/>
              <w:right w:val="single" w:sz="4" w:space="0" w:color="000000"/>
            </w:tcBorders>
            <w:shd w:val="clear" w:color="000000" w:fill="FFFFFF"/>
            <w:hideMark/>
          </w:tcPr>
          <w:p w14:paraId="6C96B12B"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população total da UF/1000 habitantes</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C17C0FE"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18" w:type="dxa"/>
            <w:vMerge/>
            <w:tcBorders>
              <w:top w:val="single" w:sz="4" w:space="0" w:color="auto"/>
              <w:left w:val="single" w:sz="4" w:space="0" w:color="auto"/>
              <w:bottom w:val="single" w:sz="4" w:space="0" w:color="000000"/>
              <w:right w:val="single" w:sz="8" w:space="0" w:color="auto"/>
            </w:tcBorders>
            <w:vAlign w:val="center"/>
            <w:hideMark/>
          </w:tcPr>
          <w:p w14:paraId="6653D292" w14:textId="77777777" w:rsidR="00487F4C" w:rsidRPr="00487F4C" w:rsidRDefault="00487F4C" w:rsidP="00487F4C">
            <w:pPr>
              <w:spacing w:after="0" w:line="240" w:lineRule="auto"/>
              <w:rPr>
                <w:rFonts w:ascii="Calibri" w:eastAsia="Times New Roman" w:hAnsi="Calibri" w:cs="Calibri"/>
                <w:sz w:val="20"/>
                <w:szCs w:val="20"/>
                <w:lang w:eastAsia="pt-BR"/>
              </w:rPr>
            </w:pPr>
          </w:p>
        </w:tc>
      </w:tr>
      <w:tr w:rsidR="00487F4C" w:rsidRPr="00487F4C" w14:paraId="4FD12386" w14:textId="77777777" w:rsidTr="006A71FC">
        <w:trPr>
          <w:trHeight w:val="870"/>
        </w:trPr>
        <w:tc>
          <w:tcPr>
            <w:tcW w:w="1905" w:type="dxa"/>
            <w:vMerge/>
            <w:tcBorders>
              <w:top w:val="nil"/>
              <w:left w:val="single" w:sz="8" w:space="0" w:color="auto"/>
              <w:bottom w:val="single" w:sz="4" w:space="0" w:color="000000"/>
              <w:right w:val="single" w:sz="4" w:space="0" w:color="auto"/>
            </w:tcBorders>
            <w:vAlign w:val="center"/>
            <w:hideMark/>
          </w:tcPr>
          <w:p w14:paraId="0B49C37A"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85" w:type="dxa"/>
            <w:vMerge/>
            <w:tcBorders>
              <w:top w:val="nil"/>
              <w:left w:val="single" w:sz="4" w:space="0" w:color="auto"/>
              <w:bottom w:val="single" w:sz="4" w:space="0" w:color="000000"/>
              <w:right w:val="single" w:sz="4" w:space="0" w:color="auto"/>
            </w:tcBorders>
            <w:vAlign w:val="center"/>
            <w:hideMark/>
          </w:tcPr>
          <w:p w14:paraId="27DCCD8E"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99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C676D5"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Índice de RRT mínimos (%)</w:t>
            </w:r>
            <w:r w:rsidRPr="00487F4C">
              <w:rPr>
                <w:rFonts w:ascii="Calibri" w:eastAsia="Times New Roman" w:hAnsi="Calibri" w:cs="Calibri"/>
                <w:sz w:val="20"/>
                <w:szCs w:val="20"/>
                <w:lang w:eastAsia="pt-BR"/>
              </w:rPr>
              <w:br/>
            </w:r>
            <w:r w:rsidRPr="00487F4C">
              <w:rPr>
                <w:rFonts w:ascii="Calibri" w:eastAsia="Times New Roman" w:hAnsi="Calibri" w:cs="Calibri"/>
                <w:b/>
                <w:bCs/>
                <w:sz w:val="20"/>
                <w:szCs w:val="20"/>
                <w:lang w:eastAsia="pt-BR"/>
              </w:rPr>
              <w:t>(CAU/UF)</w:t>
            </w:r>
          </w:p>
        </w:tc>
        <w:tc>
          <w:tcPr>
            <w:tcW w:w="425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C9B6B3" w14:textId="77777777" w:rsidR="00487F4C" w:rsidRPr="00487F4C" w:rsidRDefault="00487F4C" w:rsidP="00487F4C">
            <w:pPr>
              <w:spacing w:after="0" w:line="240" w:lineRule="auto"/>
              <w:jc w:val="both"/>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Mede se a população mais carente está tendo mais acesso aos serviços de Arquitetura e Urbanismo pelo aumento de RRTs mínimos pagos em relação ao total de RRTs pagos.</w:t>
            </w:r>
          </w:p>
        </w:tc>
        <w:tc>
          <w:tcPr>
            <w:tcW w:w="2551" w:type="dxa"/>
            <w:tcBorders>
              <w:top w:val="nil"/>
              <w:left w:val="nil"/>
              <w:bottom w:val="single" w:sz="4" w:space="0" w:color="auto"/>
              <w:right w:val="nil"/>
            </w:tcBorders>
            <w:shd w:val="clear" w:color="000000" w:fill="FFFFFF"/>
            <w:vAlign w:val="bottom"/>
            <w:hideMark/>
          </w:tcPr>
          <w:p w14:paraId="0972CB65"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RRT mínima</w:t>
            </w:r>
          </w:p>
        </w:tc>
        <w:tc>
          <w:tcPr>
            <w:tcW w:w="709" w:type="dxa"/>
            <w:vMerge w:val="restart"/>
            <w:tcBorders>
              <w:top w:val="nil"/>
              <w:left w:val="nil"/>
              <w:bottom w:val="single" w:sz="4" w:space="0" w:color="000000"/>
              <w:right w:val="single" w:sz="4" w:space="0" w:color="auto"/>
            </w:tcBorders>
            <w:shd w:val="clear" w:color="000000" w:fill="FFFFFF"/>
            <w:vAlign w:val="center"/>
            <w:hideMark/>
          </w:tcPr>
          <w:p w14:paraId="13F1976B" w14:textId="77777777" w:rsidR="00487F4C" w:rsidRPr="00487F4C" w:rsidRDefault="00487F4C" w:rsidP="007E4347">
            <w:pPr>
              <w:spacing w:after="0" w:line="240" w:lineRule="auto"/>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x 100</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4AA06A"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Trimestral</w:t>
            </w:r>
          </w:p>
        </w:tc>
        <w:tc>
          <w:tcPr>
            <w:tcW w:w="1418"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67F8D35A"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SICCAU/IGEO </w:t>
            </w:r>
          </w:p>
        </w:tc>
      </w:tr>
      <w:tr w:rsidR="00487F4C" w:rsidRPr="00487F4C" w14:paraId="4EA74D79" w14:textId="77777777" w:rsidTr="006A71FC">
        <w:trPr>
          <w:trHeight w:val="870"/>
        </w:trPr>
        <w:tc>
          <w:tcPr>
            <w:tcW w:w="1905" w:type="dxa"/>
            <w:vMerge/>
            <w:tcBorders>
              <w:top w:val="nil"/>
              <w:left w:val="single" w:sz="8" w:space="0" w:color="auto"/>
              <w:bottom w:val="single" w:sz="4" w:space="0" w:color="000000"/>
              <w:right w:val="single" w:sz="4" w:space="0" w:color="auto"/>
            </w:tcBorders>
            <w:vAlign w:val="center"/>
            <w:hideMark/>
          </w:tcPr>
          <w:p w14:paraId="254CA0E0"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85" w:type="dxa"/>
            <w:vMerge/>
            <w:tcBorders>
              <w:top w:val="nil"/>
              <w:left w:val="single" w:sz="4" w:space="0" w:color="auto"/>
              <w:bottom w:val="single" w:sz="4" w:space="0" w:color="000000"/>
              <w:right w:val="single" w:sz="4" w:space="0" w:color="auto"/>
            </w:tcBorders>
            <w:vAlign w:val="center"/>
            <w:hideMark/>
          </w:tcPr>
          <w:p w14:paraId="07C47903"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997" w:type="dxa"/>
            <w:vMerge/>
            <w:tcBorders>
              <w:top w:val="nil"/>
              <w:left w:val="single" w:sz="4" w:space="0" w:color="auto"/>
              <w:bottom w:val="single" w:sz="4" w:space="0" w:color="000000"/>
              <w:right w:val="single" w:sz="4" w:space="0" w:color="auto"/>
            </w:tcBorders>
            <w:vAlign w:val="center"/>
            <w:hideMark/>
          </w:tcPr>
          <w:p w14:paraId="17630E15"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4252" w:type="dxa"/>
            <w:vMerge/>
            <w:tcBorders>
              <w:top w:val="nil"/>
              <w:left w:val="single" w:sz="4" w:space="0" w:color="auto"/>
              <w:bottom w:val="single" w:sz="4" w:space="0" w:color="000000"/>
              <w:right w:val="single" w:sz="4" w:space="0" w:color="auto"/>
            </w:tcBorders>
            <w:vAlign w:val="center"/>
            <w:hideMark/>
          </w:tcPr>
          <w:p w14:paraId="4E1FF2A0"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2551" w:type="dxa"/>
            <w:tcBorders>
              <w:top w:val="nil"/>
              <w:left w:val="nil"/>
              <w:bottom w:val="single" w:sz="4" w:space="0" w:color="auto"/>
              <w:right w:val="nil"/>
            </w:tcBorders>
            <w:shd w:val="clear" w:color="000000" w:fill="FFFFFF"/>
            <w:hideMark/>
          </w:tcPr>
          <w:p w14:paraId="3AABCA67"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total de RRT na UF</w:t>
            </w:r>
          </w:p>
        </w:tc>
        <w:tc>
          <w:tcPr>
            <w:tcW w:w="709" w:type="dxa"/>
            <w:vMerge/>
            <w:tcBorders>
              <w:top w:val="nil"/>
              <w:left w:val="nil"/>
              <w:bottom w:val="single" w:sz="4" w:space="0" w:color="000000"/>
              <w:right w:val="single" w:sz="4" w:space="0" w:color="auto"/>
            </w:tcBorders>
            <w:vAlign w:val="center"/>
            <w:hideMark/>
          </w:tcPr>
          <w:p w14:paraId="6B80A8EF"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4" w:space="0" w:color="auto"/>
            </w:tcBorders>
            <w:vAlign w:val="center"/>
            <w:hideMark/>
          </w:tcPr>
          <w:p w14:paraId="41DDB8A8"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18" w:type="dxa"/>
            <w:vMerge/>
            <w:tcBorders>
              <w:top w:val="nil"/>
              <w:left w:val="single" w:sz="4" w:space="0" w:color="auto"/>
              <w:bottom w:val="single" w:sz="4" w:space="0" w:color="000000"/>
              <w:right w:val="single" w:sz="8" w:space="0" w:color="auto"/>
            </w:tcBorders>
            <w:vAlign w:val="center"/>
            <w:hideMark/>
          </w:tcPr>
          <w:p w14:paraId="7201EB28" w14:textId="77777777" w:rsidR="00487F4C" w:rsidRPr="00487F4C" w:rsidRDefault="00487F4C" w:rsidP="00487F4C">
            <w:pPr>
              <w:spacing w:after="0" w:line="240" w:lineRule="auto"/>
              <w:rPr>
                <w:rFonts w:ascii="Calibri" w:eastAsia="Times New Roman" w:hAnsi="Calibri" w:cs="Calibri"/>
                <w:sz w:val="20"/>
                <w:szCs w:val="20"/>
                <w:lang w:eastAsia="pt-BR"/>
              </w:rPr>
            </w:pPr>
          </w:p>
        </w:tc>
      </w:tr>
      <w:tr w:rsidR="00487F4C" w:rsidRPr="00487F4C" w14:paraId="439E6E2F" w14:textId="77777777" w:rsidTr="006A71FC">
        <w:trPr>
          <w:trHeight w:val="870"/>
        </w:trPr>
        <w:tc>
          <w:tcPr>
            <w:tcW w:w="1905" w:type="dxa"/>
            <w:vMerge/>
            <w:tcBorders>
              <w:top w:val="nil"/>
              <w:left w:val="single" w:sz="8" w:space="0" w:color="auto"/>
              <w:bottom w:val="single" w:sz="4" w:space="0" w:color="000000"/>
              <w:right w:val="single" w:sz="4" w:space="0" w:color="auto"/>
            </w:tcBorders>
            <w:vAlign w:val="center"/>
            <w:hideMark/>
          </w:tcPr>
          <w:p w14:paraId="03540330"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85" w:type="dxa"/>
            <w:vMerge/>
            <w:tcBorders>
              <w:top w:val="nil"/>
              <w:left w:val="single" w:sz="4" w:space="0" w:color="auto"/>
              <w:bottom w:val="single" w:sz="4" w:space="0" w:color="000000"/>
              <w:right w:val="single" w:sz="4" w:space="0" w:color="auto"/>
            </w:tcBorders>
            <w:vAlign w:val="center"/>
            <w:hideMark/>
          </w:tcPr>
          <w:p w14:paraId="490AEEF3"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9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7DC80E" w14:textId="4CE3BD20"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Índice de RRT Social (%)</w:t>
            </w:r>
            <w:r w:rsidRPr="00487F4C">
              <w:rPr>
                <w:rFonts w:ascii="Calibri" w:eastAsia="Times New Roman" w:hAnsi="Calibri" w:cs="Calibri"/>
                <w:sz w:val="20"/>
                <w:szCs w:val="20"/>
                <w:lang w:eastAsia="pt-BR"/>
              </w:rPr>
              <w:br/>
            </w:r>
            <w:r w:rsidRPr="00487F4C">
              <w:rPr>
                <w:rFonts w:ascii="Calibri" w:eastAsia="Times New Roman" w:hAnsi="Calibri" w:cs="Calibri"/>
                <w:b/>
                <w:bCs/>
                <w:sz w:val="20"/>
                <w:szCs w:val="20"/>
                <w:lang w:eastAsia="pt-BR"/>
              </w:rPr>
              <w:t>(CAU/UF)</w:t>
            </w:r>
          </w:p>
        </w:tc>
        <w:tc>
          <w:tcPr>
            <w:tcW w:w="425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70A185" w14:textId="77777777" w:rsidR="00487F4C" w:rsidRPr="00487F4C" w:rsidRDefault="00487F4C" w:rsidP="00487F4C">
            <w:pPr>
              <w:spacing w:after="0" w:line="240" w:lineRule="auto"/>
              <w:jc w:val="both"/>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Mede se a população de cada UF está usando mais serviços de Arquitetura e Urbanismo vinculados à Habitação de Interesse Social por meio do aumento do total de RRTs sociais pago na UF em comparação com sua população. </w:t>
            </w:r>
          </w:p>
        </w:tc>
        <w:tc>
          <w:tcPr>
            <w:tcW w:w="2551" w:type="dxa"/>
            <w:tcBorders>
              <w:top w:val="nil"/>
              <w:left w:val="nil"/>
              <w:bottom w:val="single" w:sz="4" w:space="0" w:color="auto"/>
              <w:right w:val="nil"/>
            </w:tcBorders>
            <w:shd w:val="clear" w:color="000000" w:fill="FFFFFF"/>
            <w:vAlign w:val="bottom"/>
            <w:hideMark/>
          </w:tcPr>
          <w:p w14:paraId="3AF13C64"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RRT Social</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53A69055" w14:textId="77777777" w:rsidR="00487F4C" w:rsidRPr="00487F4C" w:rsidRDefault="00487F4C" w:rsidP="007E4347">
            <w:pPr>
              <w:spacing w:after="0" w:line="240" w:lineRule="auto"/>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x 100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FBFC13"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Trimestral</w:t>
            </w:r>
          </w:p>
        </w:tc>
        <w:tc>
          <w:tcPr>
            <w:tcW w:w="1418" w:type="dxa"/>
            <w:vMerge w:val="restart"/>
            <w:tcBorders>
              <w:top w:val="nil"/>
              <w:left w:val="single" w:sz="4" w:space="0" w:color="auto"/>
              <w:bottom w:val="single" w:sz="4" w:space="0" w:color="auto"/>
              <w:right w:val="single" w:sz="8" w:space="0" w:color="auto"/>
            </w:tcBorders>
            <w:shd w:val="clear" w:color="000000" w:fill="FFFFFF"/>
            <w:vAlign w:val="center"/>
            <w:hideMark/>
          </w:tcPr>
          <w:p w14:paraId="59022DA8"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SICCAU/IGEO </w:t>
            </w:r>
          </w:p>
        </w:tc>
      </w:tr>
      <w:tr w:rsidR="00487F4C" w:rsidRPr="00487F4C" w14:paraId="1C1461A6" w14:textId="77777777" w:rsidTr="006A71FC">
        <w:trPr>
          <w:trHeight w:val="870"/>
        </w:trPr>
        <w:tc>
          <w:tcPr>
            <w:tcW w:w="1905" w:type="dxa"/>
            <w:vMerge/>
            <w:tcBorders>
              <w:top w:val="nil"/>
              <w:left w:val="single" w:sz="8" w:space="0" w:color="auto"/>
              <w:bottom w:val="single" w:sz="4" w:space="0" w:color="000000"/>
              <w:right w:val="single" w:sz="4" w:space="0" w:color="auto"/>
            </w:tcBorders>
            <w:vAlign w:val="center"/>
            <w:hideMark/>
          </w:tcPr>
          <w:p w14:paraId="2FF5C6FC"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85" w:type="dxa"/>
            <w:vMerge/>
            <w:tcBorders>
              <w:top w:val="nil"/>
              <w:left w:val="single" w:sz="4" w:space="0" w:color="auto"/>
              <w:bottom w:val="single" w:sz="4" w:space="0" w:color="000000"/>
              <w:right w:val="single" w:sz="4" w:space="0" w:color="auto"/>
            </w:tcBorders>
            <w:vAlign w:val="center"/>
            <w:hideMark/>
          </w:tcPr>
          <w:p w14:paraId="02DF7716"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997" w:type="dxa"/>
            <w:vMerge/>
            <w:tcBorders>
              <w:top w:val="nil"/>
              <w:left w:val="single" w:sz="4" w:space="0" w:color="auto"/>
              <w:bottom w:val="single" w:sz="4" w:space="0" w:color="auto"/>
              <w:right w:val="single" w:sz="4" w:space="0" w:color="auto"/>
            </w:tcBorders>
            <w:vAlign w:val="center"/>
            <w:hideMark/>
          </w:tcPr>
          <w:p w14:paraId="51E829AF"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4252" w:type="dxa"/>
            <w:vMerge/>
            <w:tcBorders>
              <w:top w:val="nil"/>
              <w:left w:val="single" w:sz="4" w:space="0" w:color="auto"/>
              <w:bottom w:val="single" w:sz="4" w:space="0" w:color="000000"/>
              <w:right w:val="single" w:sz="4" w:space="0" w:color="auto"/>
            </w:tcBorders>
            <w:vAlign w:val="center"/>
            <w:hideMark/>
          </w:tcPr>
          <w:p w14:paraId="5293FC3C"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2551" w:type="dxa"/>
            <w:tcBorders>
              <w:top w:val="nil"/>
              <w:left w:val="nil"/>
              <w:bottom w:val="single" w:sz="4" w:space="0" w:color="auto"/>
              <w:right w:val="nil"/>
            </w:tcBorders>
            <w:shd w:val="clear" w:color="000000" w:fill="FFFFFF"/>
            <w:hideMark/>
          </w:tcPr>
          <w:p w14:paraId="12407C97"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total de RRT na UF</w:t>
            </w:r>
          </w:p>
        </w:tc>
        <w:tc>
          <w:tcPr>
            <w:tcW w:w="709" w:type="dxa"/>
            <w:vMerge/>
            <w:tcBorders>
              <w:top w:val="nil"/>
              <w:left w:val="nil"/>
              <w:bottom w:val="single" w:sz="4" w:space="0" w:color="auto"/>
              <w:right w:val="single" w:sz="4" w:space="0" w:color="auto"/>
            </w:tcBorders>
            <w:vAlign w:val="center"/>
            <w:hideMark/>
          </w:tcPr>
          <w:p w14:paraId="4EF86AD2"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auto"/>
              <w:right w:val="single" w:sz="4" w:space="0" w:color="auto"/>
            </w:tcBorders>
            <w:vAlign w:val="center"/>
            <w:hideMark/>
          </w:tcPr>
          <w:p w14:paraId="2B26DC72"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18" w:type="dxa"/>
            <w:vMerge/>
            <w:tcBorders>
              <w:top w:val="nil"/>
              <w:left w:val="single" w:sz="4" w:space="0" w:color="auto"/>
              <w:bottom w:val="single" w:sz="4" w:space="0" w:color="auto"/>
              <w:right w:val="single" w:sz="8" w:space="0" w:color="auto"/>
            </w:tcBorders>
            <w:vAlign w:val="center"/>
            <w:hideMark/>
          </w:tcPr>
          <w:p w14:paraId="0CE3D94F" w14:textId="77777777" w:rsidR="00487F4C" w:rsidRPr="00487F4C" w:rsidRDefault="00487F4C" w:rsidP="00487F4C">
            <w:pPr>
              <w:spacing w:after="0" w:line="240" w:lineRule="auto"/>
              <w:rPr>
                <w:rFonts w:ascii="Calibri" w:eastAsia="Times New Roman" w:hAnsi="Calibri" w:cs="Calibri"/>
                <w:sz w:val="20"/>
                <w:szCs w:val="20"/>
                <w:lang w:eastAsia="pt-BR"/>
              </w:rPr>
            </w:pPr>
          </w:p>
        </w:tc>
      </w:tr>
      <w:tr w:rsidR="00487F4C" w:rsidRPr="00487F4C" w14:paraId="74C7370D" w14:textId="77777777" w:rsidTr="006A71FC">
        <w:trPr>
          <w:trHeight w:val="870"/>
        </w:trPr>
        <w:tc>
          <w:tcPr>
            <w:tcW w:w="1905"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54F2EEC0"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Alavancadores</w:t>
            </w:r>
          </w:p>
        </w:tc>
        <w:tc>
          <w:tcPr>
            <w:tcW w:w="14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BE269A"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Assegurar a sustentabilidade financeira</w:t>
            </w:r>
          </w:p>
        </w:tc>
        <w:tc>
          <w:tcPr>
            <w:tcW w:w="19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DB962C"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Índice de receita por arquiteto e urbanista </w:t>
            </w:r>
            <w:r w:rsidRPr="00487F4C">
              <w:rPr>
                <w:rFonts w:ascii="Calibri" w:eastAsia="Times New Roman" w:hAnsi="Calibri" w:cs="Calibri"/>
                <w:sz w:val="20"/>
                <w:szCs w:val="20"/>
                <w:lang w:eastAsia="pt-BR"/>
              </w:rPr>
              <w:br/>
            </w:r>
            <w:r w:rsidRPr="00487F4C">
              <w:rPr>
                <w:rFonts w:ascii="Calibri" w:eastAsia="Times New Roman" w:hAnsi="Calibri" w:cs="Calibri"/>
                <w:b/>
                <w:bCs/>
                <w:sz w:val="20"/>
                <w:szCs w:val="20"/>
                <w:lang w:eastAsia="pt-BR"/>
              </w:rPr>
              <w:t>(CAU/UF)</w:t>
            </w:r>
          </w:p>
        </w:tc>
        <w:tc>
          <w:tcPr>
            <w:tcW w:w="4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1CE09D" w14:textId="51AAE91D" w:rsidR="00487F4C" w:rsidRPr="00487F4C" w:rsidRDefault="00487F4C" w:rsidP="00487F4C">
            <w:pPr>
              <w:spacing w:after="0" w:line="240" w:lineRule="auto"/>
              <w:jc w:val="both"/>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Mede se a receita corrente de cada estado está </w:t>
            </w:r>
            <w:r w:rsidR="007E4347" w:rsidRPr="00487F4C">
              <w:rPr>
                <w:rFonts w:ascii="Calibri" w:eastAsia="Times New Roman" w:hAnsi="Calibri" w:cs="Calibri"/>
                <w:sz w:val="20"/>
                <w:szCs w:val="20"/>
                <w:lang w:eastAsia="pt-BR"/>
              </w:rPr>
              <w:t>aumentada</w:t>
            </w:r>
            <w:r w:rsidR="007E4347">
              <w:rPr>
                <w:rFonts w:ascii="Calibri" w:eastAsia="Times New Roman" w:hAnsi="Calibri" w:cs="Calibri"/>
                <w:sz w:val="20"/>
                <w:szCs w:val="20"/>
                <w:lang w:eastAsia="pt-BR"/>
              </w:rPr>
              <w:t xml:space="preserve"> </w:t>
            </w:r>
            <w:r w:rsidRPr="00487F4C">
              <w:rPr>
                <w:rFonts w:ascii="Calibri" w:eastAsia="Times New Roman" w:hAnsi="Calibri" w:cs="Calibri"/>
                <w:sz w:val="20"/>
                <w:szCs w:val="20"/>
                <w:lang w:eastAsia="pt-BR"/>
              </w:rPr>
              <w:t>para um mesmo número de arquitetos e urbanistas. Isso mostrará maior eficiência na arrecadação e o quanto o CAU/UF está melhorando sua sustentabilidade financeira.</w:t>
            </w:r>
          </w:p>
        </w:tc>
        <w:tc>
          <w:tcPr>
            <w:tcW w:w="3260" w:type="dxa"/>
            <w:gridSpan w:val="2"/>
            <w:tcBorders>
              <w:top w:val="single" w:sz="4" w:space="0" w:color="auto"/>
              <w:left w:val="nil"/>
              <w:bottom w:val="single" w:sz="4" w:space="0" w:color="auto"/>
              <w:right w:val="single" w:sz="4" w:space="0" w:color="000000"/>
            </w:tcBorders>
            <w:shd w:val="clear" w:color="000000" w:fill="FFFFFF"/>
            <w:vAlign w:val="bottom"/>
            <w:hideMark/>
          </w:tcPr>
          <w:p w14:paraId="44E1BD94"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receita corrente</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32A8BD"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Semestral </w:t>
            </w:r>
          </w:p>
        </w:tc>
        <w:tc>
          <w:tcPr>
            <w:tcW w:w="1418" w:type="dxa"/>
            <w:vMerge w:val="restart"/>
            <w:tcBorders>
              <w:top w:val="nil"/>
              <w:left w:val="single" w:sz="4" w:space="0" w:color="auto"/>
              <w:bottom w:val="single" w:sz="4" w:space="0" w:color="auto"/>
              <w:right w:val="single" w:sz="8" w:space="0" w:color="auto"/>
            </w:tcBorders>
            <w:shd w:val="clear" w:color="000000" w:fill="FFFFFF"/>
            <w:vAlign w:val="center"/>
            <w:hideMark/>
          </w:tcPr>
          <w:p w14:paraId="6980298F"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SICCAU, Planejamento e Orçamento, Siscont</w:t>
            </w:r>
          </w:p>
        </w:tc>
      </w:tr>
      <w:tr w:rsidR="00487F4C" w:rsidRPr="00487F4C" w14:paraId="0AD240F5" w14:textId="77777777" w:rsidTr="006A71FC">
        <w:trPr>
          <w:trHeight w:val="870"/>
        </w:trPr>
        <w:tc>
          <w:tcPr>
            <w:tcW w:w="1905" w:type="dxa"/>
            <w:vMerge/>
            <w:tcBorders>
              <w:top w:val="nil"/>
              <w:left w:val="single" w:sz="8" w:space="0" w:color="auto"/>
              <w:bottom w:val="single" w:sz="4" w:space="0" w:color="000000"/>
              <w:right w:val="single" w:sz="4" w:space="0" w:color="auto"/>
            </w:tcBorders>
            <w:vAlign w:val="center"/>
            <w:hideMark/>
          </w:tcPr>
          <w:p w14:paraId="1997E157"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85" w:type="dxa"/>
            <w:vMerge/>
            <w:tcBorders>
              <w:top w:val="nil"/>
              <w:left w:val="single" w:sz="4" w:space="0" w:color="auto"/>
              <w:bottom w:val="single" w:sz="4" w:space="0" w:color="000000"/>
              <w:right w:val="single" w:sz="4" w:space="0" w:color="auto"/>
            </w:tcBorders>
            <w:vAlign w:val="center"/>
            <w:hideMark/>
          </w:tcPr>
          <w:p w14:paraId="72AC8492"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997" w:type="dxa"/>
            <w:vMerge/>
            <w:tcBorders>
              <w:top w:val="nil"/>
              <w:left w:val="single" w:sz="4" w:space="0" w:color="auto"/>
              <w:bottom w:val="single" w:sz="4" w:space="0" w:color="auto"/>
              <w:right w:val="single" w:sz="4" w:space="0" w:color="auto"/>
            </w:tcBorders>
            <w:vAlign w:val="center"/>
            <w:hideMark/>
          </w:tcPr>
          <w:p w14:paraId="5F66B732"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4252" w:type="dxa"/>
            <w:vMerge/>
            <w:tcBorders>
              <w:top w:val="nil"/>
              <w:left w:val="single" w:sz="4" w:space="0" w:color="auto"/>
              <w:bottom w:val="single" w:sz="4" w:space="0" w:color="auto"/>
              <w:right w:val="single" w:sz="4" w:space="0" w:color="auto"/>
            </w:tcBorders>
            <w:vAlign w:val="center"/>
            <w:hideMark/>
          </w:tcPr>
          <w:p w14:paraId="028ED135"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3260" w:type="dxa"/>
            <w:gridSpan w:val="2"/>
            <w:tcBorders>
              <w:top w:val="nil"/>
              <w:left w:val="nil"/>
              <w:bottom w:val="single" w:sz="4" w:space="0" w:color="auto"/>
              <w:right w:val="single" w:sz="4" w:space="0" w:color="000000"/>
            </w:tcBorders>
            <w:shd w:val="clear" w:color="000000" w:fill="FFFFFF"/>
            <w:hideMark/>
          </w:tcPr>
          <w:p w14:paraId="3BFCA224"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total de profissionais ativos</w:t>
            </w:r>
          </w:p>
        </w:tc>
        <w:tc>
          <w:tcPr>
            <w:tcW w:w="1276" w:type="dxa"/>
            <w:vMerge/>
            <w:tcBorders>
              <w:top w:val="nil"/>
              <w:left w:val="single" w:sz="4" w:space="0" w:color="auto"/>
              <w:bottom w:val="single" w:sz="4" w:space="0" w:color="auto"/>
              <w:right w:val="single" w:sz="4" w:space="0" w:color="auto"/>
            </w:tcBorders>
            <w:vAlign w:val="center"/>
            <w:hideMark/>
          </w:tcPr>
          <w:p w14:paraId="65E50849"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18" w:type="dxa"/>
            <w:vMerge/>
            <w:tcBorders>
              <w:top w:val="nil"/>
              <w:left w:val="single" w:sz="4" w:space="0" w:color="auto"/>
              <w:bottom w:val="single" w:sz="4" w:space="0" w:color="auto"/>
              <w:right w:val="single" w:sz="8" w:space="0" w:color="auto"/>
            </w:tcBorders>
            <w:vAlign w:val="center"/>
            <w:hideMark/>
          </w:tcPr>
          <w:p w14:paraId="1E7BB4C2" w14:textId="77777777" w:rsidR="00487F4C" w:rsidRPr="00487F4C" w:rsidRDefault="00487F4C" w:rsidP="00487F4C">
            <w:pPr>
              <w:spacing w:after="0" w:line="240" w:lineRule="auto"/>
              <w:rPr>
                <w:rFonts w:ascii="Calibri" w:eastAsia="Times New Roman" w:hAnsi="Calibri" w:cs="Calibri"/>
                <w:sz w:val="20"/>
                <w:szCs w:val="20"/>
                <w:lang w:eastAsia="pt-BR"/>
              </w:rPr>
            </w:pPr>
          </w:p>
        </w:tc>
      </w:tr>
    </w:tbl>
    <w:p w14:paraId="0FC9B45E" w14:textId="21481069" w:rsidR="00D27C60" w:rsidRPr="004719E1" w:rsidRDefault="00D27C60" w:rsidP="00D27C60">
      <w:pPr>
        <w:spacing w:after="0"/>
        <w:ind w:left="-567"/>
        <w:rPr>
          <w:rFonts w:asciiTheme="majorHAnsi" w:hAnsiTheme="majorHAnsi" w:cstheme="majorHAnsi"/>
          <w:b/>
          <w:bCs/>
        </w:rPr>
      </w:pPr>
      <w:r w:rsidRPr="004719E1">
        <w:rPr>
          <w:rFonts w:asciiTheme="majorHAnsi" w:hAnsiTheme="majorHAnsi" w:cstheme="majorHAnsi"/>
          <w:b/>
          <w:bCs/>
        </w:rPr>
        <w:t>ANEXO I.j – Indicadores Institucionais e de Resultado – CAU UF</w:t>
      </w:r>
    </w:p>
    <w:tbl>
      <w:tblPr>
        <w:tblW w:w="15593" w:type="dxa"/>
        <w:tblInd w:w="-577" w:type="dxa"/>
        <w:tblCellMar>
          <w:left w:w="70" w:type="dxa"/>
          <w:right w:w="70" w:type="dxa"/>
        </w:tblCellMar>
        <w:tblLook w:val="04A0" w:firstRow="1" w:lastRow="0" w:firstColumn="1" w:lastColumn="0" w:noHBand="0" w:noVBand="1"/>
      </w:tblPr>
      <w:tblGrid>
        <w:gridCol w:w="1328"/>
        <w:gridCol w:w="1507"/>
        <w:gridCol w:w="1695"/>
        <w:gridCol w:w="3935"/>
        <w:gridCol w:w="3403"/>
        <w:gridCol w:w="748"/>
        <w:gridCol w:w="1296"/>
        <w:gridCol w:w="7"/>
        <w:gridCol w:w="1674"/>
      </w:tblGrid>
      <w:tr w:rsidR="00276BA0" w:rsidRPr="00276BA0" w14:paraId="407FA2F4" w14:textId="77777777" w:rsidTr="00335B2F">
        <w:trPr>
          <w:trHeight w:val="1575"/>
        </w:trPr>
        <w:tc>
          <w:tcPr>
            <w:tcW w:w="1328"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7581E2A1" w14:textId="77777777"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Perspectiva</w:t>
            </w:r>
          </w:p>
        </w:tc>
        <w:tc>
          <w:tcPr>
            <w:tcW w:w="1507" w:type="dxa"/>
            <w:tcBorders>
              <w:top w:val="single" w:sz="8" w:space="0" w:color="auto"/>
              <w:left w:val="nil"/>
              <w:bottom w:val="single" w:sz="8" w:space="0" w:color="auto"/>
              <w:right w:val="single" w:sz="4" w:space="0" w:color="auto"/>
            </w:tcBorders>
            <w:shd w:val="clear" w:color="auto" w:fill="ED7D31" w:themeFill="accent2"/>
            <w:vAlign w:val="center"/>
            <w:hideMark/>
          </w:tcPr>
          <w:p w14:paraId="12E02B09" w14:textId="77777777"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Objetivo Estratégico</w:t>
            </w:r>
          </w:p>
        </w:tc>
        <w:tc>
          <w:tcPr>
            <w:tcW w:w="1695" w:type="dxa"/>
            <w:tcBorders>
              <w:top w:val="single" w:sz="8" w:space="0" w:color="auto"/>
              <w:left w:val="nil"/>
              <w:bottom w:val="single" w:sz="8" w:space="0" w:color="auto"/>
              <w:right w:val="single" w:sz="4" w:space="0" w:color="auto"/>
            </w:tcBorders>
            <w:shd w:val="clear" w:color="auto" w:fill="ED7D31" w:themeFill="accent2"/>
            <w:vAlign w:val="center"/>
            <w:hideMark/>
          </w:tcPr>
          <w:p w14:paraId="3CDFA527" w14:textId="4AFC9551"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Indicador</w:t>
            </w:r>
          </w:p>
        </w:tc>
        <w:tc>
          <w:tcPr>
            <w:tcW w:w="3935" w:type="dxa"/>
            <w:tcBorders>
              <w:top w:val="single" w:sz="8" w:space="0" w:color="auto"/>
              <w:left w:val="nil"/>
              <w:bottom w:val="single" w:sz="8" w:space="0" w:color="auto"/>
              <w:right w:val="single" w:sz="4" w:space="0" w:color="auto"/>
            </w:tcBorders>
            <w:shd w:val="clear" w:color="auto" w:fill="ED7D31" w:themeFill="accent2"/>
            <w:vAlign w:val="center"/>
            <w:hideMark/>
          </w:tcPr>
          <w:p w14:paraId="6ACF9B70" w14:textId="77777777"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Descrição</w:t>
            </w:r>
          </w:p>
        </w:tc>
        <w:tc>
          <w:tcPr>
            <w:tcW w:w="4151" w:type="dxa"/>
            <w:gridSpan w:val="2"/>
            <w:tcBorders>
              <w:top w:val="single" w:sz="8" w:space="0" w:color="auto"/>
              <w:left w:val="nil"/>
              <w:bottom w:val="single" w:sz="8" w:space="0" w:color="auto"/>
              <w:right w:val="single" w:sz="4" w:space="0" w:color="auto"/>
            </w:tcBorders>
            <w:shd w:val="clear" w:color="auto" w:fill="ED7D31" w:themeFill="accent2"/>
            <w:noWrap/>
            <w:vAlign w:val="center"/>
            <w:hideMark/>
          </w:tcPr>
          <w:p w14:paraId="398B0276" w14:textId="77777777"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Fórmula de Cálculo</w:t>
            </w:r>
          </w:p>
        </w:tc>
        <w:tc>
          <w:tcPr>
            <w:tcW w:w="1303" w:type="dxa"/>
            <w:gridSpan w:val="2"/>
            <w:tcBorders>
              <w:top w:val="single" w:sz="8" w:space="0" w:color="auto"/>
              <w:left w:val="nil"/>
              <w:bottom w:val="single" w:sz="8" w:space="0" w:color="auto"/>
              <w:right w:val="single" w:sz="4" w:space="0" w:color="auto"/>
            </w:tcBorders>
            <w:shd w:val="clear" w:color="auto" w:fill="ED7D31" w:themeFill="accent2"/>
            <w:vAlign w:val="center"/>
            <w:hideMark/>
          </w:tcPr>
          <w:p w14:paraId="24EA3C90" w14:textId="77777777"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Frequência</w:t>
            </w:r>
            <w:r w:rsidRPr="00276BA0">
              <w:rPr>
                <w:rFonts w:ascii="Calibri" w:eastAsia="Times New Roman" w:hAnsi="Calibri" w:cs="Calibri"/>
                <w:b/>
                <w:bCs/>
                <w:color w:val="FFFFFF"/>
                <w:sz w:val="20"/>
                <w:szCs w:val="20"/>
                <w:lang w:eastAsia="pt-BR"/>
              </w:rPr>
              <w:br/>
              <w:t>de Medição</w:t>
            </w:r>
          </w:p>
        </w:tc>
        <w:tc>
          <w:tcPr>
            <w:tcW w:w="1674" w:type="dxa"/>
            <w:tcBorders>
              <w:top w:val="single" w:sz="8" w:space="0" w:color="auto"/>
              <w:left w:val="nil"/>
              <w:bottom w:val="single" w:sz="8" w:space="0" w:color="auto"/>
              <w:right w:val="single" w:sz="8" w:space="0" w:color="auto"/>
            </w:tcBorders>
            <w:shd w:val="clear" w:color="auto" w:fill="ED7D31" w:themeFill="accent2"/>
            <w:vAlign w:val="center"/>
            <w:hideMark/>
          </w:tcPr>
          <w:p w14:paraId="49223608" w14:textId="77777777"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Fonte do Indicador</w:t>
            </w:r>
          </w:p>
        </w:tc>
      </w:tr>
      <w:tr w:rsidR="00276BA0" w:rsidRPr="00276BA0" w14:paraId="5014CAA6" w14:textId="77777777" w:rsidTr="00597BC3">
        <w:trPr>
          <w:trHeight w:val="870"/>
        </w:trPr>
        <w:tc>
          <w:tcPr>
            <w:tcW w:w="1328"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7B9B4081"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Alavancadores</w:t>
            </w:r>
          </w:p>
        </w:tc>
        <w:tc>
          <w:tcPr>
            <w:tcW w:w="15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069B37"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Assegurar a sustentabilidade financeira</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7D3452"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Relação receita/custo total de pessoal (%)</w:t>
            </w:r>
            <w:r w:rsidRPr="00276BA0">
              <w:rPr>
                <w:rFonts w:ascii="Calibri" w:eastAsia="Times New Roman" w:hAnsi="Calibri" w:cs="Calibri"/>
                <w:sz w:val="20"/>
                <w:szCs w:val="20"/>
                <w:lang w:eastAsia="pt-BR"/>
              </w:rPr>
              <w:br/>
            </w:r>
            <w:r w:rsidRPr="00276BA0">
              <w:rPr>
                <w:rFonts w:ascii="Calibri" w:eastAsia="Times New Roman" w:hAnsi="Calibri" w:cs="Calibri"/>
                <w:b/>
                <w:bCs/>
                <w:sz w:val="20"/>
                <w:szCs w:val="20"/>
                <w:lang w:eastAsia="pt-BR"/>
              </w:rPr>
              <w:t>(CAU/UF)</w:t>
            </w:r>
          </w:p>
        </w:tc>
        <w:tc>
          <w:tcPr>
            <w:tcW w:w="39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4CEF21" w14:textId="61A203B1" w:rsidR="00276BA0" w:rsidRPr="00276BA0" w:rsidRDefault="00276BA0" w:rsidP="00276BA0">
            <w:pPr>
              <w:spacing w:after="0" w:line="240" w:lineRule="auto"/>
              <w:jc w:val="both"/>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Para que haja orçamento suficiente para os investimentos de crescimento, o custo total de pessoal deve ser limitado para não ultrapassar um determinado percentual d</w:t>
            </w:r>
            <w:r w:rsidR="00597BC3">
              <w:rPr>
                <w:rFonts w:ascii="Calibri" w:eastAsia="Times New Roman" w:hAnsi="Calibri" w:cs="Calibri"/>
                <w:sz w:val="20"/>
                <w:szCs w:val="20"/>
                <w:lang w:eastAsia="pt-BR"/>
              </w:rPr>
              <w:t xml:space="preserve">a </w:t>
            </w:r>
            <w:r w:rsidRPr="00276BA0">
              <w:rPr>
                <w:rFonts w:ascii="Calibri" w:eastAsia="Times New Roman" w:hAnsi="Calibri" w:cs="Calibri"/>
                <w:sz w:val="20"/>
                <w:szCs w:val="20"/>
                <w:lang w:eastAsia="pt-BR"/>
              </w:rPr>
              <w:t>receita</w:t>
            </w:r>
            <w:r w:rsidR="00597BC3">
              <w:rPr>
                <w:rFonts w:ascii="Calibri" w:eastAsia="Times New Roman" w:hAnsi="Calibri" w:cs="Calibri"/>
                <w:sz w:val="20"/>
                <w:szCs w:val="20"/>
                <w:lang w:eastAsia="pt-BR"/>
              </w:rPr>
              <w:t xml:space="preserve"> </w:t>
            </w:r>
            <w:r w:rsidRPr="00276BA0">
              <w:rPr>
                <w:rFonts w:ascii="Calibri" w:eastAsia="Times New Roman" w:hAnsi="Calibri" w:cs="Calibri"/>
                <w:sz w:val="20"/>
                <w:szCs w:val="20"/>
                <w:lang w:eastAsia="pt-BR"/>
              </w:rPr>
              <w:t>corrente.</w:t>
            </w:r>
          </w:p>
        </w:tc>
        <w:tc>
          <w:tcPr>
            <w:tcW w:w="3403" w:type="dxa"/>
            <w:tcBorders>
              <w:top w:val="single" w:sz="4" w:space="0" w:color="auto"/>
              <w:left w:val="nil"/>
              <w:bottom w:val="single" w:sz="4" w:space="0" w:color="auto"/>
              <w:right w:val="nil"/>
            </w:tcBorders>
            <w:shd w:val="clear" w:color="000000" w:fill="FFFFFF"/>
            <w:vAlign w:val="bottom"/>
            <w:hideMark/>
          </w:tcPr>
          <w:p w14:paraId="667E8773"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custo total de pessoal</w:t>
            </w:r>
          </w:p>
        </w:tc>
        <w:tc>
          <w:tcPr>
            <w:tcW w:w="748" w:type="dxa"/>
            <w:vMerge w:val="restart"/>
            <w:tcBorders>
              <w:top w:val="single" w:sz="4" w:space="0" w:color="auto"/>
              <w:left w:val="nil"/>
              <w:bottom w:val="single" w:sz="4" w:space="0" w:color="auto"/>
              <w:right w:val="single" w:sz="4" w:space="0" w:color="auto"/>
            </w:tcBorders>
            <w:shd w:val="clear" w:color="000000" w:fill="FFFFFF"/>
            <w:vAlign w:val="center"/>
            <w:hideMark/>
          </w:tcPr>
          <w:p w14:paraId="1F1F250A"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x 100</w:t>
            </w:r>
          </w:p>
        </w:tc>
        <w:tc>
          <w:tcPr>
            <w:tcW w:w="12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DCB772"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 xml:space="preserve">Semestral </w:t>
            </w:r>
          </w:p>
        </w:tc>
        <w:tc>
          <w:tcPr>
            <w:tcW w:w="1681" w:type="dxa"/>
            <w:gridSpan w:val="2"/>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14:paraId="1676367B"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SICCAU, Planejamento e Orçamento, Siscont</w:t>
            </w:r>
          </w:p>
        </w:tc>
      </w:tr>
      <w:tr w:rsidR="00B309A6" w:rsidRPr="00276BA0" w14:paraId="2E3DE9BD"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48AF2476"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02169AC3"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383BE0CA"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935" w:type="dxa"/>
            <w:vMerge/>
            <w:tcBorders>
              <w:top w:val="single" w:sz="4" w:space="0" w:color="auto"/>
              <w:left w:val="single" w:sz="4" w:space="0" w:color="auto"/>
              <w:bottom w:val="single" w:sz="4" w:space="0" w:color="auto"/>
              <w:right w:val="single" w:sz="4" w:space="0" w:color="auto"/>
            </w:tcBorders>
            <w:vAlign w:val="center"/>
            <w:hideMark/>
          </w:tcPr>
          <w:p w14:paraId="6C2B76D4"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403" w:type="dxa"/>
            <w:tcBorders>
              <w:top w:val="nil"/>
              <w:left w:val="nil"/>
              <w:bottom w:val="single" w:sz="4" w:space="0" w:color="auto"/>
              <w:right w:val="nil"/>
            </w:tcBorders>
            <w:shd w:val="clear" w:color="000000" w:fill="FFFFFF"/>
            <w:hideMark/>
          </w:tcPr>
          <w:p w14:paraId="5A7AA4DD"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receita corrente</w:t>
            </w:r>
          </w:p>
        </w:tc>
        <w:tc>
          <w:tcPr>
            <w:tcW w:w="748" w:type="dxa"/>
            <w:vMerge/>
            <w:tcBorders>
              <w:top w:val="single" w:sz="4" w:space="0" w:color="auto"/>
              <w:left w:val="nil"/>
              <w:bottom w:val="single" w:sz="4" w:space="0" w:color="auto"/>
              <w:right w:val="single" w:sz="4" w:space="0" w:color="auto"/>
            </w:tcBorders>
            <w:vAlign w:val="center"/>
            <w:hideMark/>
          </w:tcPr>
          <w:p w14:paraId="2E13AA3F"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14:paraId="4377054F"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81" w:type="dxa"/>
            <w:gridSpan w:val="2"/>
            <w:vMerge/>
            <w:tcBorders>
              <w:top w:val="single" w:sz="4" w:space="0" w:color="auto"/>
              <w:left w:val="single" w:sz="4" w:space="0" w:color="auto"/>
              <w:bottom w:val="single" w:sz="4" w:space="0" w:color="auto"/>
              <w:right w:val="single" w:sz="8" w:space="0" w:color="auto"/>
            </w:tcBorders>
            <w:vAlign w:val="center"/>
            <w:hideMark/>
          </w:tcPr>
          <w:p w14:paraId="48137A0C" w14:textId="77777777" w:rsidR="00276BA0" w:rsidRPr="00276BA0" w:rsidRDefault="00276BA0" w:rsidP="00276BA0">
            <w:pPr>
              <w:spacing w:after="0" w:line="240" w:lineRule="auto"/>
              <w:rPr>
                <w:rFonts w:ascii="Calibri" w:eastAsia="Times New Roman" w:hAnsi="Calibri" w:cs="Calibri"/>
                <w:sz w:val="20"/>
                <w:szCs w:val="20"/>
                <w:lang w:eastAsia="pt-BR"/>
              </w:rPr>
            </w:pPr>
          </w:p>
        </w:tc>
      </w:tr>
      <w:tr w:rsidR="00B309A6" w:rsidRPr="00276BA0" w14:paraId="6BC17CE2"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183CC729"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6EB13F04"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CB7577"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 xml:space="preserve">Índice de liquidez corrente </w:t>
            </w:r>
            <w:r w:rsidRPr="00276BA0">
              <w:rPr>
                <w:rFonts w:ascii="Calibri" w:eastAsia="Times New Roman" w:hAnsi="Calibri" w:cs="Calibri"/>
                <w:sz w:val="20"/>
                <w:szCs w:val="20"/>
                <w:lang w:eastAsia="pt-BR"/>
              </w:rPr>
              <w:br/>
            </w:r>
            <w:r w:rsidRPr="00276BA0">
              <w:rPr>
                <w:rFonts w:ascii="Calibri" w:eastAsia="Times New Roman" w:hAnsi="Calibri" w:cs="Calibri"/>
                <w:b/>
                <w:bCs/>
                <w:sz w:val="20"/>
                <w:szCs w:val="20"/>
                <w:lang w:eastAsia="pt-BR"/>
              </w:rPr>
              <w:t>(CAU/UF)</w:t>
            </w:r>
          </w:p>
        </w:tc>
        <w:tc>
          <w:tcPr>
            <w:tcW w:w="39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661732" w14:textId="77777777" w:rsidR="00276BA0" w:rsidRPr="00276BA0" w:rsidRDefault="00276BA0" w:rsidP="00276BA0">
            <w:pPr>
              <w:spacing w:after="0" w:line="240" w:lineRule="auto"/>
              <w:jc w:val="both"/>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Acompanha a liquidez corrente comparando a situação do ativo circulante contra o passivo circulante.</w:t>
            </w:r>
          </w:p>
        </w:tc>
        <w:tc>
          <w:tcPr>
            <w:tcW w:w="4151" w:type="dxa"/>
            <w:gridSpan w:val="2"/>
            <w:tcBorders>
              <w:top w:val="single" w:sz="4" w:space="0" w:color="auto"/>
              <w:left w:val="nil"/>
              <w:bottom w:val="single" w:sz="4" w:space="0" w:color="auto"/>
              <w:right w:val="single" w:sz="4" w:space="0" w:color="000000"/>
            </w:tcBorders>
            <w:shd w:val="clear" w:color="000000" w:fill="FFFFFF"/>
            <w:vAlign w:val="bottom"/>
            <w:hideMark/>
          </w:tcPr>
          <w:p w14:paraId="3F949F26"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ativo circulante</w:t>
            </w:r>
          </w:p>
        </w:tc>
        <w:tc>
          <w:tcPr>
            <w:tcW w:w="1303"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3AA414E"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Semestral</w:t>
            </w:r>
          </w:p>
        </w:tc>
        <w:tc>
          <w:tcPr>
            <w:tcW w:w="1674" w:type="dxa"/>
            <w:vMerge w:val="restart"/>
            <w:tcBorders>
              <w:top w:val="nil"/>
              <w:left w:val="single" w:sz="4" w:space="0" w:color="auto"/>
              <w:bottom w:val="single" w:sz="4" w:space="0" w:color="auto"/>
              <w:right w:val="single" w:sz="8" w:space="0" w:color="auto"/>
            </w:tcBorders>
            <w:shd w:val="clear" w:color="000000" w:fill="FFFFFF"/>
            <w:vAlign w:val="center"/>
            <w:hideMark/>
          </w:tcPr>
          <w:p w14:paraId="759838A1" w14:textId="32EA1651"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Relatórios contábeis, Siscont</w:t>
            </w:r>
          </w:p>
        </w:tc>
      </w:tr>
      <w:tr w:rsidR="00B309A6" w:rsidRPr="00276BA0" w14:paraId="37F2F867"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78E0E8CD"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675006AB"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tcBorders>
              <w:top w:val="nil"/>
              <w:left w:val="single" w:sz="4" w:space="0" w:color="auto"/>
              <w:bottom w:val="single" w:sz="4" w:space="0" w:color="auto"/>
              <w:right w:val="single" w:sz="4" w:space="0" w:color="auto"/>
            </w:tcBorders>
            <w:vAlign w:val="center"/>
            <w:hideMark/>
          </w:tcPr>
          <w:p w14:paraId="041CB441"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935" w:type="dxa"/>
            <w:vMerge/>
            <w:tcBorders>
              <w:top w:val="nil"/>
              <w:left w:val="single" w:sz="4" w:space="0" w:color="auto"/>
              <w:bottom w:val="single" w:sz="4" w:space="0" w:color="auto"/>
              <w:right w:val="single" w:sz="4" w:space="0" w:color="auto"/>
            </w:tcBorders>
            <w:vAlign w:val="center"/>
            <w:hideMark/>
          </w:tcPr>
          <w:p w14:paraId="5C3BC4D4"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4151" w:type="dxa"/>
            <w:gridSpan w:val="2"/>
            <w:tcBorders>
              <w:top w:val="single" w:sz="4" w:space="0" w:color="auto"/>
              <w:left w:val="nil"/>
              <w:bottom w:val="single" w:sz="4" w:space="0" w:color="auto"/>
              <w:right w:val="single" w:sz="4" w:space="0" w:color="000000"/>
            </w:tcBorders>
            <w:shd w:val="clear" w:color="000000" w:fill="FFFFFF"/>
            <w:hideMark/>
          </w:tcPr>
          <w:p w14:paraId="7BFAE116"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passivo circulante</w:t>
            </w:r>
          </w:p>
        </w:tc>
        <w:tc>
          <w:tcPr>
            <w:tcW w:w="1303" w:type="dxa"/>
            <w:gridSpan w:val="2"/>
            <w:vMerge/>
            <w:tcBorders>
              <w:top w:val="nil"/>
              <w:left w:val="single" w:sz="4" w:space="0" w:color="auto"/>
              <w:bottom w:val="single" w:sz="4" w:space="0" w:color="auto"/>
              <w:right w:val="single" w:sz="4" w:space="0" w:color="auto"/>
            </w:tcBorders>
            <w:vAlign w:val="center"/>
            <w:hideMark/>
          </w:tcPr>
          <w:p w14:paraId="629A14A8"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74" w:type="dxa"/>
            <w:vMerge/>
            <w:tcBorders>
              <w:top w:val="nil"/>
              <w:left w:val="single" w:sz="4" w:space="0" w:color="auto"/>
              <w:bottom w:val="single" w:sz="4" w:space="0" w:color="auto"/>
              <w:right w:val="single" w:sz="8" w:space="0" w:color="auto"/>
            </w:tcBorders>
            <w:vAlign w:val="center"/>
            <w:hideMark/>
          </w:tcPr>
          <w:p w14:paraId="4C17610C" w14:textId="77777777" w:rsidR="00276BA0" w:rsidRPr="00276BA0" w:rsidRDefault="00276BA0" w:rsidP="00276BA0">
            <w:pPr>
              <w:spacing w:after="0" w:line="240" w:lineRule="auto"/>
              <w:rPr>
                <w:rFonts w:ascii="Calibri" w:eastAsia="Times New Roman" w:hAnsi="Calibri" w:cs="Calibri"/>
                <w:sz w:val="20"/>
                <w:szCs w:val="20"/>
                <w:lang w:eastAsia="pt-BR"/>
              </w:rPr>
            </w:pPr>
          </w:p>
        </w:tc>
      </w:tr>
      <w:tr w:rsidR="00276BA0" w:rsidRPr="00276BA0" w14:paraId="0A9D852E"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7F306899"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7F29A5F9"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D12CFA" w14:textId="59B52342"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Índice de inadimplência pessoa física</w:t>
            </w:r>
            <w:r w:rsidRPr="00276BA0">
              <w:rPr>
                <w:rFonts w:ascii="Calibri" w:eastAsia="Times New Roman" w:hAnsi="Calibri" w:cs="Calibri"/>
                <w:sz w:val="20"/>
                <w:szCs w:val="20"/>
                <w:lang w:eastAsia="pt-BR"/>
              </w:rPr>
              <w:br/>
            </w:r>
            <w:r w:rsidRPr="00276BA0">
              <w:rPr>
                <w:rFonts w:ascii="Calibri" w:eastAsia="Times New Roman" w:hAnsi="Calibri" w:cs="Calibri"/>
                <w:b/>
                <w:bCs/>
                <w:sz w:val="20"/>
                <w:szCs w:val="20"/>
                <w:lang w:eastAsia="pt-BR"/>
              </w:rPr>
              <w:t>(CAU/UF)</w:t>
            </w:r>
          </w:p>
        </w:tc>
        <w:tc>
          <w:tcPr>
            <w:tcW w:w="39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B765D6" w14:textId="77777777" w:rsidR="00276BA0" w:rsidRPr="00276BA0" w:rsidRDefault="00276BA0" w:rsidP="00276BA0">
            <w:pPr>
              <w:spacing w:after="0" w:line="240" w:lineRule="auto"/>
              <w:jc w:val="both"/>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Para sustentabilidade financeira, é importante acompanhar o nível de inadimplência, comparando a quantidade de profissionais inadimplentes contra o total de profissionais ativos.</w:t>
            </w:r>
          </w:p>
        </w:tc>
        <w:tc>
          <w:tcPr>
            <w:tcW w:w="3403" w:type="dxa"/>
            <w:tcBorders>
              <w:top w:val="nil"/>
              <w:left w:val="nil"/>
              <w:bottom w:val="single" w:sz="4" w:space="0" w:color="auto"/>
              <w:right w:val="nil"/>
            </w:tcBorders>
            <w:shd w:val="clear" w:color="000000" w:fill="FFFFFF"/>
            <w:vAlign w:val="bottom"/>
            <w:hideMark/>
          </w:tcPr>
          <w:p w14:paraId="70CA95AF"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total de profissionais inadimplentes</w:t>
            </w:r>
          </w:p>
        </w:tc>
        <w:tc>
          <w:tcPr>
            <w:tcW w:w="748" w:type="dxa"/>
            <w:vMerge w:val="restart"/>
            <w:tcBorders>
              <w:top w:val="nil"/>
              <w:left w:val="nil"/>
              <w:bottom w:val="single" w:sz="4" w:space="0" w:color="auto"/>
              <w:right w:val="single" w:sz="4" w:space="0" w:color="auto"/>
            </w:tcBorders>
            <w:shd w:val="clear" w:color="000000" w:fill="FFFFFF"/>
            <w:vAlign w:val="center"/>
            <w:hideMark/>
          </w:tcPr>
          <w:p w14:paraId="26DD5DB3"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x 100</w:t>
            </w:r>
          </w:p>
        </w:tc>
        <w:tc>
          <w:tcPr>
            <w:tcW w:w="129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607113"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Mensal</w:t>
            </w:r>
          </w:p>
        </w:tc>
        <w:tc>
          <w:tcPr>
            <w:tcW w:w="1681" w:type="dxa"/>
            <w:gridSpan w:val="2"/>
            <w:vMerge w:val="restart"/>
            <w:tcBorders>
              <w:top w:val="nil"/>
              <w:left w:val="single" w:sz="4" w:space="0" w:color="auto"/>
              <w:bottom w:val="single" w:sz="4" w:space="0" w:color="auto"/>
              <w:right w:val="single" w:sz="8" w:space="0" w:color="auto"/>
            </w:tcBorders>
            <w:shd w:val="clear" w:color="000000" w:fill="FFFFFF"/>
            <w:vAlign w:val="center"/>
            <w:hideMark/>
          </w:tcPr>
          <w:p w14:paraId="2FDE9F99"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SICCAU/IGEO, Planejamento e Orçamento</w:t>
            </w:r>
          </w:p>
        </w:tc>
      </w:tr>
      <w:tr w:rsidR="00B309A6" w:rsidRPr="00276BA0" w14:paraId="07FDA064"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580AEBF5"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360B0353"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tcBorders>
              <w:top w:val="nil"/>
              <w:left w:val="single" w:sz="4" w:space="0" w:color="auto"/>
              <w:bottom w:val="single" w:sz="4" w:space="0" w:color="auto"/>
              <w:right w:val="single" w:sz="4" w:space="0" w:color="auto"/>
            </w:tcBorders>
            <w:vAlign w:val="center"/>
            <w:hideMark/>
          </w:tcPr>
          <w:p w14:paraId="5F8B6184"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935" w:type="dxa"/>
            <w:vMerge/>
            <w:tcBorders>
              <w:top w:val="nil"/>
              <w:left w:val="single" w:sz="4" w:space="0" w:color="auto"/>
              <w:bottom w:val="single" w:sz="4" w:space="0" w:color="auto"/>
              <w:right w:val="single" w:sz="4" w:space="0" w:color="auto"/>
            </w:tcBorders>
            <w:vAlign w:val="center"/>
            <w:hideMark/>
          </w:tcPr>
          <w:p w14:paraId="0128E10B"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403" w:type="dxa"/>
            <w:tcBorders>
              <w:top w:val="nil"/>
              <w:left w:val="nil"/>
              <w:bottom w:val="single" w:sz="4" w:space="0" w:color="auto"/>
              <w:right w:val="nil"/>
            </w:tcBorders>
            <w:shd w:val="clear" w:color="000000" w:fill="FFFFFF"/>
            <w:hideMark/>
          </w:tcPr>
          <w:p w14:paraId="184E1F8A"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 xml:space="preserve">total de profissionais ativos </w:t>
            </w:r>
          </w:p>
        </w:tc>
        <w:tc>
          <w:tcPr>
            <w:tcW w:w="748" w:type="dxa"/>
            <w:vMerge/>
            <w:tcBorders>
              <w:top w:val="nil"/>
              <w:left w:val="nil"/>
              <w:bottom w:val="single" w:sz="4" w:space="0" w:color="auto"/>
              <w:right w:val="single" w:sz="4" w:space="0" w:color="auto"/>
            </w:tcBorders>
            <w:vAlign w:val="center"/>
            <w:hideMark/>
          </w:tcPr>
          <w:p w14:paraId="081CC1FC"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296" w:type="dxa"/>
            <w:vMerge/>
            <w:tcBorders>
              <w:top w:val="nil"/>
              <w:left w:val="single" w:sz="4" w:space="0" w:color="auto"/>
              <w:bottom w:val="single" w:sz="4" w:space="0" w:color="auto"/>
              <w:right w:val="single" w:sz="4" w:space="0" w:color="auto"/>
            </w:tcBorders>
            <w:vAlign w:val="center"/>
            <w:hideMark/>
          </w:tcPr>
          <w:p w14:paraId="524A9F26"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81" w:type="dxa"/>
            <w:gridSpan w:val="2"/>
            <w:vMerge/>
            <w:tcBorders>
              <w:top w:val="nil"/>
              <w:left w:val="single" w:sz="4" w:space="0" w:color="auto"/>
              <w:bottom w:val="single" w:sz="4" w:space="0" w:color="auto"/>
              <w:right w:val="single" w:sz="8" w:space="0" w:color="auto"/>
            </w:tcBorders>
            <w:vAlign w:val="center"/>
            <w:hideMark/>
          </w:tcPr>
          <w:p w14:paraId="13C858A6" w14:textId="77777777" w:rsidR="00276BA0" w:rsidRPr="00276BA0" w:rsidRDefault="00276BA0" w:rsidP="00276BA0">
            <w:pPr>
              <w:spacing w:after="0" w:line="240" w:lineRule="auto"/>
              <w:rPr>
                <w:rFonts w:ascii="Calibri" w:eastAsia="Times New Roman" w:hAnsi="Calibri" w:cs="Calibri"/>
                <w:sz w:val="20"/>
                <w:szCs w:val="20"/>
                <w:lang w:eastAsia="pt-BR"/>
              </w:rPr>
            </w:pPr>
          </w:p>
        </w:tc>
      </w:tr>
      <w:tr w:rsidR="00276BA0" w:rsidRPr="00276BA0" w14:paraId="4D053EFA"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27FEC5C4"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73F5B4D6"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275E45"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Índice de inadimplência pessoa jurídica (%)</w:t>
            </w:r>
            <w:r w:rsidRPr="00276BA0">
              <w:rPr>
                <w:rFonts w:ascii="Calibri" w:eastAsia="Times New Roman" w:hAnsi="Calibri" w:cs="Calibri"/>
                <w:sz w:val="20"/>
                <w:szCs w:val="20"/>
                <w:lang w:eastAsia="pt-BR"/>
              </w:rPr>
              <w:br/>
            </w:r>
            <w:r w:rsidRPr="00276BA0">
              <w:rPr>
                <w:rFonts w:ascii="Calibri" w:eastAsia="Times New Roman" w:hAnsi="Calibri" w:cs="Calibri"/>
                <w:b/>
                <w:bCs/>
                <w:sz w:val="20"/>
                <w:szCs w:val="20"/>
                <w:lang w:eastAsia="pt-BR"/>
              </w:rPr>
              <w:t>(CAU/UF)</w:t>
            </w:r>
          </w:p>
        </w:tc>
        <w:tc>
          <w:tcPr>
            <w:tcW w:w="39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583F87" w14:textId="77777777" w:rsidR="00276BA0" w:rsidRPr="00276BA0" w:rsidRDefault="00276BA0" w:rsidP="00276BA0">
            <w:pPr>
              <w:spacing w:after="0" w:line="240" w:lineRule="auto"/>
              <w:jc w:val="both"/>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Para sustentabilidade financeira, é importante acompanhar o nível de inadimplência, comparando a quantidade de empresas inadimplentes contra o total de empresas ativas.</w:t>
            </w:r>
          </w:p>
        </w:tc>
        <w:tc>
          <w:tcPr>
            <w:tcW w:w="3403" w:type="dxa"/>
            <w:tcBorders>
              <w:top w:val="nil"/>
              <w:left w:val="nil"/>
              <w:bottom w:val="single" w:sz="4" w:space="0" w:color="auto"/>
              <w:right w:val="nil"/>
            </w:tcBorders>
            <w:shd w:val="clear" w:color="000000" w:fill="FFFFFF"/>
            <w:vAlign w:val="bottom"/>
            <w:hideMark/>
          </w:tcPr>
          <w:p w14:paraId="0589FC4F"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total de empresas inadimplentes</w:t>
            </w:r>
          </w:p>
        </w:tc>
        <w:tc>
          <w:tcPr>
            <w:tcW w:w="748" w:type="dxa"/>
            <w:vMerge w:val="restart"/>
            <w:tcBorders>
              <w:top w:val="nil"/>
              <w:left w:val="nil"/>
              <w:bottom w:val="single" w:sz="4" w:space="0" w:color="auto"/>
              <w:right w:val="single" w:sz="4" w:space="0" w:color="auto"/>
            </w:tcBorders>
            <w:shd w:val="clear" w:color="000000" w:fill="FFFFFF"/>
            <w:vAlign w:val="center"/>
            <w:hideMark/>
          </w:tcPr>
          <w:p w14:paraId="19A10325"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x 100</w:t>
            </w:r>
          </w:p>
        </w:tc>
        <w:tc>
          <w:tcPr>
            <w:tcW w:w="129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026EDE"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Mensal</w:t>
            </w:r>
          </w:p>
        </w:tc>
        <w:tc>
          <w:tcPr>
            <w:tcW w:w="1681" w:type="dxa"/>
            <w:gridSpan w:val="2"/>
            <w:vMerge w:val="restart"/>
            <w:tcBorders>
              <w:top w:val="nil"/>
              <w:left w:val="single" w:sz="4" w:space="0" w:color="auto"/>
              <w:bottom w:val="single" w:sz="4" w:space="0" w:color="auto"/>
              <w:right w:val="single" w:sz="8" w:space="0" w:color="auto"/>
            </w:tcBorders>
            <w:shd w:val="clear" w:color="000000" w:fill="FFFFFF"/>
            <w:vAlign w:val="center"/>
            <w:hideMark/>
          </w:tcPr>
          <w:p w14:paraId="65641EFA"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SICCAU/IGEO, Planejamento e Orçamento</w:t>
            </w:r>
          </w:p>
        </w:tc>
      </w:tr>
      <w:tr w:rsidR="00B309A6" w:rsidRPr="00276BA0" w14:paraId="5901C00F"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5D4DD4B6"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0DE6266F"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tcBorders>
              <w:top w:val="nil"/>
              <w:left w:val="single" w:sz="4" w:space="0" w:color="auto"/>
              <w:bottom w:val="single" w:sz="4" w:space="0" w:color="auto"/>
              <w:right w:val="single" w:sz="4" w:space="0" w:color="auto"/>
            </w:tcBorders>
            <w:vAlign w:val="center"/>
            <w:hideMark/>
          </w:tcPr>
          <w:p w14:paraId="515D1B68"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935" w:type="dxa"/>
            <w:vMerge/>
            <w:tcBorders>
              <w:top w:val="nil"/>
              <w:left w:val="single" w:sz="4" w:space="0" w:color="auto"/>
              <w:bottom w:val="single" w:sz="4" w:space="0" w:color="auto"/>
              <w:right w:val="single" w:sz="4" w:space="0" w:color="auto"/>
            </w:tcBorders>
            <w:vAlign w:val="center"/>
            <w:hideMark/>
          </w:tcPr>
          <w:p w14:paraId="7BF14FA0"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403" w:type="dxa"/>
            <w:tcBorders>
              <w:top w:val="nil"/>
              <w:left w:val="nil"/>
              <w:bottom w:val="single" w:sz="4" w:space="0" w:color="auto"/>
              <w:right w:val="nil"/>
            </w:tcBorders>
            <w:shd w:val="clear" w:color="000000" w:fill="FFFFFF"/>
            <w:hideMark/>
          </w:tcPr>
          <w:p w14:paraId="7388AE13"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 xml:space="preserve">total de empresas ativas </w:t>
            </w:r>
          </w:p>
        </w:tc>
        <w:tc>
          <w:tcPr>
            <w:tcW w:w="748" w:type="dxa"/>
            <w:vMerge/>
            <w:tcBorders>
              <w:top w:val="nil"/>
              <w:left w:val="nil"/>
              <w:bottom w:val="single" w:sz="4" w:space="0" w:color="auto"/>
              <w:right w:val="single" w:sz="4" w:space="0" w:color="auto"/>
            </w:tcBorders>
            <w:vAlign w:val="center"/>
            <w:hideMark/>
          </w:tcPr>
          <w:p w14:paraId="5D8AFFF8"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296" w:type="dxa"/>
            <w:vMerge/>
            <w:tcBorders>
              <w:top w:val="nil"/>
              <w:left w:val="single" w:sz="4" w:space="0" w:color="auto"/>
              <w:bottom w:val="single" w:sz="4" w:space="0" w:color="auto"/>
              <w:right w:val="single" w:sz="4" w:space="0" w:color="auto"/>
            </w:tcBorders>
            <w:vAlign w:val="center"/>
            <w:hideMark/>
          </w:tcPr>
          <w:p w14:paraId="388AAAAE"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81" w:type="dxa"/>
            <w:gridSpan w:val="2"/>
            <w:vMerge/>
            <w:tcBorders>
              <w:top w:val="nil"/>
              <w:left w:val="single" w:sz="4" w:space="0" w:color="auto"/>
              <w:bottom w:val="single" w:sz="4" w:space="0" w:color="auto"/>
              <w:right w:val="single" w:sz="8" w:space="0" w:color="auto"/>
            </w:tcBorders>
            <w:vAlign w:val="center"/>
            <w:hideMark/>
          </w:tcPr>
          <w:p w14:paraId="3AC2AA08" w14:textId="77777777" w:rsidR="00276BA0" w:rsidRPr="00276BA0" w:rsidRDefault="00276BA0" w:rsidP="00276BA0">
            <w:pPr>
              <w:spacing w:after="0" w:line="240" w:lineRule="auto"/>
              <w:rPr>
                <w:rFonts w:ascii="Calibri" w:eastAsia="Times New Roman" w:hAnsi="Calibri" w:cs="Calibri"/>
                <w:sz w:val="20"/>
                <w:szCs w:val="20"/>
                <w:lang w:eastAsia="pt-BR"/>
              </w:rPr>
            </w:pPr>
          </w:p>
        </w:tc>
      </w:tr>
    </w:tbl>
    <w:p w14:paraId="019DC601" w14:textId="5AE9A897" w:rsidR="00D27C60" w:rsidRPr="004719E1" w:rsidRDefault="00D27C60" w:rsidP="00D27C60">
      <w:pPr>
        <w:spacing w:after="0"/>
        <w:ind w:left="-567"/>
        <w:rPr>
          <w:rFonts w:asciiTheme="majorHAnsi" w:hAnsiTheme="majorHAnsi" w:cstheme="majorHAnsi"/>
          <w:b/>
          <w:bCs/>
        </w:rPr>
      </w:pPr>
      <w:r w:rsidRPr="004719E1">
        <w:rPr>
          <w:rFonts w:asciiTheme="majorHAnsi" w:hAnsiTheme="majorHAnsi" w:cstheme="majorHAnsi"/>
          <w:b/>
          <w:bCs/>
        </w:rPr>
        <w:t>ANEXO I.k – Indicadores Institucionais e de Resultado – CAU UF</w:t>
      </w:r>
    </w:p>
    <w:tbl>
      <w:tblPr>
        <w:tblW w:w="15457" w:type="dxa"/>
        <w:tblInd w:w="-577" w:type="dxa"/>
        <w:tblCellMar>
          <w:left w:w="70" w:type="dxa"/>
          <w:right w:w="70" w:type="dxa"/>
        </w:tblCellMar>
        <w:tblLook w:val="04A0" w:firstRow="1" w:lastRow="0" w:firstColumn="1" w:lastColumn="0" w:noHBand="0" w:noVBand="1"/>
      </w:tblPr>
      <w:tblGrid>
        <w:gridCol w:w="1328"/>
        <w:gridCol w:w="1366"/>
        <w:gridCol w:w="1559"/>
        <w:gridCol w:w="4252"/>
        <w:gridCol w:w="3402"/>
        <w:gridCol w:w="709"/>
        <w:gridCol w:w="6"/>
        <w:gridCol w:w="1270"/>
        <w:gridCol w:w="6"/>
        <w:gridCol w:w="1553"/>
        <w:gridCol w:w="6"/>
      </w:tblGrid>
      <w:tr w:rsidR="00BB62A3" w:rsidRPr="00BB62A3" w14:paraId="5DBE6523" w14:textId="77777777" w:rsidTr="00335B2F">
        <w:trPr>
          <w:trHeight w:val="1575"/>
        </w:trPr>
        <w:tc>
          <w:tcPr>
            <w:tcW w:w="1328"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33C9A1F0" w14:textId="77777777"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Perspectiva</w:t>
            </w:r>
          </w:p>
        </w:tc>
        <w:tc>
          <w:tcPr>
            <w:tcW w:w="1366" w:type="dxa"/>
            <w:tcBorders>
              <w:top w:val="single" w:sz="8" w:space="0" w:color="auto"/>
              <w:left w:val="nil"/>
              <w:bottom w:val="single" w:sz="8" w:space="0" w:color="auto"/>
              <w:right w:val="single" w:sz="4" w:space="0" w:color="auto"/>
            </w:tcBorders>
            <w:shd w:val="clear" w:color="auto" w:fill="ED7D31" w:themeFill="accent2"/>
            <w:vAlign w:val="center"/>
            <w:hideMark/>
          </w:tcPr>
          <w:p w14:paraId="595654EB" w14:textId="77777777"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Objetivo Estratégico</w:t>
            </w:r>
          </w:p>
        </w:tc>
        <w:tc>
          <w:tcPr>
            <w:tcW w:w="1559" w:type="dxa"/>
            <w:tcBorders>
              <w:top w:val="single" w:sz="8" w:space="0" w:color="auto"/>
              <w:left w:val="nil"/>
              <w:bottom w:val="single" w:sz="8" w:space="0" w:color="auto"/>
              <w:right w:val="single" w:sz="4" w:space="0" w:color="auto"/>
            </w:tcBorders>
            <w:shd w:val="clear" w:color="auto" w:fill="ED7D31" w:themeFill="accent2"/>
            <w:vAlign w:val="center"/>
            <w:hideMark/>
          </w:tcPr>
          <w:p w14:paraId="6004A851" w14:textId="70565491"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Indicador</w:t>
            </w:r>
          </w:p>
        </w:tc>
        <w:tc>
          <w:tcPr>
            <w:tcW w:w="4252" w:type="dxa"/>
            <w:tcBorders>
              <w:top w:val="single" w:sz="8" w:space="0" w:color="auto"/>
              <w:left w:val="nil"/>
              <w:bottom w:val="single" w:sz="8" w:space="0" w:color="auto"/>
              <w:right w:val="single" w:sz="4" w:space="0" w:color="auto"/>
            </w:tcBorders>
            <w:shd w:val="clear" w:color="auto" w:fill="ED7D31" w:themeFill="accent2"/>
            <w:vAlign w:val="center"/>
            <w:hideMark/>
          </w:tcPr>
          <w:p w14:paraId="2DBA0950" w14:textId="77777777"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Descrição</w:t>
            </w:r>
          </w:p>
        </w:tc>
        <w:tc>
          <w:tcPr>
            <w:tcW w:w="4117" w:type="dxa"/>
            <w:gridSpan w:val="3"/>
            <w:tcBorders>
              <w:top w:val="single" w:sz="8" w:space="0" w:color="auto"/>
              <w:left w:val="nil"/>
              <w:bottom w:val="single" w:sz="8" w:space="0" w:color="auto"/>
              <w:right w:val="single" w:sz="4" w:space="0" w:color="auto"/>
            </w:tcBorders>
            <w:shd w:val="clear" w:color="auto" w:fill="ED7D31" w:themeFill="accent2"/>
            <w:noWrap/>
            <w:vAlign w:val="center"/>
            <w:hideMark/>
          </w:tcPr>
          <w:p w14:paraId="55040C64" w14:textId="77777777"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Fórmula de Cálculo</w:t>
            </w:r>
          </w:p>
        </w:tc>
        <w:tc>
          <w:tcPr>
            <w:tcW w:w="1276" w:type="dxa"/>
            <w:gridSpan w:val="2"/>
            <w:tcBorders>
              <w:top w:val="single" w:sz="8" w:space="0" w:color="auto"/>
              <w:left w:val="nil"/>
              <w:bottom w:val="single" w:sz="8" w:space="0" w:color="auto"/>
              <w:right w:val="single" w:sz="4" w:space="0" w:color="auto"/>
            </w:tcBorders>
            <w:shd w:val="clear" w:color="auto" w:fill="ED7D31" w:themeFill="accent2"/>
            <w:vAlign w:val="center"/>
            <w:hideMark/>
          </w:tcPr>
          <w:p w14:paraId="175C395D" w14:textId="77777777"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Frequência</w:t>
            </w:r>
            <w:r w:rsidRPr="00BB62A3">
              <w:rPr>
                <w:rFonts w:ascii="Calibri" w:eastAsia="Times New Roman" w:hAnsi="Calibri" w:cs="Calibri"/>
                <w:b/>
                <w:bCs/>
                <w:color w:val="FFFFFF"/>
                <w:sz w:val="20"/>
                <w:szCs w:val="20"/>
                <w:lang w:eastAsia="pt-BR"/>
              </w:rPr>
              <w:br/>
              <w:t>de Medição</w:t>
            </w:r>
          </w:p>
        </w:tc>
        <w:tc>
          <w:tcPr>
            <w:tcW w:w="1559" w:type="dxa"/>
            <w:gridSpan w:val="2"/>
            <w:tcBorders>
              <w:top w:val="single" w:sz="8" w:space="0" w:color="auto"/>
              <w:left w:val="nil"/>
              <w:bottom w:val="single" w:sz="8" w:space="0" w:color="auto"/>
              <w:right w:val="single" w:sz="8" w:space="0" w:color="auto"/>
            </w:tcBorders>
            <w:shd w:val="clear" w:color="auto" w:fill="ED7D31" w:themeFill="accent2"/>
            <w:vAlign w:val="center"/>
            <w:hideMark/>
          </w:tcPr>
          <w:p w14:paraId="481160E1" w14:textId="77777777"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Fonte do Indicador</w:t>
            </w:r>
          </w:p>
        </w:tc>
      </w:tr>
      <w:tr w:rsidR="00BB62A3" w:rsidRPr="00BB62A3" w14:paraId="4675D32D" w14:textId="77777777" w:rsidTr="00BB62A3">
        <w:trPr>
          <w:gridAfter w:val="1"/>
          <w:wAfter w:w="6" w:type="dxa"/>
          <w:trHeight w:val="870"/>
        </w:trPr>
        <w:tc>
          <w:tcPr>
            <w:tcW w:w="1328" w:type="dxa"/>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14:paraId="6C3AE1E7"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Alavancadores</w:t>
            </w:r>
          </w:p>
        </w:tc>
        <w:tc>
          <w:tcPr>
            <w:tcW w:w="13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F9543B"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Aprimorar e inovar os processos e as ações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2111E8"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Índice de mapeamento processos (%)</w:t>
            </w:r>
            <w:r w:rsidRPr="00BB62A3">
              <w:rPr>
                <w:rFonts w:ascii="Calibri" w:eastAsia="Times New Roman" w:hAnsi="Calibri" w:cs="Calibri"/>
                <w:sz w:val="20"/>
                <w:szCs w:val="20"/>
                <w:lang w:eastAsia="pt-BR"/>
              </w:rPr>
              <w:br/>
            </w:r>
            <w:r w:rsidRPr="00BB62A3">
              <w:rPr>
                <w:rFonts w:ascii="Calibri" w:eastAsia="Times New Roman" w:hAnsi="Calibri" w:cs="Calibri"/>
                <w:b/>
                <w:bCs/>
                <w:sz w:val="20"/>
                <w:szCs w:val="20"/>
                <w:lang w:eastAsia="pt-BR"/>
              </w:rPr>
              <w:t>(CAU/UF)</w:t>
            </w:r>
          </w:p>
        </w:tc>
        <w:tc>
          <w:tcPr>
            <w:tcW w:w="42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B8CD24" w14:textId="22C739DE" w:rsidR="00BB62A3" w:rsidRPr="00BB62A3" w:rsidRDefault="00BB62A3" w:rsidP="00BB62A3">
            <w:pPr>
              <w:spacing w:after="0" w:line="240" w:lineRule="auto"/>
              <w:jc w:val="both"/>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Para evoluir no aprimoramento de seus processos, o CAU necessita mapeá-los, defini-los e aprimorá-los. Esse índice mede a evolução no tempo de quantos processos estão sendo mapeados, conforme meta definida no plano de ação vigente.</w:t>
            </w:r>
          </w:p>
        </w:tc>
        <w:tc>
          <w:tcPr>
            <w:tcW w:w="3402" w:type="dxa"/>
            <w:tcBorders>
              <w:top w:val="single" w:sz="4" w:space="0" w:color="auto"/>
              <w:left w:val="nil"/>
              <w:bottom w:val="single" w:sz="4" w:space="0" w:color="auto"/>
              <w:right w:val="nil"/>
            </w:tcBorders>
            <w:shd w:val="clear" w:color="000000" w:fill="FFFFFF"/>
            <w:vAlign w:val="bottom"/>
            <w:hideMark/>
          </w:tcPr>
          <w:p w14:paraId="44A2D271"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número de processos mapeados</w:t>
            </w:r>
          </w:p>
        </w:tc>
        <w:tc>
          <w:tcPr>
            <w:tcW w:w="709" w:type="dxa"/>
            <w:vMerge w:val="restart"/>
            <w:tcBorders>
              <w:top w:val="single" w:sz="4" w:space="0" w:color="auto"/>
              <w:left w:val="nil"/>
              <w:bottom w:val="single" w:sz="4" w:space="0" w:color="auto"/>
              <w:right w:val="single" w:sz="4" w:space="0" w:color="auto"/>
            </w:tcBorders>
            <w:shd w:val="clear" w:color="000000" w:fill="FFFFFF"/>
            <w:vAlign w:val="center"/>
            <w:hideMark/>
          </w:tcPr>
          <w:p w14:paraId="35701643"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x 100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12E0AF"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 xml:space="preserve">Semestral </w:t>
            </w:r>
          </w:p>
        </w:tc>
        <w:tc>
          <w:tcPr>
            <w:tcW w:w="1559" w:type="dxa"/>
            <w:gridSpan w:val="2"/>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14:paraId="774252F7"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CAU/UF</w:t>
            </w:r>
          </w:p>
        </w:tc>
      </w:tr>
      <w:tr w:rsidR="00BB62A3" w:rsidRPr="00BB62A3" w14:paraId="7531E9A7" w14:textId="77777777" w:rsidTr="00BB62A3">
        <w:trPr>
          <w:gridAfter w:val="1"/>
          <w:wAfter w:w="6" w:type="dxa"/>
          <w:trHeight w:val="870"/>
        </w:trPr>
        <w:tc>
          <w:tcPr>
            <w:tcW w:w="1328" w:type="dxa"/>
            <w:vMerge/>
            <w:tcBorders>
              <w:top w:val="single" w:sz="4" w:space="0" w:color="auto"/>
              <w:left w:val="single" w:sz="8" w:space="0" w:color="auto"/>
              <w:bottom w:val="single" w:sz="4" w:space="0" w:color="auto"/>
              <w:right w:val="single" w:sz="4" w:space="0" w:color="auto"/>
            </w:tcBorders>
            <w:vAlign w:val="center"/>
            <w:hideMark/>
          </w:tcPr>
          <w:p w14:paraId="31335285"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18F184BF"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7E515B"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7D03CBD9"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3402" w:type="dxa"/>
            <w:tcBorders>
              <w:top w:val="nil"/>
              <w:left w:val="nil"/>
              <w:bottom w:val="single" w:sz="4" w:space="0" w:color="auto"/>
              <w:right w:val="nil"/>
            </w:tcBorders>
            <w:shd w:val="clear" w:color="000000" w:fill="FFFFFF"/>
            <w:hideMark/>
          </w:tcPr>
          <w:p w14:paraId="15B04217"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total de processos existentes</w:t>
            </w:r>
            <w:r w:rsidRPr="00BB62A3">
              <w:rPr>
                <w:rFonts w:ascii="Calibri" w:eastAsia="Times New Roman" w:hAnsi="Calibri" w:cs="Calibri"/>
                <w:b/>
                <w:bCs/>
                <w:sz w:val="20"/>
                <w:szCs w:val="20"/>
                <w:lang w:eastAsia="pt-BR"/>
              </w:rPr>
              <w:t xml:space="preserve"> </w:t>
            </w:r>
          </w:p>
        </w:tc>
        <w:tc>
          <w:tcPr>
            <w:tcW w:w="709" w:type="dxa"/>
            <w:vMerge/>
            <w:tcBorders>
              <w:top w:val="single" w:sz="4" w:space="0" w:color="auto"/>
              <w:left w:val="nil"/>
              <w:bottom w:val="single" w:sz="4" w:space="0" w:color="auto"/>
              <w:right w:val="single" w:sz="4" w:space="0" w:color="auto"/>
            </w:tcBorders>
            <w:vAlign w:val="center"/>
            <w:hideMark/>
          </w:tcPr>
          <w:p w14:paraId="25E42261"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C07BBA7"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gridSpan w:val="2"/>
            <w:vMerge/>
            <w:tcBorders>
              <w:top w:val="single" w:sz="4" w:space="0" w:color="auto"/>
              <w:left w:val="single" w:sz="4" w:space="0" w:color="auto"/>
              <w:bottom w:val="single" w:sz="4" w:space="0" w:color="auto"/>
              <w:right w:val="single" w:sz="8" w:space="0" w:color="auto"/>
            </w:tcBorders>
            <w:vAlign w:val="center"/>
            <w:hideMark/>
          </w:tcPr>
          <w:p w14:paraId="0FB6DC66" w14:textId="77777777" w:rsidR="00BB62A3" w:rsidRPr="00BB62A3" w:rsidRDefault="00BB62A3" w:rsidP="00BB62A3">
            <w:pPr>
              <w:spacing w:after="0" w:line="240" w:lineRule="auto"/>
              <w:rPr>
                <w:rFonts w:ascii="Calibri" w:eastAsia="Times New Roman" w:hAnsi="Calibri" w:cs="Calibri"/>
                <w:sz w:val="20"/>
                <w:szCs w:val="20"/>
                <w:lang w:eastAsia="pt-BR"/>
              </w:rPr>
            </w:pPr>
          </w:p>
        </w:tc>
      </w:tr>
      <w:tr w:rsidR="00BB62A3" w:rsidRPr="00BB62A3" w14:paraId="1A564724" w14:textId="77777777" w:rsidTr="00BB62A3">
        <w:trPr>
          <w:gridAfter w:val="1"/>
          <w:wAfter w:w="6" w:type="dxa"/>
          <w:trHeight w:val="870"/>
        </w:trPr>
        <w:tc>
          <w:tcPr>
            <w:tcW w:w="1328" w:type="dxa"/>
            <w:vMerge/>
            <w:tcBorders>
              <w:top w:val="single" w:sz="4" w:space="0" w:color="auto"/>
              <w:left w:val="single" w:sz="8" w:space="0" w:color="auto"/>
              <w:bottom w:val="single" w:sz="4" w:space="0" w:color="auto"/>
              <w:right w:val="single" w:sz="4" w:space="0" w:color="auto"/>
            </w:tcBorders>
            <w:vAlign w:val="center"/>
            <w:hideMark/>
          </w:tcPr>
          <w:p w14:paraId="16DD9924"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4E48BC17"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64992B"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Índice de normatização de processos (%)</w:t>
            </w:r>
            <w:r w:rsidRPr="00BB62A3">
              <w:rPr>
                <w:rFonts w:ascii="Calibri" w:eastAsia="Times New Roman" w:hAnsi="Calibri" w:cs="Calibri"/>
                <w:sz w:val="20"/>
                <w:szCs w:val="20"/>
                <w:lang w:eastAsia="pt-BR"/>
              </w:rPr>
              <w:br/>
            </w:r>
            <w:r w:rsidRPr="00BB62A3">
              <w:rPr>
                <w:rFonts w:ascii="Calibri" w:eastAsia="Times New Roman" w:hAnsi="Calibri" w:cs="Calibri"/>
                <w:b/>
                <w:bCs/>
                <w:sz w:val="20"/>
                <w:szCs w:val="20"/>
                <w:lang w:eastAsia="pt-BR"/>
              </w:rPr>
              <w:t>(CAU/UF)</w:t>
            </w:r>
          </w:p>
        </w:tc>
        <w:tc>
          <w:tcPr>
            <w:tcW w:w="4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54E628" w14:textId="6A7B99C6" w:rsidR="00BB62A3" w:rsidRPr="00BB62A3" w:rsidRDefault="00BB62A3" w:rsidP="00BB62A3">
            <w:pPr>
              <w:spacing w:after="0" w:line="240" w:lineRule="auto"/>
              <w:jc w:val="both"/>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Para evoluir no aprimoramento de seus processos, o CAU necessita normatizá-los, defini-los e aprimorá-los. Esse índice mede a evolução no tempo de quantos processos estão sendo normatizados, conforme meta definida no plano de ação vigente.</w:t>
            </w:r>
          </w:p>
        </w:tc>
        <w:tc>
          <w:tcPr>
            <w:tcW w:w="3402" w:type="dxa"/>
            <w:tcBorders>
              <w:top w:val="nil"/>
              <w:left w:val="nil"/>
              <w:bottom w:val="single" w:sz="4" w:space="0" w:color="auto"/>
              <w:right w:val="nil"/>
            </w:tcBorders>
            <w:shd w:val="clear" w:color="000000" w:fill="FFFFFF"/>
            <w:vAlign w:val="bottom"/>
            <w:hideMark/>
          </w:tcPr>
          <w:p w14:paraId="590E56B6"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número de processos normatizados</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16215737"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x 100</w:t>
            </w:r>
          </w:p>
        </w:tc>
        <w:tc>
          <w:tcPr>
            <w:tcW w:w="1276"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181B9D51"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 xml:space="preserve">Semestral </w:t>
            </w:r>
          </w:p>
        </w:tc>
        <w:tc>
          <w:tcPr>
            <w:tcW w:w="1559" w:type="dxa"/>
            <w:gridSpan w:val="2"/>
            <w:vMerge w:val="restart"/>
            <w:tcBorders>
              <w:top w:val="nil"/>
              <w:left w:val="single" w:sz="4" w:space="0" w:color="auto"/>
              <w:bottom w:val="single" w:sz="4" w:space="0" w:color="000000"/>
              <w:right w:val="single" w:sz="8" w:space="0" w:color="auto"/>
            </w:tcBorders>
            <w:shd w:val="clear" w:color="000000" w:fill="FFFFFF"/>
            <w:vAlign w:val="center"/>
            <w:hideMark/>
          </w:tcPr>
          <w:p w14:paraId="766EF913"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Plano de ação do CAU/UF</w:t>
            </w:r>
          </w:p>
        </w:tc>
      </w:tr>
      <w:tr w:rsidR="00BB62A3" w:rsidRPr="00BB62A3" w14:paraId="237BC676" w14:textId="77777777" w:rsidTr="00BB62A3">
        <w:trPr>
          <w:gridAfter w:val="1"/>
          <w:wAfter w:w="6" w:type="dxa"/>
          <w:trHeight w:val="870"/>
        </w:trPr>
        <w:tc>
          <w:tcPr>
            <w:tcW w:w="1328" w:type="dxa"/>
            <w:vMerge/>
            <w:tcBorders>
              <w:top w:val="single" w:sz="4" w:space="0" w:color="auto"/>
              <w:left w:val="single" w:sz="8" w:space="0" w:color="auto"/>
              <w:bottom w:val="single" w:sz="4" w:space="0" w:color="auto"/>
              <w:right w:val="single" w:sz="4" w:space="0" w:color="auto"/>
            </w:tcBorders>
            <w:vAlign w:val="center"/>
            <w:hideMark/>
          </w:tcPr>
          <w:p w14:paraId="7AF3DFA8"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78D816FB"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vMerge/>
            <w:tcBorders>
              <w:top w:val="nil"/>
              <w:left w:val="single" w:sz="4" w:space="0" w:color="auto"/>
              <w:bottom w:val="single" w:sz="4" w:space="0" w:color="auto"/>
              <w:right w:val="single" w:sz="4" w:space="0" w:color="auto"/>
            </w:tcBorders>
            <w:vAlign w:val="center"/>
            <w:hideMark/>
          </w:tcPr>
          <w:p w14:paraId="14F68B34"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4252" w:type="dxa"/>
            <w:vMerge/>
            <w:tcBorders>
              <w:top w:val="nil"/>
              <w:left w:val="single" w:sz="4" w:space="0" w:color="auto"/>
              <w:bottom w:val="single" w:sz="4" w:space="0" w:color="auto"/>
              <w:right w:val="single" w:sz="4" w:space="0" w:color="auto"/>
            </w:tcBorders>
            <w:vAlign w:val="center"/>
            <w:hideMark/>
          </w:tcPr>
          <w:p w14:paraId="514712A5"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3402" w:type="dxa"/>
            <w:tcBorders>
              <w:top w:val="nil"/>
              <w:left w:val="nil"/>
              <w:bottom w:val="single" w:sz="4" w:space="0" w:color="auto"/>
              <w:right w:val="nil"/>
            </w:tcBorders>
            <w:shd w:val="clear" w:color="000000" w:fill="FFFFFF"/>
            <w:hideMark/>
          </w:tcPr>
          <w:p w14:paraId="2EA32C18"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total de processos existentes</w:t>
            </w:r>
          </w:p>
        </w:tc>
        <w:tc>
          <w:tcPr>
            <w:tcW w:w="709" w:type="dxa"/>
            <w:vMerge/>
            <w:tcBorders>
              <w:top w:val="nil"/>
              <w:left w:val="nil"/>
              <w:bottom w:val="single" w:sz="4" w:space="0" w:color="auto"/>
              <w:right w:val="single" w:sz="4" w:space="0" w:color="auto"/>
            </w:tcBorders>
            <w:vAlign w:val="center"/>
            <w:hideMark/>
          </w:tcPr>
          <w:p w14:paraId="44DF5AA0"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276" w:type="dxa"/>
            <w:gridSpan w:val="2"/>
            <w:vMerge/>
            <w:tcBorders>
              <w:top w:val="nil"/>
              <w:left w:val="single" w:sz="4" w:space="0" w:color="auto"/>
              <w:bottom w:val="single" w:sz="4" w:space="0" w:color="auto"/>
              <w:right w:val="single" w:sz="4" w:space="0" w:color="auto"/>
            </w:tcBorders>
            <w:vAlign w:val="center"/>
            <w:hideMark/>
          </w:tcPr>
          <w:p w14:paraId="47A49806"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gridSpan w:val="2"/>
            <w:vMerge/>
            <w:tcBorders>
              <w:top w:val="nil"/>
              <w:left w:val="single" w:sz="4" w:space="0" w:color="auto"/>
              <w:bottom w:val="single" w:sz="4" w:space="0" w:color="000000"/>
              <w:right w:val="single" w:sz="8" w:space="0" w:color="auto"/>
            </w:tcBorders>
            <w:vAlign w:val="center"/>
            <w:hideMark/>
          </w:tcPr>
          <w:p w14:paraId="1068E73D" w14:textId="77777777" w:rsidR="00BB62A3" w:rsidRPr="00BB62A3" w:rsidRDefault="00BB62A3" w:rsidP="00BB62A3">
            <w:pPr>
              <w:spacing w:after="0" w:line="240" w:lineRule="auto"/>
              <w:rPr>
                <w:rFonts w:ascii="Calibri" w:eastAsia="Times New Roman" w:hAnsi="Calibri" w:cs="Calibri"/>
                <w:sz w:val="20"/>
                <w:szCs w:val="20"/>
                <w:lang w:eastAsia="pt-BR"/>
              </w:rPr>
            </w:pPr>
          </w:p>
        </w:tc>
      </w:tr>
      <w:tr w:rsidR="00BB62A3" w:rsidRPr="00BB62A3" w14:paraId="132EFCCA" w14:textId="77777777" w:rsidTr="00BB62A3">
        <w:trPr>
          <w:gridAfter w:val="1"/>
          <w:wAfter w:w="6" w:type="dxa"/>
          <w:trHeight w:val="870"/>
        </w:trPr>
        <w:tc>
          <w:tcPr>
            <w:tcW w:w="1328" w:type="dxa"/>
            <w:vMerge/>
            <w:tcBorders>
              <w:top w:val="single" w:sz="4" w:space="0" w:color="auto"/>
              <w:left w:val="single" w:sz="8" w:space="0" w:color="auto"/>
              <w:bottom w:val="single" w:sz="4" w:space="0" w:color="auto"/>
              <w:right w:val="single" w:sz="4" w:space="0" w:color="auto"/>
            </w:tcBorders>
            <w:vAlign w:val="center"/>
            <w:hideMark/>
          </w:tcPr>
          <w:p w14:paraId="5E79524A"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6F56CE47"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345B1F"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Índice de automação de processos (%)</w:t>
            </w:r>
            <w:r w:rsidRPr="00BB62A3">
              <w:rPr>
                <w:rFonts w:ascii="Calibri" w:eastAsia="Times New Roman" w:hAnsi="Calibri" w:cs="Calibri"/>
                <w:sz w:val="20"/>
                <w:szCs w:val="20"/>
                <w:lang w:eastAsia="pt-BR"/>
              </w:rPr>
              <w:br/>
            </w:r>
            <w:r w:rsidRPr="00BB62A3">
              <w:rPr>
                <w:rFonts w:ascii="Calibri" w:eastAsia="Times New Roman" w:hAnsi="Calibri" w:cs="Calibri"/>
                <w:b/>
                <w:bCs/>
                <w:sz w:val="20"/>
                <w:szCs w:val="20"/>
                <w:lang w:eastAsia="pt-BR"/>
              </w:rPr>
              <w:t>(CAU/UF)</w:t>
            </w:r>
          </w:p>
        </w:tc>
        <w:tc>
          <w:tcPr>
            <w:tcW w:w="4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98B2AB" w14:textId="48972BE4" w:rsidR="00BB62A3" w:rsidRPr="00BB62A3" w:rsidRDefault="00BB62A3" w:rsidP="00BB62A3">
            <w:pPr>
              <w:spacing w:after="0" w:line="240" w:lineRule="auto"/>
              <w:jc w:val="both"/>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Para evoluir no aprimoramento de seus processos, o CAU necessita automatizá-los, defini-los e aprimorá-los. Esse índice mede a evolução no tempo de quantos processos estão sendo automatizados (no SGI ou outro programa), conforme meta definida no plano de ação vigente.</w:t>
            </w:r>
          </w:p>
        </w:tc>
        <w:tc>
          <w:tcPr>
            <w:tcW w:w="3402" w:type="dxa"/>
            <w:tcBorders>
              <w:top w:val="nil"/>
              <w:left w:val="nil"/>
              <w:bottom w:val="single" w:sz="4" w:space="0" w:color="auto"/>
              <w:right w:val="nil"/>
            </w:tcBorders>
            <w:shd w:val="clear" w:color="000000" w:fill="FFFFFF"/>
            <w:vAlign w:val="bottom"/>
            <w:hideMark/>
          </w:tcPr>
          <w:p w14:paraId="340B0E15"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número de processos automatizados</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27280BCE"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x 100</w:t>
            </w:r>
          </w:p>
        </w:tc>
        <w:tc>
          <w:tcPr>
            <w:tcW w:w="1276"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6599EF3"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 xml:space="preserve">Semestral </w:t>
            </w:r>
          </w:p>
        </w:tc>
        <w:tc>
          <w:tcPr>
            <w:tcW w:w="1559" w:type="dxa"/>
            <w:gridSpan w:val="2"/>
            <w:vMerge w:val="restart"/>
            <w:tcBorders>
              <w:top w:val="nil"/>
              <w:left w:val="single" w:sz="4" w:space="0" w:color="auto"/>
              <w:bottom w:val="single" w:sz="4" w:space="0" w:color="000000"/>
              <w:right w:val="single" w:sz="8" w:space="0" w:color="auto"/>
            </w:tcBorders>
            <w:shd w:val="clear" w:color="000000" w:fill="FFFFFF"/>
            <w:vAlign w:val="center"/>
            <w:hideMark/>
          </w:tcPr>
          <w:p w14:paraId="7733A432"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Plano de ação do CAU/UF</w:t>
            </w:r>
          </w:p>
        </w:tc>
      </w:tr>
      <w:tr w:rsidR="00BB62A3" w:rsidRPr="00BB62A3" w14:paraId="3EA2F974" w14:textId="77777777" w:rsidTr="00BB62A3">
        <w:trPr>
          <w:gridAfter w:val="1"/>
          <w:wAfter w:w="6" w:type="dxa"/>
          <w:trHeight w:val="870"/>
        </w:trPr>
        <w:tc>
          <w:tcPr>
            <w:tcW w:w="1328" w:type="dxa"/>
            <w:vMerge/>
            <w:tcBorders>
              <w:top w:val="single" w:sz="4" w:space="0" w:color="auto"/>
              <w:left w:val="single" w:sz="8" w:space="0" w:color="auto"/>
              <w:bottom w:val="single" w:sz="4" w:space="0" w:color="auto"/>
              <w:right w:val="single" w:sz="4" w:space="0" w:color="auto"/>
            </w:tcBorders>
            <w:vAlign w:val="center"/>
            <w:hideMark/>
          </w:tcPr>
          <w:p w14:paraId="0CA49725"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21471E0A"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vMerge/>
            <w:tcBorders>
              <w:top w:val="nil"/>
              <w:left w:val="single" w:sz="4" w:space="0" w:color="auto"/>
              <w:bottom w:val="single" w:sz="4" w:space="0" w:color="auto"/>
              <w:right w:val="single" w:sz="4" w:space="0" w:color="auto"/>
            </w:tcBorders>
            <w:vAlign w:val="center"/>
            <w:hideMark/>
          </w:tcPr>
          <w:p w14:paraId="405836EE"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4252" w:type="dxa"/>
            <w:vMerge/>
            <w:tcBorders>
              <w:top w:val="nil"/>
              <w:left w:val="single" w:sz="4" w:space="0" w:color="auto"/>
              <w:bottom w:val="single" w:sz="4" w:space="0" w:color="auto"/>
              <w:right w:val="single" w:sz="4" w:space="0" w:color="auto"/>
            </w:tcBorders>
            <w:vAlign w:val="center"/>
            <w:hideMark/>
          </w:tcPr>
          <w:p w14:paraId="13402560"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3402" w:type="dxa"/>
            <w:tcBorders>
              <w:top w:val="nil"/>
              <w:left w:val="nil"/>
              <w:bottom w:val="single" w:sz="4" w:space="0" w:color="auto"/>
              <w:right w:val="nil"/>
            </w:tcBorders>
            <w:shd w:val="clear" w:color="000000" w:fill="FFFFFF"/>
            <w:hideMark/>
          </w:tcPr>
          <w:p w14:paraId="1EE69058"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total de processos existentes</w:t>
            </w:r>
          </w:p>
        </w:tc>
        <w:tc>
          <w:tcPr>
            <w:tcW w:w="709" w:type="dxa"/>
            <w:vMerge/>
            <w:tcBorders>
              <w:top w:val="nil"/>
              <w:left w:val="nil"/>
              <w:bottom w:val="single" w:sz="4" w:space="0" w:color="auto"/>
              <w:right w:val="single" w:sz="4" w:space="0" w:color="auto"/>
            </w:tcBorders>
            <w:vAlign w:val="center"/>
            <w:hideMark/>
          </w:tcPr>
          <w:p w14:paraId="0E3C49DA"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276" w:type="dxa"/>
            <w:gridSpan w:val="2"/>
            <w:vMerge/>
            <w:tcBorders>
              <w:top w:val="nil"/>
              <w:left w:val="single" w:sz="4" w:space="0" w:color="auto"/>
              <w:bottom w:val="single" w:sz="4" w:space="0" w:color="auto"/>
              <w:right w:val="single" w:sz="4" w:space="0" w:color="auto"/>
            </w:tcBorders>
            <w:vAlign w:val="center"/>
            <w:hideMark/>
          </w:tcPr>
          <w:p w14:paraId="39E9E76B"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gridSpan w:val="2"/>
            <w:vMerge/>
            <w:tcBorders>
              <w:top w:val="nil"/>
              <w:left w:val="single" w:sz="4" w:space="0" w:color="auto"/>
              <w:bottom w:val="single" w:sz="4" w:space="0" w:color="000000"/>
              <w:right w:val="single" w:sz="8" w:space="0" w:color="auto"/>
            </w:tcBorders>
            <w:vAlign w:val="center"/>
            <w:hideMark/>
          </w:tcPr>
          <w:p w14:paraId="5D5FC8B0" w14:textId="77777777" w:rsidR="00BB62A3" w:rsidRPr="00BB62A3" w:rsidRDefault="00BB62A3" w:rsidP="00BB62A3">
            <w:pPr>
              <w:spacing w:after="0" w:line="240" w:lineRule="auto"/>
              <w:rPr>
                <w:rFonts w:ascii="Calibri" w:eastAsia="Times New Roman" w:hAnsi="Calibri" w:cs="Calibri"/>
                <w:sz w:val="20"/>
                <w:szCs w:val="20"/>
                <w:lang w:eastAsia="pt-BR"/>
              </w:rPr>
            </w:pPr>
          </w:p>
        </w:tc>
      </w:tr>
      <w:tr w:rsidR="00BB62A3" w:rsidRPr="00BB62A3" w14:paraId="6AD552B0" w14:textId="77777777" w:rsidTr="00BB62A3">
        <w:trPr>
          <w:trHeight w:val="870"/>
        </w:trPr>
        <w:tc>
          <w:tcPr>
            <w:tcW w:w="1328" w:type="dxa"/>
            <w:vMerge w:val="restart"/>
            <w:tcBorders>
              <w:top w:val="nil"/>
              <w:left w:val="single" w:sz="8" w:space="0" w:color="auto"/>
              <w:bottom w:val="single" w:sz="4" w:space="0" w:color="auto"/>
              <w:right w:val="single" w:sz="4" w:space="0" w:color="auto"/>
            </w:tcBorders>
            <w:shd w:val="clear" w:color="000000" w:fill="FFFFFF"/>
            <w:vAlign w:val="center"/>
            <w:hideMark/>
          </w:tcPr>
          <w:p w14:paraId="0D48B81A"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Pessoas e Infraestrutura</w:t>
            </w:r>
          </w:p>
        </w:tc>
        <w:tc>
          <w:tcPr>
            <w:tcW w:w="136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CB7292"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Desenvolver competências de dirigentes e colaboradores</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F71C90"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Média de horas de treinamento por colaboradores e dirigentes</w:t>
            </w:r>
            <w:r w:rsidRPr="00BB62A3">
              <w:rPr>
                <w:rFonts w:ascii="Calibri" w:eastAsia="Times New Roman" w:hAnsi="Calibri" w:cs="Calibri"/>
                <w:sz w:val="20"/>
                <w:szCs w:val="20"/>
                <w:lang w:eastAsia="pt-BR"/>
              </w:rPr>
              <w:br/>
            </w:r>
            <w:r w:rsidRPr="00BB62A3">
              <w:rPr>
                <w:rFonts w:ascii="Calibri" w:eastAsia="Times New Roman" w:hAnsi="Calibri" w:cs="Calibri"/>
                <w:b/>
                <w:bCs/>
                <w:sz w:val="20"/>
                <w:szCs w:val="20"/>
                <w:lang w:eastAsia="pt-BR"/>
              </w:rPr>
              <w:t>(CAU/UF)</w:t>
            </w:r>
          </w:p>
        </w:tc>
        <w:tc>
          <w:tcPr>
            <w:tcW w:w="4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0F8BC4" w14:textId="77777777" w:rsidR="00BB62A3" w:rsidRPr="00BB62A3" w:rsidRDefault="00BB62A3" w:rsidP="00BB62A3">
            <w:pPr>
              <w:spacing w:after="0" w:line="240" w:lineRule="auto"/>
              <w:jc w:val="both"/>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Para medir se estão sendo dedicadas horas suficientes de treinamento, na média, para os colaboradores e dirigentes do CAU. Compara o total de horas dedicadas a treinamentos com o total de colaboradores e dirigentes.</w:t>
            </w:r>
          </w:p>
        </w:tc>
        <w:tc>
          <w:tcPr>
            <w:tcW w:w="4117" w:type="dxa"/>
            <w:gridSpan w:val="3"/>
            <w:tcBorders>
              <w:top w:val="single" w:sz="4" w:space="0" w:color="auto"/>
              <w:left w:val="nil"/>
              <w:bottom w:val="single" w:sz="4" w:space="0" w:color="auto"/>
              <w:right w:val="single" w:sz="4" w:space="0" w:color="000000"/>
            </w:tcBorders>
            <w:shd w:val="clear" w:color="000000" w:fill="FFFFFF"/>
            <w:vAlign w:val="bottom"/>
            <w:hideMark/>
          </w:tcPr>
          <w:p w14:paraId="5271B4AB"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 xml:space="preserve">horas totais de treinamento </w:t>
            </w:r>
          </w:p>
        </w:tc>
        <w:tc>
          <w:tcPr>
            <w:tcW w:w="1276"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6F2CF57C"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Anual</w:t>
            </w:r>
          </w:p>
        </w:tc>
        <w:tc>
          <w:tcPr>
            <w:tcW w:w="1559" w:type="dxa"/>
            <w:gridSpan w:val="2"/>
            <w:vMerge w:val="restart"/>
            <w:tcBorders>
              <w:top w:val="nil"/>
              <w:left w:val="single" w:sz="4" w:space="0" w:color="auto"/>
              <w:bottom w:val="single" w:sz="4" w:space="0" w:color="auto"/>
              <w:right w:val="single" w:sz="8" w:space="0" w:color="auto"/>
            </w:tcBorders>
            <w:shd w:val="clear" w:color="000000" w:fill="FFFFFF"/>
            <w:vAlign w:val="center"/>
            <w:hideMark/>
          </w:tcPr>
          <w:p w14:paraId="2AD28F6F"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CAU/UF</w:t>
            </w:r>
          </w:p>
        </w:tc>
      </w:tr>
      <w:tr w:rsidR="00BB62A3" w:rsidRPr="00BB62A3" w14:paraId="3BEF82F9" w14:textId="77777777" w:rsidTr="00BB62A3">
        <w:trPr>
          <w:trHeight w:val="870"/>
        </w:trPr>
        <w:tc>
          <w:tcPr>
            <w:tcW w:w="1328" w:type="dxa"/>
            <w:vMerge/>
            <w:tcBorders>
              <w:top w:val="nil"/>
              <w:left w:val="single" w:sz="8" w:space="0" w:color="auto"/>
              <w:bottom w:val="single" w:sz="4" w:space="0" w:color="auto"/>
              <w:right w:val="single" w:sz="4" w:space="0" w:color="auto"/>
            </w:tcBorders>
            <w:vAlign w:val="center"/>
            <w:hideMark/>
          </w:tcPr>
          <w:p w14:paraId="14D22114"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366" w:type="dxa"/>
            <w:vMerge/>
            <w:tcBorders>
              <w:top w:val="nil"/>
              <w:left w:val="single" w:sz="4" w:space="0" w:color="auto"/>
              <w:bottom w:val="single" w:sz="4" w:space="0" w:color="auto"/>
              <w:right w:val="single" w:sz="4" w:space="0" w:color="auto"/>
            </w:tcBorders>
            <w:vAlign w:val="center"/>
            <w:hideMark/>
          </w:tcPr>
          <w:p w14:paraId="5C4BA88C"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vMerge/>
            <w:tcBorders>
              <w:top w:val="nil"/>
              <w:left w:val="single" w:sz="4" w:space="0" w:color="auto"/>
              <w:bottom w:val="single" w:sz="4" w:space="0" w:color="auto"/>
              <w:right w:val="single" w:sz="4" w:space="0" w:color="auto"/>
            </w:tcBorders>
            <w:vAlign w:val="center"/>
            <w:hideMark/>
          </w:tcPr>
          <w:p w14:paraId="5D8DEA1C"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4252" w:type="dxa"/>
            <w:vMerge/>
            <w:tcBorders>
              <w:top w:val="nil"/>
              <w:left w:val="single" w:sz="4" w:space="0" w:color="auto"/>
              <w:bottom w:val="single" w:sz="4" w:space="0" w:color="auto"/>
              <w:right w:val="single" w:sz="4" w:space="0" w:color="auto"/>
            </w:tcBorders>
            <w:vAlign w:val="center"/>
            <w:hideMark/>
          </w:tcPr>
          <w:p w14:paraId="285B198D"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4117" w:type="dxa"/>
            <w:gridSpan w:val="3"/>
            <w:tcBorders>
              <w:top w:val="single" w:sz="4" w:space="0" w:color="auto"/>
              <w:left w:val="nil"/>
              <w:bottom w:val="single" w:sz="4" w:space="0" w:color="auto"/>
              <w:right w:val="single" w:sz="4" w:space="0" w:color="000000"/>
            </w:tcBorders>
            <w:shd w:val="clear" w:color="000000" w:fill="FFFFFF"/>
            <w:hideMark/>
          </w:tcPr>
          <w:p w14:paraId="49F006D8"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número total de colaboradores e dirigentes</w:t>
            </w:r>
          </w:p>
        </w:tc>
        <w:tc>
          <w:tcPr>
            <w:tcW w:w="1276" w:type="dxa"/>
            <w:gridSpan w:val="2"/>
            <w:vMerge/>
            <w:tcBorders>
              <w:top w:val="nil"/>
              <w:left w:val="single" w:sz="4" w:space="0" w:color="auto"/>
              <w:bottom w:val="single" w:sz="4" w:space="0" w:color="auto"/>
              <w:right w:val="single" w:sz="4" w:space="0" w:color="auto"/>
            </w:tcBorders>
            <w:vAlign w:val="center"/>
            <w:hideMark/>
          </w:tcPr>
          <w:p w14:paraId="18437765"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gridSpan w:val="2"/>
            <w:vMerge/>
            <w:tcBorders>
              <w:top w:val="nil"/>
              <w:left w:val="single" w:sz="4" w:space="0" w:color="auto"/>
              <w:bottom w:val="single" w:sz="4" w:space="0" w:color="auto"/>
              <w:right w:val="single" w:sz="8" w:space="0" w:color="auto"/>
            </w:tcBorders>
            <w:vAlign w:val="center"/>
            <w:hideMark/>
          </w:tcPr>
          <w:p w14:paraId="6F4818E2" w14:textId="77777777" w:rsidR="00BB62A3" w:rsidRPr="00BB62A3" w:rsidRDefault="00BB62A3" w:rsidP="00BB62A3">
            <w:pPr>
              <w:spacing w:after="0" w:line="240" w:lineRule="auto"/>
              <w:rPr>
                <w:rFonts w:ascii="Calibri" w:eastAsia="Times New Roman" w:hAnsi="Calibri" w:cs="Calibri"/>
                <w:sz w:val="20"/>
                <w:szCs w:val="20"/>
                <w:lang w:eastAsia="pt-BR"/>
              </w:rPr>
            </w:pPr>
          </w:p>
        </w:tc>
      </w:tr>
    </w:tbl>
    <w:p w14:paraId="0FACA552" w14:textId="3E0282F7" w:rsidR="00D27C60" w:rsidRPr="004719E1" w:rsidRDefault="00D27C60" w:rsidP="00D27C60">
      <w:pPr>
        <w:spacing w:after="0"/>
        <w:ind w:left="-567"/>
        <w:rPr>
          <w:rFonts w:asciiTheme="majorHAnsi" w:hAnsiTheme="majorHAnsi" w:cstheme="majorHAnsi"/>
          <w:b/>
          <w:bCs/>
        </w:rPr>
      </w:pPr>
      <w:r w:rsidRPr="004719E1">
        <w:rPr>
          <w:rFonts w:asciiTheme="majorHAnsi" w:hAnsiTheme="majorHAnsi" w:cstheme="majorHAnsi"/>
          <w:b/>
          <w:bCs/>
        </w:rPr>
        <w:t>ANEXO I.l – Indicadores Institucionais e de Resultado – CAU UF</w:t>
      </w:r>
    </w:p>
    <w:tbl>
      <w:tblPr>
        <w:tblW w:w="15451" w:type="dxa"/>
        <w:tblInd w:w="-577" w:type="dxa"/>
        <w:tblCellMar>
          <w:left w:w="70" w:type="dxa"/>
          <w:right w:w="70" w:type="dxa"/>
        </w:tblCellMar>
        <w:tblLook w:val="04A0" w:firstRow="1" w:lastRow="0" w:firstColumn="1" w:lastColumn="0" w:noHBand="0" w:noVBand="1"/>
      </w:tblPr>
      <w:tblGrid>
        <w:gridCol w:w="1419"/>
        <w:gridCol w:w="1983"/>
        <w:gridCol w:w="2127"/>
        <w:gridCol w:w="2976"/>
        <w:gridCol w:w="3488"/>
        <w:gridCol w:w="765"/>
        <w:gridCol w:w="1276"/>
        <w:gridCol w:w="1417"/>
      </w:tblGrid>
      <w:tr w:rsidR="00202355" w:rsidRPr="00202355" w14:paraId="73FE6F6B" w14:textId="77777777" w:rsidTr="00335B2F">
        <w:trPr>
          <w:trHeight w:val="1575"/>
        </w:trPr>
        <w:tc>
          <w:tcPr>
            <w:tcW w:w="1419" w:type="dxa"/>
            <w:tcBorders>
              <w:top w:val="single" w:sz="8" w:space="0" w:color="auto"/>
              <w:left w:val="single" w:sz="8" w:space="0" w:color="auto"/>
              <w:bottom w:val="single" w:sz="8" w:space="0" w:color="auto"/>
              <w:right w:val="single" w:sz="4" w:space="0" w:color="auto"/>
            </w:tcBorders>
            <w:shd w:val="clear" w:color="auto" w:fill="ED7D31" w:themeFill="accent2"/>
            <w:vAlign w:val="center"/>
            <w:hideMark/>
          </w:tcPr>
          <w:p w14:paraId="7BB06585" w14:textId="77777777"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Perspectiva</w:t>
            </w:r>
          </w:p>
        </w:tc>
        <w:tc>
          <w:tcPr>
            <w:tcW w:w="1983" w:type="dxa"/>
            <w:tcBorders>
              <w:top w:val="single" w:sz="8" w:space="0" w:color="auto"/>
              <w:left w:val="nil"/>
              <w:bottom w:val="single" w:sz="8" w:space="0" w:color="auto"/>
              <w:right w:val="single" w:sz="4" w:space="0" w:color="auto"/>
            </w:tcBorders>
            <w:shd w:val="clear" w:color="auto" w:fill="ED7D31" w:themeFill="accent2"/>
            <w:vAlign w:val="center"/>
            <w:hideMark/>
          </w:tcPr>
          <w:p w14:paraId="39339E3F" w14:textId="77777777"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Objetivo Estratégico</w:t>
            </w:r>
          </w:p>
        </w:tc>
        <w:tc>
          <w:tcPr>
            <w:tcW w:w="2127" w:type="dxa"/>
            <w:tcBorders>
              <w:top w:val="single" w:sz="8" w:space="0" w:color="auto"/>
              <w:left w:val="nil"/>
              <w:bottom w:val="single" w:sz="8" w:space="0" w:color="auto"/>
              <w:right w:val="single" w:sz="4" w:space="0" w:color="auto"/>
            </w:tcBorders>
            <w:shd w:val="clear" w:color="auto" w:fill="ED7D31" w:themeFill="accent2"/>
            <w:vAlign w:val="center"/>
            <w:hideMark/>
          </w:tcPr>
          <w:p w14:paraId="0C4AA557" w14:textId="0511630C"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Indicador</w:t>
            </w:r>
          </w:p>
        </w:tc>
        <w:tc>
          <w:tcPr>
            <w:tcW w:w="2976" w:type="dxa"/>
            <w:tcBorders>
              <w:top w:val="single" w:sz="8" w:space="0" w:color="auto"/>
              <w:left w:val="nil"/>
              <w:bottom w:val="single" w:sz="8" w:space="0" w:color="auto"/>
              <w:right w:val="single" w:sz="4" w:space="0" w:color="auto"/>
            </w:tcBorders>
            <w:shd w:val="clear" w:color="auto" w:fill="ED7D31" w:themeFill="accent2"/>
            <w:vAlign w:val="center"/>
            <w:hideMark/>
          </w:tcPr>
          <w:p w14:paraId="26B5B4E7" w14:textId="77777777"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Descrição</w:t>
            </w:r>
          </w:p>
        </w:tc>
        <w:tc>
          <w:tcPr>
            <w:tcW w:w="4253" w:type="dxa"/>
            <w:gridSpan w:val="2"/>
            <w:tcBorders>
              <w:top w:val="single" w:sz="8" w:space="0" w:color="auto"/>
              <w:left w:val="nil"/>
              <w:bottom w:val="single" w:sz="8" w:space="0" w:color="auto"/>
              <w:right w:val="single" w:sz="4" w:space="0" w:color="auto"/>
            </w:tcBorders>
            <w:shd w:val="clear" w:color="auto" w:fill="ED7D31" w:themeFill="accent2"/>
            <w:noWrap/>
            <w:vAlign w:val="center"/>
            <w:hideMark/>
          </w:tcPr>
          <w:p w14:paraId="23E9C189" w14:textId="77777777"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Fórmula de Cálculo</w:t>
            </w:r>
          </w:p>
        </w:tc>
        <w:tc>
          <w:tcPr>
            <w:tcW w:w="1276" w:type="dxa"/>
            <w:tcBorders>
              <w:top w:val="single" w:sz="8" w:space="0" w:color="auto"/>
              <w:left w:val="nil"/>
              <w:bottom w:val="single" w:sz="8" w:space="0" w:color="auto"/>
              <w:right w:val="single" w:sz="4" w:space="0" w:color="auto"/>
            </w:tcBorders>
            <w:shd w:val="clear" w:color="auto" w:fill="ED7D31" w:themeFill="accent2"/>
            <w:vAlign w:val="center"/>
            <w:hideMark/>
          </w:tcPr>
          <w:p w14:paraId="59B26069" w14:textId="77777777"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Frequência</w:t>
            </w:r>
            <w:r w:rsidRPr="00202355">
              <w:rPr>
                <w:rFonts w:ascii="Calibri" w:eastAsia="Times New Roman" w:hAnsi="Calibri" w:cs="Calibri"/>
                <w:b/>
                <w:bCs/>
                <w:color w:val="FFFFFF"/>
                <w:sz w:val="20"/>
                <w:szCs w:val="20"/>
                <w:lang w:eastAsia="pt-BR"/>
              </w:rPr>
              <w:br/>
              <w:t>de Medição</w:t>
            </w:r>
          </w:p>
        </w:tc>
        <w:tc>
          <w:tcPr>
            <w:tcW w:w="1417" w:type="dxa"/>
            <w:tcBorders>
              <w:top w:val="single" w:sz="8" w:space="0" w:color="auto"/>
              <w:left w:val="nil"/>
              <w:bottom w:val="single" w:sz="8" w:space="0" w:color="auto"/>
              <w:right w:val="single" w:sz="8" w:space="0" w:color="auto"/>
            </w:tcBorders>
            <w:shd w:val="clear" w:color="auto" w:fill="ED7D31" w:themeFill="accent2"/>
            <w:vAlign w:val="center"/>
            <w:hideMark/>
          </w:tcPr>
          <w:p w14:paraId="2B298C77" w14:textId="77777777"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Fonte do Indicador</w:t>
            </w:r>
          </w:p>
        </w:tc>
      </w:tr>
      <w:tr w:rsidR="00202355" w:rsidRPr="00202355" w14:paraId="046CED07" w14:textId="77777777" w:rsidTr="002F0921">
        <w:trPr>
          <w:trHeight w:val="1662"/>
        </w:trPr>
        <w:tc>
          <w:tcPr>
            <w:tcW w:w="1419"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030552F0"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Pessoas e Infraestrutura</w:t>
            </w:r>
          </w:p>
        </w:tc>
        <w:tc>
          <w:tcPr>
            <w:tcW w:w="19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4B666C"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Construir cultura organizacional adequada à estratégia</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DA54801"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Número de ações executadas</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38C82834" w14:textId="77777777" w:rsidR="00202355" w:rsidRPr="00202355" w:rsidRDefault="00202355" w:rsidP="00202355">
            <w:pPr>
              <w:spacing w:after="0" w:line="240" w:lineRule="auto"/>
              <w:jc w:val="both"/>
              <w:rPr>
                <w:rFonts w:ascii="Calibri" w:eastAsia="Times New Roman" w:hAnsi="Calibri" w:cs="Calibri"/>
                <w:color w:val="000000"/>
                <w:sz w:val="20"/>
                <w:szCs w:val="20"/>
                <w:lang w:eastAsia="pt-BR"/>
              </w:rPr>
            </w:pPr>
            <w:r w:rsidRPr="00202355">
              <w:rPr>
                <w:rFonts w:ascii="Calibri" w:eastAsia="Times New Roman" w:hAnsi="Calibri" w:cs="Calibri"/>
                <w:color w:val="000000"/>
                <w:sz w:val="20"/>
                <w:szCs w:val="20"/>
                <w:lang w:eastAsia="pt-BR"/>
              </w:rPr>
              <w:t>Mede a quantidade de ações previstas em prol da cultura organizacional e estratégia no Plano de Ação aprovado</w:t>
            </w:r>
          </w:p>
        </w:tc>
        <w:tc>
          <w:tcPr>
            <w:tcW w:w="4253" w:type="dxa"/>
            <w:gridSpan w:val="2"/>
            <w:tcBorders>
              <w:top w:val="single" w:sz="4" w:space="0" w:color="auto"/>
              <w:left w:val="nil"/>
              <w:bottom w:val="single" w:sz="4" w:space="0" w:color="auto"/>
              <w:right w:val="single" w:sz="4" w:space="0" w:color="000000"/>
            </w:tcBorders>
            <w:shd w:val="clear" w:color="000000" w:fill="FFFFFF"/>
            <w:vAlign w:val="center"/>
            <w:hideMark/>
          </w:tcPr>
          <w:p w14:paraId="71BB248F"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quantidade de ações executadas voltadas à cultura organizacional e estratégia</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37681B4"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Anual</w:t>
            </w:r>
          </w:p>
        </w:tc>
        <w:tc>
          <w:tcPr>
            <w:tcW w:w="1417" w:type="dxa"/>
            <w:tcBorders>
              <w:top w:val="single" w:sz="4" w:space="0" w:color="auto"/>
              <w:left w:val="nil"/>
              <w:bottom w:val="single" w:sz="4" w:space="0" w:color="auto"/>
              <w:right w:val="single" w:sz="8" w:space="0" w:color="auto"/>
            </w:tcBorders>
            <w:shd w:val="clear" w:color="000000" w:fill="FFFFFF"/>
            <w:vAlign w:val="center"/>
            <w:hideMark/>
          </w:tcPr>
          <w:p w14:paraId="645AA4B0"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CAU/UF</w:t>
            </w:r>
          </w:p>
        </w:tc>
      </w:tr>
      <w:tr w:rsidR="00202355" w:rsidRPr="00202355" w14:paraId="5644E8F6" w14:textId="77777777" w:rsidTr="002F0921">
        <w:trPr>
          <w:trHeight w:val="815"/>
        </w:trPr>
        <w:tc>
          <w:tcPr>
            <w:tcW w:w="1419" w:type="dxa"/>
            <w:vMerge/>
            <w:tcBorders>
              <w:top w:val="nil"/>
              <w:left w:val="single" w:sz="8" w:space="0" w:color="auto"/>
              <w:bottom w:val="single" w:sz="8" w:space="0" w:color="000000"/>
              <w:right w:val="single" w:sz="4" w:space="0" w:color="auto"/>
            </w:tcBorders>
            <w:vAlign w:val="center"/>
            <w:hideMark/>
          </w:tcPr>
          <w:p w14:paraId="61CDC709"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14:paraId="2E598587"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645D0B"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Índice de cumprimento das metas do Plano de Ação (%)</w:t>
            </w:r>
          </w:p>
        </w:tc>
        <w:tc>
          <w:tcPr>
            <w:tcW w:w="29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523009" w14:textId="77777777" w:rsidR="00202355" w:rsidRPr="00202355" w:rsidRDefault="00202355" w:rsidP="00202355">
            <w:pPr>
              <w:spacing w:after="0" w:line="240" w:lineRule="auto"/>
              <w:jc w:val="both"/>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 xml:space="preserve">Mede o nível de gerenciamento e cumprimento das iniciativas estratégicas </w:t>
            </w:r>
          </w:p>
        </w:tc>
        <w:tc>
          <w:tcPr>
            <w:tcW w:w="3488" w:type="dxa"/>
            <w:tcBorders>
              <w:top w:val="nil"/>
              <w:left w:val="nil"/>
              <w:bottom w:val="single" w:sz="4" w:space="0" w:color="auto"/>
              <w:right w:val="nil"/>
            </w:tcBorders>
            <w:shd w:val="clear" w:color="000000" w:fill="FFFFFF"/>
            <w:vAlign w:val="bottom"/>
            <w:hideMark/>
          </w:tcPr>
          <w:p w14:paraId="30099639"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total de iniciativas executadas</w:t>
            </w:r>
            <w:r w:rsidRPr="00202355">
              <w:rPr>
                <w:rFonts w:ascii="Calibri" w:eastAsia="Times New Roman" w:hAnsi="Calibri" w:cs="Calibri"/>
                <w:b/>
                <w:bCs/>
                <w:sz w:val="20"/>
                <w:szCs w:val="20"/>
                <w:lang w:eastAsia="pt-BR"/>
              </w:rPr>
              <w:t xml:space="preserve"> </w:t>
            </w:r>
          </w:p>
        </w:tc>
        <w:tc>
          <w:tcPr>
            <w:tcW w:w="765" w:type="dxa"/>
            <w:vMerge w:val="restart"/>
            <w:tcBorders>
              <w:top w:val="nil"/>
              <w:left w:val="nil"/>
              <w:bottom w:val="single" w:sz="4" w:space="0" w:color="auto"/>
              <w:right w:val="single" w:sz="4" w:space="0" w:color="auto"/>
            </w:tcBorders>
            <w:shd w:val="clear" w:color="000000" w:fill="FFFFFF"/>
            <w:vAlign w:val="center"/>
            <w:hideMark/>
          </w:tcPr>
          <w:p w14:paraId="7AD4D116"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x 100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6624AA"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Semestral</w:t>
            </w:r>
          </w:p>
        </w:tc>
        <w:tc>
          <w:tcPr>
            <w:tcW w:w="1417" w:type="dxa"/>
            <w:vMerge w:val="restart"/>
            <w:tcBorders>
              <w:top w:val="nil"/>
              <w:left w:val="single" w:sz="4" w:space="0" w:color="auto"/>
              <w:bottom w:val="single" w:sz="4" w:space="0" w:color="auto"/>
              <w:right w:val="single" w:sz="8" w:space="0" w:color="auto"/>
            </w:tcBorders>
            <w:shd w:val="clear" w:color="000000" w:fill="FFFFFF"/>
            <w:vAlign w:val="center"/>
            <w:hideMark/>
          </w:tcPr>
          <w:p w14:paraId="56996858"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Plano de ação do CAU/UF aprovado</w:t>
            </w:r>
          </w:p>
        </w:tc>
      </w:tr>
      <w:tr w:rsidR="00202355" w:rsidRPr="00202355" w14:paraId="68BE7DA6" w14:textId="77777777" w:rsidTr="002F0921">
        <w:trPr>
          <w:trHeight w:val="689"/>
        </w:trPr>
        <w:tc>
          <w:tcPr>
            <w:tcW w:w="1419" w:type="dxa"/>
            <w:vMerge/>
            <w:tcBorders>
              <w:top w:val="nil"/>
              <w:left w:val="single" w:sz="8" w:space="0" w:color="auto"/>
              <w:bottom w:val="single" w:sz="8" w:space="0" w:color="000000"/>
              <w:right w:val="single" w:sz="4" w:space="0" w:color="auto"/>
            </w:tcBorders>
            <w:vAlign w:val="center"/>
            <w:hideMark/>
          </w:tcPr>
          <w:p w14:paraId="2CA9FBE9"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14:paraId="1031EB9F"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127" w:type="dxa"/>
            <w:vMerge/>
            <w:tcBorders>
              <w:top w:val="nil"/>
              <w:left w:val="single" w:sz="4" w:space="0" w:color="auto"/>
              <w:bottom w:val="single" w:sz="4" w:space="0" w:color="auto"/>
              <w:right w:val="single" w:sz="4" w:space="0" w:color="auto"/>
            </w:tcBorders>
            <w:vAlign w:val="center"/>
            <w:hideMark/>
          </w:tcPr>
          <w:p w14:paraId="6628DB4C"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976" w:type="dxa"/>
            <w:vMerge/>
            <w:tcBorders>
              <w:top w:val="nil"/>
              <w:left w:val="single" w:sz="4" w:space="0" w:color="auto"/>
              <w:bottom w:val="single" w:sz="4" w:space="0" w:color="auto"/>
              <w:right w:val="single" w:sz="4" w:space="0" w:color="auto"/>
            </w:tcBorders>
            <w:vAlign w:val="center"/>
            <w:hideMark/>
          </w:tcPr>
          <w:p w14:paraId="4871D6B7"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3488" w:type="dxa"/>
            <w:tcBorders>
              <w:top w:val="nil"/>
              <w:left w:val="nil"/>
              <w:bottom w:val="single" w:sz="4" w:space="0" w:color="auto"/>
              <w:right w:val="nil"/>
            </w:tcBorders>
            <w:shd w:val="clear" w:color="000000" w:fill="FFFFFF"/>
            <w:hideMark/>
          </w:tcPr>
          <w:p w14:paraId="5246F7BB"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total de iniciativas planejadas</w:t>
            </w:r>
          </w:p>
        </w:tc>
        <w:tc>
          <w:tcPr>
            <w:tcW w:w="765" w:type="dxa"/>
            <w:vMerge/>
            <w:tcBorders>
              <w:top w:val="nil"/>
              <w:left w:val="nil"/>
              <w:bottom w:val="single" w:sz="4" w:space="0" w:color="auto"/>
              <w:right w:val="single" w:sz="4" w:space="0" w:color="auto"/>
            </w:tcBorders>
            <w:vAlign w:val="center"/>
            <w:hideMark/>
          </w:tcPr>
          <w:p w14:paraId="079AA531"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auto"/>
              <w:right w:val="single" w:sz="4" w:space="0" w:color="auto"/>
            </w:tcBorders>
            <w:vAlign w:val="center"/>
            <w:hideMark/>
          </w:tcPr>
          <w:p w14:paraId="52BFFDA0"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417" w:type="dxa"/>
            <w:vMerge/>
            <w:tcBorders>
              <w:top w:val="nil"/>
              <w:left w:val="single" w:sz="4" w:space="0" w:color="auto"/>
              <w:bottom w:val="single" w:sz="4" w:space="0" w:color="auto"/>
              <w:right w:val="single" w:sz="8" w:space="0" w:color="auto"/>
            </w:tcBorders>
            <w:vAlign w:val="center"/>
            <w:hideMark/>
          </w:tcPr>
          <w:p w14:paraId="2A71BF23" w14:textId="77777777" w:rsidR="00202355" w:rsidRPr="00202355" w:rsidRDefault="00202355" w:rsidP="00202355">
            <w:pPr>
              <w:spacing w:after="0" w:line="240" w:lineRule="auto"/>
              <w:rPr>
                <w:rFonts w:ascii="Calibri" w:eastAsia="Times New Roman" w:hAnsi="Calibri" w:cs="Calibri"/>
                <w:sz w:val="20"/>
                <w:szCs w:val="20"/>
                <w:lang w:eastAsia="pt-BR"/>
              </w:rPr>
            </w:pPr>
          </w:p>
        </w:tc>
      </w:tr>
      <w:tr w:rsidR="00202355" w:rsidRPr="00202355" w14:paraId="6B38F66C" w14:textId="77777777" w:rsidTr="002F0921">
        <w:trPr>
          <w:trHeight w:val="741"/>
        </w:trPr>
        <w:tc>
          <w:tcPr>
            <w:tcW w:w="1419" w:type="dxa"/>
            <w:vMerge/>
            <w:tcBorders>
              <w:top w:val="nil"/>
              <w:left w:val="single" w:sz="8" w:space="0" w:color="auto"/>
              <w:bottom w:val="single" w:sz="8" w:space="0" w:color="000000"/>
              <w:right w:val="single" w:sz="4" w:space="0" w:color="auto"/>
            </w:tcBorders>
            <w:vAlign w:val="center"/>
            <w:hideMark/>
          </w:tcPr>
          <w:p w14:paraId="6EE744A2"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983"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3940FA4E"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Ter sistemas de informação e infraestrutura que viabilizem a gestão e o atendimento dos arquitetos e urbanistas e a sociedade</w:t>
            </w:r>
          </w:p>
        </w:tc>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CF5B21"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Índice de satisfação interna com a tecnologia utilizada (%)</w:t>
            </w:r>
            <w:r w:rsidRPr="00202355">
              <w:rPr>
                <w:rFonts w:ascii="Calibri" w:eastAsia="Times New Roman" w:hAnsi="Calibri" w:cs="Calibri"/>
                <w:sz w:val="20"/>
                <w:szCs w:val="20"/>
                <w:lang w:eastAsia="pt-BR"/>
              </w:rPr>
              <w:br/>
            </w:r>
            <w:r w:rsidRPr="00202355">
              <w:rPr>
                <w:rFonts w:ascii="Calibri" w:eastAsia="Times New Roman" w:hAnsi="Calibri" w:cs="Calibri"/>
                <w:b/>
                <w:bCs/>
                <w:sz w:val="20"/>
                <w:szCs w:val="20"/>
                <w:lang w:eastAsia="pt-BR"/>
              </w:rPr>
              <w:t>(CAU/UF)</w:t>
            </w:r>
          </w:p>
        </w:tc>
        <w:tc>
          <w:tcPr>
            <w:tcW w:w="29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E7BDD5" w14:textId="6FBB9D7D" w:rsidR="00202355" w:rsidRPr="00202355" w:rsidRDefault="00202355" w:rsidP="00202355">
            <w:pPr>
              <w:spacing w:after="0" w:line="240" w:lineRule="auto"/>
              <w:jc w:val="both"/>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Mede o quanto o</w:t>
            </w:r>
            <w:r>
              <w:rPr>
                <w:rFonts w:ascii="Calibri" w:eastAsia="Times New Roman" w:hAnsi="Calibri" w:cs="Calibri"/>
                <w:sz w:val="20"/>
                <w:szCs w:val="20"/>
                <w:lang w:eastAsia="pt-BR"/>
              </w:rPr>
              <w:t>s</w:t>
            </w:r>
            <w:r w:rsidRPr="00202355">
              <w:rPr>
                <w:rFonts w:ascii="Calibri" w:eastAsia="Times New Roman" w:hAnsi="Calibri" w:cs="Calibri"/>
                <w:sz w:val="20"/>
                <w:szCs w:val="20"/>
                <w:lang w:eastAsia="pt-BR"/>
              </w:rPr>
              <w:t xml:space="preserve"> usuários internos da tecnologia estão satisfeitos com seu uso.</w:t>
            </w:r>
          </w:p>
        </w:tc>
        <w:tc>
          <w:tcPr>
            <w:tcW w:w="3488" w:type="dxa"/>
            <w:tcBorders>
              <w:top w:val="nil"/>
              <w:left w:val="nil"/>
              <w:bottom w:val="single" w:sz="4" w:space="0" w:color="auto"/>
              <w:right w:val="nil"/>
            </w:tcBorders>
            <w:shd w:val="clear" w:color="000000" w:fill="FFFFFF"/>
            <w:vAlign w:val="bottom"/>
            <w:hideMark/>
          </w:tcPr>
          <w:p w14:paraId="1A6A5ABD"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número de usuários internos satisfeitos com a tecnologia</w:t>
            </w:r>
          </w:p>
        </w:tc>
        <w:tc>
          <w:tcPr>
            <w:tcW w:w="765" w:type="dxa"/>
            <w:vMerge w:val="restart"/>
            <w:tcBorders>
              <w:top w:val="nil"/>
              <w:left w:val="nil"/>
              <w:bottom w:val="single" w:sz="4" w:space="0" w:color="auto"/>
              <w:right w:val="single" w:sz="4" w:space="0" w:color="auto"/>
            </w:tcBorders>
            <w:shd w:val="clear" w:color="000000" w:fill="FFFFFF"/>
            <w:vAlign w:val="center"/>
            <w:hideMark/>
          </w:tcPr>
          <w:p w14:paraId="7D27CDA3"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x 100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08E344"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Semestral</w:t>
            </w:r>
          </w:p>
        </w:tc>
        <w:tc>
          <w:tcPr>
            <w:tcW w:w="1417" w:type="dxa"/>
            <w:vMerge w:val="restart"/>
            <w:tcBorders>
              <w:top w:val="nil"/>
              <w:left w:val="single" w:sz="4" w:space="0" w:color="auto"/>
              <w:bottom w:val="single" w:sz="4" w:space="0" w:color="auto"/>
              <w:right w:val="single" w:sz="8" w:space="0" w:color="auto"/>
            </w:tcBorders>
            <w:shd w:val="clear" w:color="000000" w:fill="FFFFFF"/>
            <w:vAlign w:val="center"/>
            <w:hideMark/>
          </w:tcPr>
          <w:p w14:paraId="1F03AE0D"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CAU/UF- Pesquisa de satisfação</w:t>
            </w:r>
          </w:p>
        </w:tc>
      </w:tr>
      <w:tr w:rsidR="00202355" w:rsidRPr="00202355" w14:paraId="48EC5293" w14:textId="77777777" w:rsidTr="002F0921">
        <w:trPr>
          <w:trHeight w:val="685"/>
        </w:trPr>
        <w:tc>
          <w:tcPr>
            <w:tcW w:w="1419" w:type="dxa"/>
            <w:vMerge/>
            <w:tcBorders>
              <w:top w:val="nil"/>
              <w:left w:val="single" w:sz="8" w:space="0" w:color="auto"/>
              <w:bottom w:val="single" w:sz="8" w:space="0" w:color="000000"/>
              <w:right w:val="single" w:sz="4" w:space="0" w:color="auto"/>
            </w:tcBorders>
            <w:vAlign w:val="center"/>
            <w:hideMark/>
          </w:tcPr>
          <w:p w14:paraId="035274F0"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983" w:type="dxa"/>
            <w:vMerge/>
            <w:tcBorders>
              <w:top w:val="nil"/>
              <w:left w:val="single" w:sz="4" w:space="0" w:color="auto"/>
              <w:bottom w:val="single" w:sz="8" w:space="0" w:color="000000"/>
              <w:right w:val="single" w:sz="4" w:space="0" w:color="auto"/>
            </w:tcBorders>
            <w:vAlign w:val="center"/>
            <w:hideMark/>
          </w:tcPr>
          <w:p w14:paraId="0D5CDDA7"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127" w:type="dxa"/>
            <w:vMerge/>
            <w:tcBorders>
              <w:top w:val="nil"/>
              <w:left w:val="single" w:sz="4" w:space="0" w:color="auto"/>
              <w:bottom w:val="single" w:sz="4" w:space="0" w:color="auto"/>
              <w:right w:val="single" w:sz="4" w:space="0" w:color="auto"/>
            </w:tcBorders>
            <w:vAlign w:val="center"/>
            <w:hideMark/>
          </w:tcPr>
          <w:p w14:paraId="3EB00791"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976" w:type="dxa"/>
            <w:vMerge/>
            <w:tcBorders>
              <w:top w:val="nil"/>
              <w:left w:val="single" w:sz="4" w:space="0" w:color="auto"/>
              <w:bottom w:val="single" w:sz="4" w:space="0" w:color="auto"/>
              <w:right w:val="single" w:sz="4" w:space="0" w:color="auto"/>
            </w:tcBorders>
            <w:vAlign w:val="center"/>
            <w:hideMark/>
          </w:tcPr>
          <w:p w14:paraId="021F237D"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3488" w:type="dxa"/>
            <w:tcBorders>
              <w:top w:val="nil"/>
              <w:left w:val="nil"/>
              <w:bottom w:val="single" w:sz="4" w:space="0" w:color="auto"/>
              <w:right w:val="nil"/>
            </w:tcBorders>
            <w:shd w:val="clear" w:color="000000" w:fill="FFFFFF"/>
            <w:hideMark/>
          </w:tcPr>
          <w:p w14:paraId="7FA135C4"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total de usuários internos que participaram da pesquisa</w:t>
            </w:r>
          </w:p>
        </w:tc>
        <w:tc>
          <w:tcPr>
            <w:tcW w:w="765" w:type="dxa"/>
            <w:vMerge/>
            <w:tcBorders>
              <w:top w:val="nil"/>
              <w:left w:val="nil"/>
              <w:bottom w:val="single" w:sz="4" w:space="0" w:color="auto"/>
              <w:right w:val="single" w:sz="4" w:space="0" w:color="auto"/>
            </w:tcBorders>
            <w:vAlign w:val="center"/>
            <w:hideMark/>
          </w:tcPr>
          <w:p w14:paraId="6698ABB8"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auto"/>
              <w:right w:val="single" w:sz="4" w:space="0" w:color="auto"/>
            </w:tcBorders>
            <w:vAlign w:val="center"/>
            <w:hideMark/>
          </w:tcPr>
          <w:p w14:paraId="0A00AB02"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417" w:type="dxa"/>
            <w:vMerge/>
            <w:tcBorders>
              <w:top w:val="nil"/>
              <w:left w:val="single" w:sz="4" w:space="0" w:color="auto"/>
              <w:bottom w:val="single" w:sz="4" w:space="0" w:color="auto"/>
              <w:right w:val="single" w:sz="8" w:space="0" w:color="auto"/>
            </w:tcBorders>
            <w:vAlign w:val="center"/>
            <w:hideMark/>
          </w:tcPr>
          <w:p w14:paraId="56AD1430" w14:textId="77777777" w:rsidR="00202355" w:rsidRPr="00202355" w:rsidRDefault="00202355" w:rsidP="00202355">
            <w:pPr>
              <w:spacing w:after="0" w:line="240" w:lineRule="auto"/>
              <w:rPr>
                <w:rFonts w:ascii="Calibri" w:eastAsia="Times New Roman" w:hAnsi="Calibri" w:cs="Calibri"/>
                <w:sz w:val="20"/>
                <w:szCs w:val="20"/>
                <w:lang w:eastAsia="pt-BR"/>
              </w:rPr>
            </w:pPr>
          </w:p>
        </w:tc>
      </w:tr>
      <w:tr w:rsidR="00202355" w:rsidRPr="00202355" w14:paraId="6EA75742" w14:textId="77777777" w:rsidTr="002F0921">
        <w:trPr>
          <w:trHeight w:val="975"/>
        </w:trPr>
        <w:tc>
          <w:tcPr>
            <w:tcW w:w="1419" w:type="dxa"/>
            <w:vMerge/>
            <w:tcBorders>
              <w:top w:val="nil"/>
              <w:left w:val="single" w:sz="8" w:space="0" w:color="auto"/>
              <w:bottom w:val="single" w:sz="8" w:space="0" w:color="000000"/>
              <w:right w:val="single" w:sz="4" w:space="0" w:color="auto"/>
            </w:tcBorders>
            <w:vAlign w:val="center"/>
            <w:hideMark/>
          </w:tcPr>
          <w:p w14:paraId="2D28A2C7"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983" w:type="dxa"/>
            <w:vMerge/>
            <w:tcBorders>
              <w:top w:val="nil"/>
              <w:left w:val="single" w:sz="4" w:space="0" w:color="auto"/>
              <w:bottom w:val="single" w:sz="8" w:space="0" w:color="000000"/>
              <w:right w:val="single" w:sz="4" w:space="0" w:color="auto"/>
            </w:tcBorders>
            <w:vAlign w:val="center"/>
            <w:hideMark/>
          </w:tcPr>
          <w:p w14:paraId="0AF969D0"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127"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1D5D08E9"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Índice de satisfação externa com a tecnologia utilizada (%)</w:t>
            </w:r>
            <w:r w:rsidRPr="00202355">
              <w:rPr>
                <w:rFonts w:ascii="Calibri" w:eastAsia="Times New Roman" w:hAnsi="Calibri" w:cs="Calibri"/>
                <w:sz w:val="20"/>
                <w:szCs w:val="20"/>
                <w:lang w:eastAsia="pt-BR"/>
              </w:rPr>
              <w:br/>
            </w:r>
            <w:r w:rsidRPr="00202355">
              <w:rPr>
                <w:rFonts w:ascii="Calibri" w:eastAsia="Times New Roman" w:hAnsi="Calibri" w:cs="Calibri"/>
                <w:b/>
                <w:bCs/>
                <w:sz w:val="20"/>
                <w:szCs w:val="20"/>
                <w:lang w:eastAsia="pt-BR"/>
              </w:rPr>
              <w:t>(CAU/UF)</w:t>
            </w:r>
          </w:p>
        </w:tc>
        <w:tc>
          <w:tcPr>
            <w:tcW w:w="2976"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152B9CE7" w14:textId="0B95BEB2" w:rsidR="00202355" w:rsidRPr="00202355" w:rsidRDefault="00202355" w:rsidP="00202355">
            <w:pPr>
              <w:spacing w:after="0" w:line="240" w:lineRule="auto"/>
              <w:jc w:val="both"/>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Mede o quanto o</w:t>
            </w:r>
            <w:r>
              <w:rPr>
                <w:rFonts w:ascii="Calibri" w:eastAsia="Times New Roman" w:hAnsi="Calibri" w:cs="Calibri"/>
                <w:sz w:val="20"/>
                <w:szCs w:val="20"/>
                <w:lang w:eastAsia="pt-BR"/>
              </w:rPr>
              <w:t>s</w:t>
            </w:r>
            <w:r w:rsidRPr="00202355">
              <w:rPr>
                <w:rFonts w:ascii="Calibri" w:eastAsia="Times New Roman" w:hAnsi="Calibri" w:cs="Calibri"/>
                <w:sz w:val="20"/>
                <w:szCs w:val="20"/>
                <w:lang w:eastAsia="pt-BR"/>
              </w:rPr>
              <w:t xml:space="preserve"> usuários externos da tecnologia, estão satisfeitos com seu uso.</w:t>
            </w:r>
          </w:p>
        </w:tc>
        <w:tc>
          <w:tcPr>
            <w:tcW w:w="3488" w:type="dxa"/>
            <w:tcBorders>
              <w:top w:val="nil"/>
              <w:left w:val="nil"/>
              <w:bottom w:val="single" w:sz="4" w:space="0" w:color="auto"/>
              <w:right w:val="nil"/>
            </w:tcBorders>
            <w:shd w:val="clear" w:color="000000" w:fill="FFFFFF"/>
            <w:vAlign w:val="bottom"/>
            <w:hideMark/>
          </w:tcPr>
          <w:p w14:paraId="452EFD9E"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número de usuários externos satisfeitos com a tecnologia</w:t>
            </w:r>
          </w:p>
        </w:tc>
        <w:tc>
          <w:tcPr>
            <w:tcW w:w="765" w:type="dxa"/>
            <w:vMerge w:val="restart"/>
            <w:tcBorders>
              <w:top w:val="nil"/>
              <w:left w:val="nil"/>
              <w:bottom w:val="single" w:sz="8" w:space="0" w:color="000000"/>
              <w:right w:val="single" w:sz="4" w:space="0" w:color="auto"/>
            </w:tcBorders>
            <w:shd w:val="clear" w:color="000000" w:fill="FFFFFF"/>
            <w:vAlign w:val="center"/>
            <w:hideMark/>
          </w:tcPr>
          <w:p w14:paraId="36C47CFA"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x 100</w:t>
            </w:r>
          </w:p>
        </w:tc>
        <w:tc>
          <w:tcPr>
            <w:tcW w:w="1276"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2AFB4FD9"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 xml:space="preserve">Semestral </w:t>
            </w:r>
          </w:p>
        </w:tc>
        <w:tc>
          <w:tcPr>
            <w:tcW w:w="1417" w:type="dxa"/>
            <w:vMerge w:val="restart"/>
            <w:tcBorders>
              <w:top w:val="nil"/>
              <w:left w:val="single" w:sz="4" w:space="0" w:color="auto"/>
              <w:bottom w:val="single" w:sz="8" w:space="0" w:color="000000"/>
              <w:right w:val="single" w:sz="8" w:space="0" w:color="auto"/>
            </w:tcBorders>
            <w:shd w:val="clear" w:color="000000" w:fill="FFFFFF"/>
            <w:vAlign w:val="center"/>
            <w:hideMark/>
          </w:tcPr>
          <w:p w14:paraId="0633072F"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CAU/UF- Pesquisa de satisfação</w:t>
            </w:r>
          </w:p>
        </w:tc>
      </w:tr>
      <w:tr w:rsidR="00202355" w:rsidRPr="00202355" w14:paraId="2E76CE73" w14:textId="77777777" w:rsidTr="002F0921">
        <w:trPr>
          <w:trHeight w:val="870"/>
        </w:trPr>
        <w:tc>
          <w:tcPr>
            <w:tcW w:w="1419" w:type="dxa"/>
            <w:vMerge/>
            <w:tcBorders>
              <w:top w:val="nil"/>
              <w:left w:val="single" w:sz="8" w:space="0" w:color="auto"/>
              <w:bottom w:val="single" w:sz="8" w:space="0" w:color="000000"/>
              <w:right w:val="single" w:sz="4" w:space="0" w:color="auto"/>
            </w:tcBorders>
            <w:vAlign w:val="center"/>
            <w:hideMark/>
          </w:tcPr>
          <w:p w14:paraId="24CB803B"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983" w:type="dxa"/>
            <w:vMerge/>
            <w:tcBorders>
              <w:top w:val="nil"/>
              <w:left w:val="single" w:sz="4" w:space="0" w:color="auto"/>
              <w:bottom w:val="single" w:sz="8" w:space="0" w:color="000000"/>
              <w:right w:val="single" w:sz="4" w:space="0" w:color="auto"/>
            </w:tcBorders>
            <w:vAlign w:val="center"/>
            <w:hideMark/>
          </w:tcPr>
          <w:p w14:paraId="2E0317A6"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127" w:type="dxa"/>
            <w:vMerge/>
            <w:tcBorders>
              <w:top w:val="nil"/>
              <w:left w:val="single" w:sz="4" w:space="0" w:color="auto"/>
              <w:bottom w:val="single" w:sz="8" w:space="0" w:color="000000"/>
              <w:right w:val="single" w:sz="4" w:space="0" w:color="auto"/>
            </w:tcBorders>
            <w:vAlign w:val="center"/>
            <w:hideMark/>
          </w:tcPr>
          <w:p w14:paraId="47AF0855"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976" w:type="dxa"/>
            <w:vMerge/>
            <w:tcBorders>
              <w:top w:val="nil"/>
              <w:left w:val="single" w:sz="4" w:space="0" w:color="auto"/>
              <w:bottom w:val="single" w:sz="8" w:space="0" w:color="000000"/>
              <w:right w:val="single" w:sz="4" w:space="0" w:color="auto"/>
            </w:tcBorders>
            <w:vAlign w:val="center"/>
            <w:hideMark/>
          </w:tcPr>
          <w:p w14:paraId="20DF743B"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3488" w:type="dxa"/>
            <w:tcBorders>
              <w:top w:val="nil"/>
              <w:left w:val="nil"/>
              <w:bottom w:val="single" w:sz="8" w:space="0" w:color="auto"/>
              <w:right w:val="nil"/>
            </w:tcBorders>
            <w:shd w:val="clear" w:color="000000" w:fill="FFFFFF"/>
            <w:hideMark/>
          </w:tcPr>
          <w:p w14:paraId="377ABC9F"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total de usuários externos que participaram da pesquisa</w:t>
            </w:r>
          </w:p>
        </w:tc>
        <w:tc>
          <w:tcPr>
            <w:tcW w:w="765" w:type="dxa"/>
            <w:vMerge/>
            <w:tcBorders>
              <w:top w:val="nil"/>
              <w:left w:val="nil"/>
              <w:bottom w:val="single" w:sz="8" w:space="0" w:color="000000"/>
              <w:right w:val="single" w:sz="4" w:space="0" w:color="auto"/>
            </w:tcBorders>
            <w:vAlign w:val="center"/>
            <w:hideMark/>
          </w:tcPr>
          <w:p w14:paraId="7AA2FAA5"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8" w:space="0" w:color="000000"/>
              <w:right w:val="single" w:sz="4" w:space="0" w:color="auto"/>
            </w:tcBorders>
            <w:vAlign w:val="center"/>
            <w:hideMark/>
          </w:tcPr>
          <w:p w14:paraId="597698CE"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417" w:type="dxa"/>
            <w:vMerge/>
            <w:tcBorders>
              <w:top w:val="nil"/>
              <w:left w:val="single" w:sz="4" w:space="0" w:color="auto"/>
              <w:bottom w:val="single" w:sz="8" w:space="0" w:color="000000"/>
              <w:right w:val="single" w:sz="8" w:space="0" w:color="auto"/>
            </w:tcBorders>
            <w:vAlign w:val="center"/>
            <w:hideMark/>
          </w:tcPr>
          <w:p w14:paraId="35D10342" w14:textId="77777777" w:rsidR="00202355" w:rsidRPr="00202355" w:rsidRDefault="00202355" w:rsidP="00202355">
            <w:pPr>
              <w:spacing w:after="0" w:line="240" w:lineRule="auto"/>
              <w:rPr>
                <w:rFonts w:ascii="Calibri" w:eastAsia="Times New Roman" w:hAnsi="Calibri" w:cs="Calibri"/>
                <w:sz w:val="20"/>
                <w:szCs w:val="20"/>
                <w:lang w:eastAsia="pt-BR"/>
              </w:rPr>
            </w:pPr>
          </w:p>
        </w:tc>
      </w:tr>
    </w:tbl>
    <w:p w14:paraId="7EB18398" w14:textId="77777777" w:rsidR="00B303D1" w:rsidRDefault="00B303D1" w:rsidP="00B303D1">
      <w:pPr>
        <w:tabs>
          <w:tab w:val="left" w:pos="7798"/>
        </w:tabs>
        <w:spacing w:line="360" w:lineRule="auto"/>
        <w:ind w:left="-567"/>
        <w:jc w:val="both"/>
        <w:rPr>
          <w:rFonts w:eastAsia="Arial Unicode MS" w:cs="Calibri"/>
          <w:sz w:val="24"/>
          <w:szCs w:val="24"/>
        </w:rPr>
      </w:pPr>
    </w:p>
    <w:p w14:paraId="7DC8539A" w14:textId="088C7A5A" w:rsidR="00B303D1" w:rsidRPr="00B303D1" w:rsidRDefault="00B303D1" w:rsidP="00B303D1">
      <w:pPr>
        <w:tabs>
          <w:tab w:val="left" w:pos="7798"/>
        </w:tabs>
        <w:rPr>
          <w:rFonts w:eastAsia="Arial Unicode MS" w:cs="Calibri"/>
          <w:sz w:val="24"/>
          <w:szCs w:val="24"/>
        </w:rPr>
        <w:sectPr w:rsidR="00B303D1" w:rsidRPr="00B303D1" w:rsidSect="00A524B7">
          <w:pgSz w:w="16838" w:h="11906" w:orient="landscape"/>
          <w:pgMar w:top="1701" w:right="1701" w:bottom="1134" w:left="1134" w:header="709" w:footer="153" w:gutter="0"/>
          <w:cols w:space="708"/>
          <w:docGrid w:linePitch="360"/>
        </w:sectPr>
      </w:pPr>
    </w:p>
    <w:p w14:paraId="7DC8539B" w14:textId="77777777" w:rsidR="00D80A3A" w:rsidRDefault="00D80A3A" w:rsidP="00D80A3A">
      <w:pPr>
        <w:spacing w:line="360" w:lineRule="auto"/>
        <w:rPr>
          <w:rFonts w:eastAsia="Arial Unicode MS" w:cs="Calibri"/>
          <w:sz w:val="24"/>
          <w:szCs w:val="24"/>
        </w:rPr>
      </w:pPr>
    </w:p>
    <w:p w14:paraId="7DC8539C" w14:textId="77777777" w:rsidR="00D80A3A" w:rsidRDefault="00D80A3A" w:rsidP="00D80A3A">
      <w:pPr>
        <w:spacing w:line="360" w:lineRule="auto"/>
        <w:rPr>
          <w:rFonts w:eastAsia="Arial Unicode MS" w:cs="Calibri"/>
          <w:sz w:val="24"/>
          <w:szCs w:val="24"/>
        </w:rPr>
      </w:pPr>
    </w:p>
    <w:p w14:paraId="7DC8539D" w14:textId="77777777" w:rsidR="00D80A3A" w:rsidRDefault="00D80A3A" w:rsidP="00D80A3A">
      <w:pPr>
        <w:spacing w:line="360" w:lineRule="auto"/>
        <w:rPr>
          <w:rFonts w:eastAsia="Arial Unicode MS" w:cs="Calibri"/>
          <w:sz w:val="24"/>
          <w:szCs w:val="24"/>
        </w:rPr>
      </w:pPr>
    </w:p>
    <w:p w14:paraId="7DC8539E" w14:textId="2A5314BF" w:rsidR="00D80A3A" w:rsidRDefault="00D80A3A" w:rsidP="00D80A3A">
      <w:pPr>
        <w:spacing w:line="360" w:lineRule="auto"/>
        <w:rPr>
          <w:rFonts w:eastAsia="Arial Unicode MS" w:cs="Calibri"/>
          <w:sz w:val="24"/>
          <w:szCs w:val="24"/>
        </w:rPr>
      </w:pPr>
    </w:p>
    <w:p w14:paraId="504FBA4E" w14:textId="61BF05D3" w:rsidR="00D15A6F" w:rsidRDefault="00D15A6F" w:rsidP="00D80A3A">
      <w:pPr>
        <w:spacing w:line="360" w:lineRule="auto"/>
        <w:rPr>
          <w:rFonts w:eastAsia="Arial Unicode MS" w:cs="Calibri"/>
          <w:sz w:val="24"/>
          <w:szCs w:val="24"/>
        </w:rPr>
      </w:pPr>
    </w:p>
    <w:p w14:paraId="784F51A8" w14:textId="55DB57B7" w:rsidR="00D15A6F" w:rsidRDefault="00D15A6F" w:rsidP="00D80A3A">
      <w:pPr>
        <w:spacing w:line="360" w:lineRule="auto"/>
        <w:rPr>
          <w:rFonts w:eastAsia="Arial Unicode MS" w:cs="Calibri"/>
          <w:sz w:val="24"/>
          <w:szCs w:val="24"/>
        </w:rPr>
      </w:pPr>
    </w:p>
    <w:p w14:paraId="5AC0E78A" w14:textId="77777777" w:rsidR="00C53536" w:rsidRDefault="00C53536" w:rsidP="00D80A3A">
      <w:pPr>
        <w:spacing w:line="360" w:lineRule="auto"/>
        <w:rPr>
          <w:rFonts w:eastAsia="Arial Unicode MS" w:cs="Calibri"/>
          <w:sz w:val="24"/>
          <w:szCs w:val="24"/>
        </w:rPr>
      </w:pPr>
    </w:p>
    <w:p w14:paraId="14545CF7" w14:textId="037F210A" w:rsidR="00D15A6F" w:rsidRDefault="00D15A6F" w:rsidP="00D80A3A">
      <w:pPr>
        <w:spacing w:line="360" w:lineRule="auto"/>
        <w:rPr>
          <w:rFonts w:eastAsia="Arial Unicode MS" w:cs="Calibri"/>
          <w:sz w:val="24"/>
          <w:szCs w:val="24"/>
        </w:rPr>
      </w:pPr>
    </w:p>
    <w:p w14:paraId="3F231DAD" w14:textId="77777777" w:rsidR="00D15A6F" w:rsidRDefault="00D15A6F" w:rsidP="00D80A3A">
      <w:pPr>
        <w:spacing w:line="360" w:lineRule="auto"/>
        <w:rPr>
          <w:rFonts w:eastAsia="Arial Unicode MS" w:cs="Calibri"/>
          <w:sz w:val="24"/>
          <w:szCs w:val="24"/>
        </w:rPr>
      </w:pPr>
    </w:p>
    <w:p w14:paraId="7DC8539F" w14:textId="77777777" w:rsidR="00D80A3A" w:rsidRDefault="00D80A3A" w:rsidP="00D80A3A">
      <w:pPr>
        <w:spacing w:line="360" w:lineRule="auto"/>
        <w:rPr>
          <w:rFonts w:eastAsia="Arial Unicode MS" w:cs="Calibri"/>
          <w:sz w:val="24"/>
          <w:szCs w:val="24"/>
        </w:rPr>
      </w:pPr>
    </w:p>
    <w:p w14:paraId="7DC853A0" w14:textId="791E2D64" w:rsidR="00D80A3A" w:rsidRPr="00AB6172" w:rsidRDefault="00D80A3A" w:rsidP="00372BF3">
      <w:pPr>
        <w:pStyle w:val="Ttulo4"/>
        <w:spacing w:line="360" w:lineRule="auto"/>
        <w:jc w:val="center"/>
        <w:rPr>
          <w:rFonts w:eastAsia="Arial Unicode MS"/>
          <w:color w:val="612141"/>
        </w:rPr>
      </w:pPr>
      <w:bookmarkStart w:id="85" w:name="_ANEXO_II_–"/>
      <w:bookmarkStart w:id="86" w:name="_Toc424658690"/>
      <w:bookmarkStart w:id="87" w:name="_Toc487547247"/>
      <w:bookmarkEnd w:id="85"/>
      <w:r w:rsidRPr="00AB6172">
        <w:rPr>
          <w:rFonts w:eastAsia="Arial Unicode MS"/>
          <w:color w:val="612141"/>
        </w:rPr>
        <w:t>ANEXO II – Indicadores</w:t>
      </w:r>
      <w:r w:rsidR="00083E53" w:rsidRPr="00AB6172">
        <w:rPr>
          <w:rFonts w:eastAsia="Arial Unicode MS"/>
          <w:color w:val="612141"/>
        </w:rPr>
        <w:t xml:space="preserve"> Institucionais e</w:t>
      </w:r>
      <w:r w:rsidRPr="00AB6172">
        <w:rPr>
          <w:rFonts w:eastAsia="Arial Unicode MS"/>
          <w:color w:val="612141"/>
        </w:rPr>
        <w:t xml:space="preserve"> de Resultado</w:t>
      </w:r>
      <w:bookmarkEnd w:id="86"/>
      <w:bookmarkEnd w:id="87"/>
      <w:r w:rsidR="00083E53" w:rsidRPr="00AB6172">
        <w:rPr>
          <w:rFonts w:eastAsia="Arial Unicode MS"/>
          <w:color w:val="612141"/>
        </w:rPr>
        <w:t xml:space="preserve"> – CAU</w:t>
      </w:r>
      <w:r w:rsidR="002636BB" w:rsidRPr="00AB6172">
        <w:rPr>
          <w:rFonts w:eastAsia="Arial Unicode MS"/>
          <w:color w:val="612141"/>
        </w:rPr>
        <w:t>/</w:t>
      </w:r>
      <w:r w:rsidR="00083E53" w:rsidRPr="00AB6172">
        <w:rPr>
          <w:rFonts w:eastAsia="Arial Unicode MS"/>
          <w:color w:val="612141"/>
        </w:rPr>
        <w:t>BR</w:t>
      </w:r>
    </w:p>
    <w:p w14:paraId="7DC853A1" w14:textId="77777777" w:rsidR="00D80A3A" w:rsidRDefault="00D80A3A" w:rsidP="00D80A3A">
      <w:pPr>
        <w:spacing w:line="360" w:lineRule="auto"/>
        <w:ind w:firstLine="851"/>
        <w:jc w:val="both"/>
        <w:rPr>
          <w:rFonts w:eastAsia="Arial Unicode MS" w:cs="Calibri"/>
          <w:sz w:val="24"/>
          <w:szCs w:val="24"/>
        </w:rPr>
      </w:pPr>
    </w:p>
    <w:p w14:paraId="7DC853A2" w14:textId="77777777" w:rsidR="00892957" w:rsidRDefault="00892957" w:rsidP="00D80A3A">
      <w:pPr>
        <w:spacing w:line="360" w:lineRule="auto"/>
        <w:ind w:firstLine="851"/>
        <w:jc w:val="both"/>
        <w:rPr>
          <w:rFonts w:eastAsia="Arial Unicode MS" w:cs="Calibri"/>
          <w:sz w:val="24"/>
          <w:szCs w:val="24"/>
        </w:rPr>
      </w:pPr>
    </w:p>
    <w:p w14:paraId="7DC853A3" w14:textId="77777777" w:rsidR="00892957" w:rsidRDefault="00892957" w:rsidP="00D80A3A">
      <w:pPr>
        <w:spacing w:line="360" w:lineRule="auto"/>
        <w:ind w:firstLine="851"/>
        <w:jc w:val="both"/>
        <w:rPr>
          <w:rFonts w:eastAsia="Arial Unicode MS" w:cs="Calibri"/>
          <w:sz w:val="24"/>
          <w:szCs w:val="24"/>
        </w:rPr>
        <w:sectPr w:rsidR="00892957" w:rsidSect="00A524B7">
          <w:pgSz w:w="11906" w:h="16838"/>
          <w:pgMar w:top="1701" w:right="1134" w:bottom="1134" w:left="1701" w:header="709" w:footer="153" w:gutter="0"/>
          <w:cols w:space="708"/>
          <w:docGrid w:linePitch="360"/>
        </w:sectPr>
      </w:pPr>
    </w:p>
    <w:p w14:paraId="7DC853A4" w14:textId="48716C0C" w:rsidR="00F70B83" w:rsidRPr="004719E1" w:rsidRDefault="00F70B83" w:rsidP="00ED2EDB">
      <w:pPr>
        <w:pStyle w:val="Ttulo5"/>
        <w:ind w:left="-567" w:hanging="426"/>
        <w:jc w:val="left"/>
        <w:rPr>
          <w:rFonts w:eastAsia="Arial Unicode MS"/>
          <w:color w:val="auto"/>
        </w:rPr>
      </w:pPr>
      <w:bookmarkStart w:id="88" w:name="_ANEXO_II_–_1"/>
      <w:bookmarkEnd w:id="88"/>
      <w:r w:rsidRPr="004719E1">
        <w:rPr>
          <w:rFonts w:eastAsia="Arial Unicode MS"/>
          <w:color w:val="auto"/>
        </w:rPr>
        <w:t xml:space="preserve">         </w:t>
      </w:r>
      <w:bookmarkStart w:id="89" w:name="_Toc83716314"/>
      <w:r w:rsidR="00D80A3A" w:rsidRPr="004719E1">
        <w:rPr>
          <w:rFonts w:eastAsia="Arial Unicode MS"/>
          <w:color w:val="auto"/>
        </w:rPr>
        <w:t xml:space="preserve">ANEXO II – </w:t>
      </w:r>
      <w:r w:rsidR="00AF1B4D" w:rsidRPr="004719E1">
        <w:rPr>
          <w:rFonts w:eastAsia="Arial Unicode MS"/>
          <w:color w:val="auto"/>
        </w:rPr>
        <w:t>Indicadores Institucionais e de Resultado</w:t>
      </w:r>
      <w:r w:rsidR="006D3ADD" w:rsidRPr="004719E1">
        <w:rPr>
          <w:rFonts w:eastAsia="Arial Unicode MS"/>
          <w:color w:val="auto"/>
        </w:rPr>
        <w:t xml:space="preserve"> –</w:t>
      </w:r>
      <w:r w:rsidR="00AF1B4D" w:rsidRPr="004719E1">
        <w:rPr>
          <w:rFonts w:eastAsia="Arial Unicode MS"/>
          <w:color w:val="auto"/>
        </w:rPr>
        <w:t xml:space="preserve"> CAU</w:t>
      </w:r>
      <w:r w:rsidR="006D3ADD" w:rsidRPr="004719E1">
        <w:rPr>
          <w:rFonts w:eastAsia="Arial Unicode MS"/>
          <w:color w:val="auto"/>
        </w:rPr>
        <w:t>/</w:t>
      </w:r>
      <w:r w:rsidR="00AF1B4D" w:rsidRPr="004719E1">
        <w:rPr>
          <w:rFonts w:eastAsia="Arial Unicode MS"/>
          <w:color w:val="auto"/>
        </w:rPr>
        <w:t>BR</w:t>
      </w:r>
      <w:bookmarkEnd w:id="89"/>
    </w:p>
    <w:tbl>
      <w:tblPr>
        <w:tblW w:w="15593" w:type="dxa"/>
        <w:tblInd w:w="-577" w:type="dxa"/>
        <w:tblCellMar>
          <w:left w:w="70" w:type="dxa"/>
          <w:right w:w="70" w:type="dxa"/>
        </w:tblCellMar>
        <w:tblLook w:val="04A0" w:firstRow="1" w:lastRow="0" w:firstColumn="1" w:lastColumn="0" w:noHBand="0" w:noVBand="1"/>
      </w:tblPr>
      <w:tblGrid>
        <w:gridCol w:w="5245"/>
        <w:gridCol w:w="5680"/>
        <w:gridCol w:w="897"/>
        <w:gridCol w:w="1786"/>
        <w:gridCol w:w="1985"/>
      </w:tblGrid>
      <w:tr w:rsidR="00ED2EDB" w:rsidRPr="00ED2EDB" w14:paraId="51F11869" w14:textId="77777777" w:rsidTr="00335B2F">
        <w:trPr>
          <w:trHeight w:val="1590"/>
        </w:trPr>
        <w:tc>
          <w:tcPr>
            <w:tcW w:w="5245" w:type="dxa"/>
            <w:tcBorders>
              <w:top w:val="nil"/>
              <w:left w:val="single" w:sz="8" w:space="0" w:color="auto"/>
              <w:bottom w:val="single" w:sz="4" w:space="0" w:color="auto"/>
              <w:right w:val="single" w:sz="4" w:space="0" w:color="auto"/>
            </w:tcBorders>
            <w:shd w:val="clear" w:color="auto" w:fill="ED7D31" w:themeFill="accent2"/>
            <w:vAlign w:val="center"/>
            <w:hideMark/>
          </w:tcPr>
          <w:p w14:paraId="3EBC9510" w14:textId="77777777" w:rsidR="00ED2EDB" w:rsidRPr="00ED2EDB" w:rsidRDefault="00ED2EDB" w:rsidP="00ED2EDB">
            <w:pPr>
              <w:spacing w:after="0" w:line="240" w:lineRule="auto"/>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Ser reconhecido como referência na defesa e fomento das boas práticas da Arquitetura e Urbanismo</w:t>
            </w:r>
          </w:p>
        </w:tc>
        <w:tc>
          <w:tcPr>
            <w:tcW w:w="6577" w:type="dxa"/>
            <w:gridSpan w:val="2"/>
            <w:tcBorders>
              <w:top w:val="nil"/>
              <w:left w:val="nil"/>
              <w:bottom w:val="single" w:sz="4" w:space="0" w:color="auto"/>
              <w:right w:val="single" w:sz="4" w:space="0" w:color="000000"/>
            </w:tcBorders>
            <w:shd w:val="clear" w:color="auto" w:fill="ED7D31" w:themeFill="accent2"/>
            <w:vAlign w:val="center"/>
            <w:hideMark/>
          </w:tcPr>
          <w:p w14:paraId="63AF4992" w14:textId="77777777" w:rsidR="00ED2EDB" w:rsidRPr="00ED2EDB" w:rsidRDefault="00ED2EDB" w:rsidP="00ED2EDB">
            <w:pPr>
              <w:spacing w:after="0" w:line="240" w:lineRule="auto"/>
              <w:jc w:val="center"/>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 xml:space="preserve">Fórmula </w:t>
            </w:r>
          </w:p>
        </w:tc>
        <w:tc>
          <w:tcPr>
            <w:tcW w:w="1786" w:type="dxa"/>
            <w:tcBorders>
              <w:top w:val="nil"/>
              <w:left w:val="nil"/>
              <w:bottom w:val="single" w:sz="4" w:space="0" w:color="auto"/>
              <w:right w:val="single" w:sz="4" w:space="0" w:color="auto"/>
            </w:tcBorders>
            <w:shd w:val="clear" w:color="auto" w:fill="ED7D31" w:themeFill="accent2"/>
            <w:vAlign w:val="center"/>
            <w:hideMark/>
          </w:tcPr>
          <w:p w14:paraId="56A6602C" w14:textId="77777777" w:rsidR="00ED2EDB" w:rsidRPr="00ED2EDB" w:rsidRDefault="00ED2EDB" w:rsidP="00ED2EDB">
            <w:pPr>
              <w:spacing w:after="0" w:line="240" w:lineRule="auto"/>
              <w:jc w:val="center"/>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 xml:space="preserve">Periodicidade </w:t>
            </w:r>
          </w:p>
        </w:tc>
        <w:tc>
          <w:tcPr>
            <w:tcW w:w="1985" w:type="dxa"/>
            <w:tcBorders>
              <w:top w:val="nil"/>
              <w:left w:val="nil"/>
              <w:bottom w:val="single" w:sz="4" w:space="0" w:color="auto"/>
              <w:right w:val="single" w:sz="8" w:space="0" w:color="auto"/>
            </w:tcBorders>
            <w:shd w:val="clear" w:color="auto" w:fill="ED7D31" w:themeFill="accent2"/>
            <w:vAlign w:val="center"/>
            <w:hideMark/>
          </w:tcPr>
          <w:p w14:paraId="47C454AC" w14:textId="77777777" w:rsidR="00ED2EDB" w:rsidRPr="00ED2EDB" w:rsidRDefault="00ED2EDB" w:rsidP="00ED2EDB">
            <w:pPr>
              <w:spacing w:after="0" w:line="240" w:lineRule="auto"/>
              <w:jc w:val="center"/>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ÁREA</w:t>
            </w:r>
          </w:p>
        </w:tc>
      </w:tr>
      <w:tr w:rsidR="00ED2EDB" w:rsidRPr="00ED2EDB" w14:paraId="1C30DB98" w14:textId="77777777" w:rsidTr="00ED2EDB">
        <w:trPr>
          <w:trHeight w:val="1226"/>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29424A64" w14:textId="77777777" w:rsidR="00ED2EDB" w:rsidRPr="00ED2EDB" w:rsidRDefault="00ED2EDB" w:rsidP="00ED2EDB">
            <w:pPr>
              <w:spacing w:after="0" w:line="240" w:lineRule="auto"/>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 xml:space="preserve">Imagem do CAU junto à sociedade </w:t>
            </w:r>
            <w:r w:rsidRPr="00ED2EDB">
              <w:rPr>
                <w:rFonts w:ascii="Calibri" w:eastAsia="Times New Roman" w:hAnsi="Calibri" w:cs="Calibri"/>
                <w:color w:val="000000"/>
                <w:sz w:val="24"/>
                <w:szCs w:val="24"/>
                <w:lang w:eastAsia="pt-BR"/>
              </w:rPr>
              <w:br/>
            </w:r>
            <w:r w:rsidRPr="00ED2EDB">
              <w:rPr>
                <w:rFonts w:ascii="Calibri" w:eastAsia="Times New Roman" w:hAnsi="Calibri" w:cs="Calibri"/>
                <w:b/>
                <w:bCs/>
                <w:color w:val="000000"/>
                <w:sz w:val="24"/>
                <w:szCs w:val="24"/>
                <w:lang w:eastAsia="pt-BR"/>
              </w:rPr>
              <w:t>(CAU/BR)</w:t>
            </w:r>
          </w:p>
        </w:tc>
        <w:tc>
          <w:tcPr>
            <w:tcW w:w="6577" w:type="dxa"/>
            <w:gridSpan w:val="2"/>
            <w:tcBorders>
              <w:top w:val="single" w:sz="4" w:space="0" w:color="auto"/>
              <w:left w:val="nil"/>
              <w:bottom w:val="single" w:sz="4" w:space="0" w:color="auto"/>
              <w:right w:val="single" w:sz="4" w:space="0" w:color="000000"/>
            </w:tcBorders>
            <w:shd w:val="clear" w:color="auto" w:fill="auto"/>
            <w:vAlign w:val="center"/>
            <w:hideMark/>
          </w:tcPr>
          <w:p w14:paraId="6F2C946C" w14:textId="77777777" w:rsidR="00ED2EDB" w:rsidRPr="00ED2EDB" w:rsidRDefault="00ED2EDB" w:rsidP="00ED2EDB">
            <w:pPr>
              <w:spacing w:after="0" w:line="240" w:lineRule="auto"/>
              <w:jc w:val="center"/>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Pesquisa de imagem junto à sociedade</w:t>
            </w:r>
            <w:r w:rsidRPr="00ED2EDB">
              <w:rPr>
                <w:rFonts w:ascii="Calibri" w:eastAsia="Times New Roman" w:hAnsi="Calibri" w:cs="Calibri"/>
                <w:color w:val="000000"/>
                <w:sz w:val="24"/>
                <w:szCs w:val="24"/>
                <w:lang w:eastAsia="pt-BR"/>
              </w:rPr>
              <w:br/>
              <w:t>(arquitetos e sociedade em geral)</w:t>
            </w:r>
            <w:r w:rsidRPr="00ED2EDB">
              <w:rPr>
                <w:rFonts w:ascii="Calibri" w:eastAsia="Times New Roman" w:hAnsi="Calibri" w:cs="Calibri"/>
                <w:color w:val="000000"/>
                <w:sz w:val="24"/>
                <w:szCs w:val="24"/>
                <w:lang w:eastAsia="pt-BR"/>
              </w:rPr>
              <w:br/>
              <w:t>(valor do ano)</w:t>
            </w:r>
          </w:p>
        </w:tc>
        <w:tc>
          <w:tcPr>
            <w:tcW w:w="1786" w:type="dxa"/>
            <w:tcBorders>
              <w:top w:val="nil"/>
              <w:left w:val="nil"/>
              <w:bottom w:val="single" w:sz="4" w:space="0" w:color="auto"/>
              <w:right w:val="single" w:sz="4" w:space="0" w:color="auto"/>
            </w:tcBorders>
            <w:shd w:val="clear" w:color="auto" w:fill="auto"/>
            <w:vAlign w:val="center"/>
            <w:hideMark/>
          </w:tcPr>
          <w:p w14:paraId="1C46F8FC" w14:textId="08B9DAE6" w:rsidR="00ED2EDB" w:rsidRPr="00ED2EDB" w:rsidRDefault="00D7736E" w:rsidP="00ED2EDB">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A</w:t>
            </w:r>
            <w:r w:rsidR="00ED2EDB" w:rsidRPr="00ED2EDB">
              <w:rPr>
                <w:rFonts w:ascii="Calibri" w:eastAsia="Times New Roman" w:hAnsi="Calibri" w:cs="Calibri"/>
                <w:color w:val="000000"/>
                <w:sz w:val="24"/>
                <w:szCs w:val="24"/>
                <w:lang w:eastAsia="pt-BR"/>
              </w:rPr>
              <w:t>nual</w:t>
            </w:r>
          </w:p>
        </w:tc>
        <w:tc>
          <w:tcPr>
            <w:tcW w:w="1985" w:type="dxa"/>
            <w:tcBorders>
              <w:top w:val="nil"/>
              <w:left w:val="nil"/>
              <w:bottom w:val="single" w:sz="4" w:space="0" w:color="auto"/>
              <w:right w:val="single" w:sz="8" w:space="0" w:color="auto"/>
            </w:tcBorders>
            <w:shd w:val="clear" w:color="000000" w:fill="FFFFFF"/>
            <w:vAlign w:val="center"/>
            <w:hideMark/>
          </w:tcPr>
          <w:p w14:paraId="69CA97DD" w14:textId="77777777" w:rsidR="00ED2EDB" w:rsidRPr="00ED2EDB" w:rsidRDefault="00ED2EDB" w:rsidP="00ED2EDB">
            <w:pPr>
              <w:spacing w:after="0" w:line="240" w:lineRule="auto"/>
              <w:jc w:val="center"/>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Assessoria de Comunicação Social</w:t>
            </w:r>
          </w:p>
        </w:tc>
      </w:tr>
      <w:tr w:rsidR="00ED2EDB" w:rsidRPr="00ED2EDB" w14:paraId="667E720F" w14:textId="77777777" w:rsidTr="00335B2F">
        <w:trPr>
          <w:trHeight w:val="1590"/>
        </w:trPr>
        <w:tc>
          <w:tcPr>
            <w:tcW w:w="5245" w:type="dxa"/>
            <w:tcBorders>
              <w:top w:val="nil"/>
              <w:left w:val="single" w:sz="8" w:space="0" w:color="auto"/>
              <w:bottom w:val="single" w:sz="4" w:space="0" w:color="000000"/>
              <w:right w:val="single" w:sz="4" w:space="0" w:color="auto"/>
            </w:tcBorders>
            <w:shd w:val="clear" w:color="auto" w:fill="ED7D31" w:themeFill="accent2"/>
            <w:vAlign w:val="center"/>
            <w:hideMark/>
          </w:tcPr>
          <w:p w14:paraId="196515B0" w14:textId="77777777" w:rsidR="00ED2EDB" w:rsidRPr="00ED2EDB" w:rsidRDefault="00ED2EDB" w:rsidP="00ED2EDB">
            <w:pPr>
              <w:spacing w:after="0" w:line="240" w:lineRule="auto"/>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Assegurar a eficácia no atendimento e no relacionamento com os arquitetos e urbanistas e a sociedade</w:t>
            </w:r>
          </w:p>
        </w:tc>
        <w:tc>
          <w:tcPr>
            <w:tcW w:w="6577" w:type="dxa"/>
            <w:gridSpan w:val="2"/>
            <w:tcBorders>
              <w:top w:val="single" w:sz="4" w:space="0" w:color="auto"/>
              <w:left w:val="nil"/>
              <w:bottom w:val="single" w:sz="4" w:space="0" w:color="000000"/>
              <w:right w:val="nil"/>
            </w:tcBorders>
            <w:shd w:val="clear" w:color="auto" w:fill="ED7D31" w:themeFill="accent2"/>
            <w:vAlign w:val="center"/>
            <w:hideMark/>
          </w:tcPr>
          <w:p w14:paraId="55FDAEA5" w14:textId="77777777" w:rsidR="00ED2EDB" w:rsidRPr="00ED2EDB" w:rsidRDefault="00ED2EDB" w:rsidP="00ED2EDB">
            <w:pPr>
              <w:spacing w:after="0" w:line="240" w:lineRule="auto"/>
              <w:jc w:val="center"/>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 xml:space="preserve">Fórmula </w:t>
            </w:r>
          </w:p>
        </w:tc>
        <w:tc>
          <w:tcPr>
            <w:tcW w:w="1786" w:type="dxa"/>
            <w:tcBorders>
              <w:top w:val="nil"/>
              <w:left w:val="single" w:sz="4" w:space="0" w:color="auto"/>
              <w:bottom w:val="single" w:sz="4" w:space="0" w:color="000000"/>
              <w:right w:val="single" w:sz="4" w:space="0" w:color="auto"/>
            </w:tcBorders>
            <w:shd w:val="clear" w:color="auto" w:fill="ED7D31" w:themeFill="accent2"/>
            <w:vAlign w:val="center"/>
            <w:hideMark/>
          </w:tcPr>
          <w:p w14:paraId="0021C224" w14:textId="77777777" w:rsidR="00ED2EDB" w:rsidRPr="00ED2EDB" w:rsidRDefault="00ED2EDB" w:rsidP="00ED2EDB">
            <w:pPr>
              <w:spacing w:after="0" w:line="240" w:lineRule="auto"/>
              <w:jc w:val="center"/>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 xml:space="preserve">Periodicidade </w:t>
            </w:r>
          </w:p>
        </w:tc>
        <w:tc>
          <w:tcPr>
            <w:tcW w:w="1985" w:type="dxa"/>
            <w:tcBorders>
              <w:top w:val="nil"/>
              <w:left w:val="nil"/>
              <w:bottom w:val="single" w:sz="4" w:space="0" w:color="000000"/>
              <w:right w:val="single" w:sz="8" w:space="0" w:color="auto"/>
            </w:tcBorders>
            <w:shd w:val="clear" w:color="auto" w:fill="ED7D31" w:themeFill="accent2"/>
            <w:vAlign w:val="center"/>
            <w:hideMark/>
          </w:tcPr>
          <w:p w14:paraId="2A219C85" w14:textId="77777777" w:rsidR="00ED2EDB" w:rsidRPr="00ED2EDB" w:rsidRDefault="00ED2EDB" w:rsidP="00ED2EDB">
            <w:pPr>
              <w:spacing w:after="0" w:line="240" w:lineRule="auto"/>
              <w:jc w:val="center"/>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ÁREA</w:t>
            </w:r>
          </w:p>
        </w:tc>
      </w:tr>
      <w:tr w:rsidR="00ED2EDB" w:rsidRPr="00ED2EDB" w14:paraId="7BC209DC" w14:textId="77777777" w:rsidTr="00ED2EDB">
        <w:trPr>
          <w:trHeight w:val="657"/>
        </w:trPr>
        <w:tc>
          <w:tcPr>
            <w:tcW w:w="5245" w:type="dxa"/>
            <w:vMerge w:val="restart"/>
            <w:tcBorders>
              <w:top w:val="nil"/>
              <w:left w:val="single" w:sz="8" w:space="0" w:color="auto"/>
              <w:bottom w:val="single" w:sz="4" w:space="0" w:color="000000"/>
              <w:right w:val="single" w:sz="4" w:space="0" w:color="808080"/>
            </w:tcBorders>
            <w:shd w:val="clear" w:color="auto" w:fill="auto"/>
            <w:vAlign w:val="center"/>
            <w:hideMark/>
          </w:tcPr>
          <w:p w14:paraId="1BEA8637" w14:textId="77777777" w:rsidR="00ED2EDB" w:rsidRPr="00ED2EDB" w:rsidRDefault="00ED2EDB" w:rsidP="00ED2EDB">
            <w:pPr>
              <w:spacing w:after="0" w:line="240" w:lineRule="auto"/>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Índice de atendimento (%)</w:t>
            </w:r>
            <w:r w:rsidRPr="00ED2EDB">
              <w:rPr>
                <w:rFonts w:ascii="Calibri" w:eastAsia="Times New Roman" w:hAnsi="Calibri" w:cs="Calibri"/>
                <w:sz w:val="24"/>
                <w:szCs w:val="24"/>
                <w:lang w:eastAsia="pt-BR"/>
              </w:rPr>
              <w:br/>
            </w:r>
            <w:r w:rsidRPr="00ED2EDB">
              <w:rPr>
                <w:rFonts w:ascii="Calibri" w:eastAsia="Times New Roman" w:hAnsi="Calibri" w:cs="Calibri"/>
                <w:b/>
                <w:bCs/>
                <w:sz w:val="24"/>
                <w:szCs w:val="24"/>
                <w:lang w:eastAsia="pt-BR"/>
              </w:rPr>
              <w:t>(CAU/BR)</w:t>
            </w:r>
          </w:p>
        </w:tc>
        <w:tc>
          <w:tcPr>
            <w:tcW w:w="5680" w:type="dxa"/>
            <w:tcBorders>
              <w:top w:val="nil"/>
              <w:left w:val="nil"/>
              <w:bottom w:val="single" w:sz="4" w:space="0" w:color="000000"/>
              <w:right w:val="nil"/>
            </w:tcBorders>
            <w:shd w:val="clear" w:color="auto" w:fill="auto"/>
            <w:vAlign w:val="bottom"/>
            <w:hideMark/>
          </w:tcPr>
          <w:p w14:paraId="0F2B9A84"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Número de solicitações tratadas no prazo estipulado pela Carta de Serviços no trimestre</w:t>
            </w:r>
          </w:p>
        </w:tc>
        <w:tc>
          <w:tcPr>
            <w:tcW w:w="897" w:type="dxa"/>
            <w:vMerge w:val="restart"/>
            <w:tcBorders>
              <w:top w:val="nil"/>
              <w:left w:val="nil"/>
              <w:bottom w:val="single" w:sz="4" w:space="0" w:color="000000"/>
              <w:right w:val="single" w:sz="4" w:space="0" w:color="auto"/>
            </w:tcBorders>
            <w:shd w:val="clear" w:color="auto" w:fill="auto"/>
            <w:vAlign w:val="center"/>
            <w:hideMark/>
          </w:tcPr>
          <w:p w14:paraId="16D365B7"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auto" w:fill="auto"/>
            <w:vAlign w:val="center"/>
            <w:hideMark/>
          </w:tcPr>
          <w:p w14:paraId="46F1D3F4"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Trimestral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465D1381" w14:textId="77777777" w:rsidR="00ED2EDB" w:rsidRPr="00ED2EDB" w:rsidRDefault="00ED2EDB" w:rsidP="00ED2EDB">
            <w:pPr>
              <w:spacing w:after="0" w:line="240" w:lineRule="auto"/>
              <w:jc w:val="center"/>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Ouvidoria</w:t>
            </w:r>
          </w:p>
        </w:tc>
      </w:tr>
      <w:tr w:rsidR="00ED2EDB" w:rsidRPr="00ED2EDB" w14:paraId="0FABA234" w14:textId="77777777" w:rsidTr="00ED2EDB">
        <w:trPr>
          <w:trHeight w:val="553"/>
        </w:trPr>
        <w:tc>
          <w:tcPr>
            <w:tcW w:w="5245" w:type="dxa"/>
            <w:vMerge/>
            <w:tcBorders>
              <w:top w:val="nil"/>
              <w:left w:val="single" w:sz="8" w:space="0" w:color="auto"/>
              <w:bottom w:val="single" w:sz="4" w:space="0" w:color="000000"/>
              <w:right w:val="single" w:sz="4" w:space="0" w:color="808080"/>
            </w:tcBorders>
            <w:vAlign w:val="center"/>
            <w:hideMark/>
          </w:tcPr>
          <w:p w14:paraId="5E01407F"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5680" w:type="dxa"/>
            <w:tcBorders>
              <w:top w:val="nil"/>
              <w:left w:val="nil"/>
              <w:bottom w:val="single" w:sz="4" w:space="0" w:color="000000"/>
              <w:right w:val="nil"/>
            </w:tcBorders>
            <w:shd w:val="clear" w:color="auto" w:fill="auto"/>
            <w:hideMark/>
          </w:tcPr>
          <w:p w14:paraId="71142079"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Número de solicitações abertas no trimestre</w:t>
            </w:r>
          </w:p>
        </w:tc>
        <w:tc>
          <w:tcPr>
            <w:tcW w:w="897" w:type="dxa"/>
            <w:vMerge/>
            <w:tcBorders>
              <w:top w:val="nil"/>
              <w:left w:val="nil"/>
              <w:bottom w:val="single" w:sz="4" w:space="0" w:color="000000"/>
              <w:right w:val="single" w:sz="4" w:space="0" w:color="auto"/>
            </w:tcBorders>
            <w:vAlign w:val="center"/>
            <w:hideMark/>
          </w:tcPr>
          <w:p w14:paraId="2C2EC815"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19BE8681"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3D3AB12B" w14:textId="77777777" w:rsidR="00ED2EDB" w:rsidRPr="00ED2EDB" w:rsidRDefault="00ED2EDB" w:rsidP="00ED2EDB">
            <w:pPr>
              <w:spacing w:after="0" w:line="240" w:lineRule="auto"/>
              <w:rPr>
                <w:rFonts w:ascii="Calibri" w:eastAsia="Times New Roman" w:hAnsi="Calibri" w:cs="Calibri"/>
                <w:color w:val="000000"/>
                <w:sz w:val="24"/>
                <w:szCs w:val="24"/>
                <w:lang w:eastAsia="pt-BR"/>
              </w:rPr>
            </w:pPr>
          </w:p>
        </w:tc>
      </w:tr>
      <w:tr w:rsidR="00ED2EDB" w:rsidRPr="00ED2EDB" w14:paraId="5D4C5FD9" w14:textId="77777777" w:rsidTr="00ED2EDB">
        <w:trPr>
          <w:trHeight w:val="703"/>
        </w:trPr>
        <w:tc>
          <w:tcPr>
            <w:tcW w:w="5245" w:type="dxa"/>
            <w:vMerge w:val="restart"/>
            <w:tcBorders>
              <w:top w:val="nil"/>
              <w:left w:val="single" w:sz="8" w:space="0" w:color="auto"/>
              <w:bottom w:val="single" w:sz="4" w:space="0" w:color="000000"/>
              <w:right w:val="single" w:sz="4" w:space="0" w:color="808080"/>
            </w:tcBorders>
            <w:shd w:val="clear" w:color="auto" w:fill="auto"/>
            <w:vAlign w:val="center"/>
            <w:hideMark/>
          </w:tcPr>
          <w:p w14:paraId="467A67BA" w14:textId="77777777" w:rsidR="00ED2EDB" w:rsidRPr="00ED2EDB" w:rsidRDefault="00ED2EDB" w:rsidP="00ED2EDB">
            <w:pPr>
              <w:spacing w:after="0" w:line="240" w:lineRule="auto"/>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Índice de satisfação com a solução da demanda (%)</w:t>
            </w:r>
            <w:r w:rsidRPr="00ED2EDB">
              <w:rPr>
                <w:rFonts w:ascii="Calibri" w:eastAsia="Times New Roman" w:hAnsi="Calibri" w:cs="Calibri"/>
                <w:sz w:val="24"/>
                <w:szCs w:val="24"/>
                <w:lang w:eastAsia="pt-BR"/>
              </w:rPr>
              <w:br/>
            </w:r>
            <w:r w:rsidRPr="00ED2EDB">
              <w:rPr>
                <w:rFonts w:ascii="Calibri" w:eastAsia="Times New Roman" w:hAnsi="Calibri" w:cs="Calibri"/>
                <w:b/>
                <w:bCs/>
                <w:sz w:val="24"/>
                <w:szCs w:val="24"/>
                <w:lang w:eastAsia="pt-BR"/>
              </w:rPr>
              <w:t>(CAU/BR)</w:t>
            </w:r>
          </w:p>
        </w:tc>
        <w:tc>
          <w:tcPr>
            <w:tcW w:w="5680" w:type="dxa"/>
            <w:tcBorders>
              <w:top w:val="nil"/>
              <w:left w:val="nil"/>
              <w:bottom w:val="single" w:sz="4" w:space="0" w:color="000000"/>
              <w:right w:val="nil"/>
            </w:tcBorders>
            <w:shd w:val="clear" w:color="auto" w:fill="auto"/>
            <w:vAlign w:val="bottom"/>
            <w:hideMark/>
          </w:tcPr>
          <w:p w14:paraId="60EA254F"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número de usuários satisfeitos com a solução da demanda</w:t>
            </w:r>
          </w:p>
        </w:tc>
        <w:tc>
          <w:tcPr>
            <w:tcW w:w="897" w:type="dxa"/>
            <w:vMerge w:val="restart"/>
            <w:tcBorders>
              <w:top w:val="nil"/>
              <w:left w:val="nil"/>
              <w:bottom w:val="single" w:sz="4" w:space="0" w:color="000000"/>
              <w:right w:val="nil"/>
            </w:tcBorders>
            <w:shd w:val="clear" w:color="auto" w:fill="auto"/>
            <w:vAlign w:val="center"/>
            <w:hideMark/>
          </w:tcPr>
          <w:p w14:paraId="11A62045"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auto" w:fill="auto"/>
            <w:vAlign w:val="center"/>
            <w:hideMark/>
          </w:tcPr>
          <w:p w14:paraId="2D309F01"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Trimestral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3D50BC16" w14:textId="77777777" w:rsidR="00ED2EDB" w:rsidRPr="00ED2EDB" w:rsidRDefault="00ED2EDB" w:rsidP="00ED2EDB">
            <w:pPr>
              <w:spacing w:after="0" w:line="240" w:lineRule="auto"/>
              <w:jc w:val="center"/>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Ouvidoria</w:t>
            </w:r>
          </w:p>
        </w:tc>
      </w:tr>
      <w:tr w:rsidR="00ED2EDB" w:rsidRPr="00ED2EDB" w14:paraId="60FC1120" w14:textId="77777777" w:rsidTr="00ED2EDB">
        <w:trPr>
          <w:trHeight w:val="557"/>
        </w:trPr>
        <w:tc>
          <w:tcPr>
            <w:tcW w:w="5245" w:type="dxa"/>
            <w:vMerge/>
            <w:tcBorders>
              <w:top w:val="nil"/>
              <w:left w:val="single" w:sz="8" w:space="0" w:color="auto"/>
              <w:bottom w:val="single" w:sz="4" w:space="0" w:color="000000"/>
              <w:right w:val="single" w:sz="4" w:space="0" w:color="808080"/>
            </w:tcBorders>
            <w:vAlign w:val="center"/>
            <w:hideMark/>
          </w:tcPr>
          <w:p w14:paraId="5605E917"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5680" w:type="dxa"/>
            <w:tcBorders>
              <w:top w:val="nil"/>
              <w:left w:val="nil"/>
              <w:bottom w:val="single" w:sz="4" w:space="0" w:color="000000"/>
              <w:right w:val="nil"/>
            </w:tcBorders>
            <w:shd w:val="clear" w:color="auto" w:fill="auto"/>
            <w:hideMark/>
          </w:tcPr>
          <w:p w14:paraId="3BCBE85B" w14:textId="27E21F10"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 xml:space="preserve">número de usuários que responderam </w:t>
            </w:r>
            <w:r>
              <w:rPr>
                <w:rFonts w:ascii="Calibri" w:eastAsia="Times New Roman" w:hAnsi="Calibri" w:cs="Calibri"/>
                <w:sz w:val="24"/>
                <w:szCs w:val="24"/>
                <w:lang w:eastAsia="pt-BR"/>
              </w:rPr>
              <w:t>à</w:t>
            </w:r>
            <w:r w:rsidRPr="00ED2EDB">
              <w:rPr>
                <w:rFonts w:ascii="Calibri" w:eastAsia="Times New Roman" w:hAnsi="Calibri" w:cs="Calibri"/>
                <w:sz w:val="24"/>
                <w:szCs w:val="24"/>
                <w:lang w:eastAsia="pt-BR"/>
              </w:rPr>
              <w:t xml:space="preserve"> pesquisa</w:t>
            </w:r>
          </w:p>
        </w:tc>
        <w:tc>
          <w:tcPr>
            <w:tcW w:w="897" w:type="dxa"/>
            <w:vMerge/>
            <w:tcBorders>
              <w:top w:val="nil"/>
              <w:left w:val="nil"/>
              <w:bottom w:val="single" w:sz="4" w:space="0" w:color="000000"/>
              <w:right w:val="nil"/>
            </w:tcBorders>
            <w:vAlign w:val="center"/>
            <w:hideMark/>
          </w:tcPr>
          <w:p w14:paraId="189DAC19"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73E00808"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74A109A6" w14:textId="77777777" w:rsidR="00ED2EDB" w:rsidRPr="00ED2EDB" w:rsidRDefault="00ED2EDB" w:rsidP="00ED2EDB">
            <w:pPr>
              <w:spacing w:after="0" w:line="240" w:lineRule="auto"/>
              <w:rPr>
                <w:rFonts w:ascii="Calibri" w:eastAsia="Times New Roman" w:hAnsi="Calibri" w:cs="Calibri"/>
                <w:color w:val="000000"/>
                <w:sz w:val="24"/>
                <w:szCs w:val="24"/>
                <w:lang w:eastAsia="pt-BR"/>
              </w:rPr>
            </w:pPr>
          </w:p>
        </w:tc>
      </w:tr>
      <w:tr w:rsidR="00ED2EDB" w:rsidRPr="00ED2EDB" w14:paraId="0816D4BB" w14:textId="77777777" w:rsidTr="00ED2EDB">
        <w:trPr>
          <w:trHeight w:val="848"/>
        </w:trPr>
        <w:tc>
          <w:tcPr>
            <w:tcW w:w="5245" w:type="dxa"/>
            <w:vMerge w:val="restart"/>
            <w:tcBorders>
              <w:top w:val="nil"/>
              <w:left w:val="single" w:sz="8" w:space="0" w:color="auto"/>
              <w:bottom w:val="single" w:sz="4" w:space="0" w:color="000000"/>
              <w:right w:val="single" w:sz="4" w:space="0" w:color="808080"/>
            </w:tcBorders>
            <w:shd w:val="clear" w:color="auto" w:fill="auto"/>
            <w:vAlign w:val="center"/>
            <w:hideMark/>
          </w:tcPr>
          <w:p w14:paraId="4129E126" w14:textId="77777777" w:rsidR="00ED2EDB" w:rsidRPr="00ED2EDB" w:rsidRDefault="00ED2EDB" w:rsidP="00ED2EDB">
            <w:pPr>
              <w:spacing w:after="0" w:line="240" w:lineRule="auto"/>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Índice de reclamações recebidas na Ouvidoria (%)</w:t>
            </w:r>
            <w:r w:rsidRPr="00ED2EDB">
              <w:rPr>
                <w:rFonts w:ascii="Calibri" w:eastAsia="Times New Roman" w:hAnsi="Calibri" w:cs="Calibri"/>
                <w:sz w:val="24"/>
                <w:szCs w:val="24"/>
                <w:lang w:eastAsia="pt-BR"/>
              </w:rPr>
              <w:br/>
            </w:r>
            <w:r w:rsidRPr="00ED2EDB">
              <w:rPr>
                <w:rFonts w:ascii="Calibri" w:eastAsia="Times New Roman" w:hAnsi="Calibri" w:cs="Calibri"/>
                <w:b/>
                <w:bCs/>
                <w:sz w:val="24"/>
                <w:szCs w:val="24"/>
                <w:lang w:eastAsia="pt-BR"/>
              </w:rPr>
              <w:t>(CAU/BR)</w:t>
            </w:r>
          </w:p>
        </w:tc>
        <w:tc>
          <w:tcPr>
            <w:tcW w:w="5680" w:type="dxa"/>
            <w:tcBorders>
              <w:top w:val="nil"/>
              <w:left w:val="nil"/>
              <w:bottom w:val="single" w:sz="4" w:space="0" w:color="000000"/>
              <w:right w:val="nil"/>
            </w:tcBorders>
            <w:shd w:val="clear" w:color="auto" w:fill="auto"/>
            <w:vAlign w:val="bottom"/>
            <w:hideMark/>
          </w:tcPr>
          <w:p w14:paraId="7EAF578D" w14:textId="1FF171D1"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 xml:space="preserve">número de reclamações recebidas pela Ouvidoria no trimestre                                                                                                               </w:t>
            </w:r>
          </w:p>
        </w:tc>
        <w:tc>
          <w:tcPr>
            <w:tcW w:w="897" w:type="dxa"/>
            <w:vMerge w:val="restart"/>
            <w:tcBorders>
              <w:top w:val="nil"/>
              <w:left w:val="nil"/>
              <w:bottom w:val="single" w:sz="4" w:space="0" w:color="000000"/>
              <w:right w:val="nil"/>
            </w:tcBorders>
            <w:shd w:val="clear" w:color="auto" w:fill="auto"/>
            <w:vAlign w:val="center"/>
            <w:hideMark/>
          </w:tcPr>
          <w:p w14:paraId="27BEB9E1"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auto" w:fill="auto"/>
            <w:vAlign w:val="center"/>
            <w:hideMark/>
          </w:tcPr>
          <w:p w14:paraId="5AEDB7BD"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Trimestral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6CAEC70B" w14:textId="77777777" w:rsidR="00ED2EDB" w:rsidRPr="00ED2EDB" w:rsidRDefault="00ED2EDB" w:rsidP="00ED2EDB">
            <w:pPr>
              <w:spacing w:after="0" w:line="240" w:lineRule="auto"/>
              <w:jc w:val="center"/>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Ouvidoria</w:t>
            </w:r>
          </w:p>
        </w:tc>
      </w:tr>
      <w:tr w:rsidR="00ED2EDB" w:rsidRPr="00ED2EDB" w14:paraId="29BAAED9" w14:textId="77777777" w:rsidTr="00ED2EDB">
        <w:trPr>
          <w:trHeight w:val="691"/>
        </w:trPr>
        <w:tc>
          <w:tcPr>
            <w:tcW w:w="5245" w:type="dxa"/>
            <w:vMerge/>
            <w:tcBorders>
              <w:top w:val="nil"/>
              <w:left w:val="single" w:sz="8" w:space="0" w:color="auto"/>
              <w:bottom w:val="single" w:sz="4" w:space="0" w:color="000000"/>
              <w:right w:val="single" w:sz="4" w:space="0" w:color="808080"/>
            </w:tcBorders>
            <w:vAlign w:val="center"/>
            <w:hideMark/>
          </w:tcPr>
          <w:p w14:paraId="6EEBB46A"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5680" w:type="dxa"/>
            <w:tcBorders>
              <w:top w:val="nil"/>
              <w:left w:val="nil"/>
              <w:bottom w:val="single" w:sz="4" w:space="0" w:color="000000"/>
              <w:right w:val="nil"/>
            </w:tcBorders>
            <w:shd w:val="clear" w:color="auto" w:fill="auto"/>
            <w:hideMark/>
          </w:tcPr>
          <w:p w14:paraId="63754655"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 xml:space="preserve">número total de atendimentos pela Ouvidoria no trimestre                                   </w:t>
            </w:r>
          </w:p>
        </w:tc>
        <w:tc>
          <w:tcPr>
            <w:tcW w:w="897" w:type="dxa"/>
            <w:vMerge/>
            <w:tcBorders>
              <w:top w:val="nil"/>
              <w:left w:val="nil"/>
              <w:bottom w:val="single" w:sz="4" w:space="0" w:color="000000"/>
              <w:right w:val="nil"/>
            </w:tcBorders>
            <w:vAlign w:val="center"/>
            <w:hideMark/>
          </w:tcPr>
          <w:p w14:paraId="25182696"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2A8D1E10"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02C70FED" w14:textId="77777777" w:rsidR="00ED2EDB" w:rsidRPr="00ED2EDB" w:rsidRDefault="00ED2EDB" w:rsidP="00ED2EDB">
            <w:pPr>
              <w:spacing w:after="0" w:line="240" w:lineRule="auto"/>
              <w:rPr>
                <w:rFonts w:ascii="Calibri" w:eastAsia="Times New Roman" w:hAnsi="Calibri" w:cs="Calibri"/>
                <w:color w:val="000000"/>
                <w:sz w:val="24"/>
                <w:szCs w:val="24"/>
                <w:lang w:eastAsia="pt-BR"/>
              </w:rPr>
            </w:pPr>
          </w:p>
        </w:tc>
      </w:tr>
    </w:tbl>
    <w:p w14:paraId="7DC853A5" w14:textId="47085D0A" w:rsidR="00A146DF" w:rsidRPr="00A146DF" w:rsidRDefault="00A146DF" w:rsidP="00A146DF"/>
    <w:p w14:paraId="7DC853A6" w14:textId="72A20D67" w:rsidR="00A146DF" w:rsidRPr="004719E1" w:rsidRDefault="00843EF2" w:rsidP="006E71EC">
      <w:pPr>
        <w:spacing w:after="0"/>
        <w:ind w:left="-567"/>
        <w:rPr>
          <w:noProof/>
          <w:lang w:eastAsia="pt-BR"/>
        </w:rPr>
      </w:pPr>
      <w:r w:rsidRPr="004719E1">
        <w:rPr>
          <w:b/>
        </w:rPr>
        <w:t>ANEXO II</w:t>
      </w:r>
      <w:r w:rsidR="00600A7B" w:rsidRPr="004719E1">
        <w:rPr>
          <w:b/>
        </w:rPr>
        <w:t>.a</w:t>
      </w:r>
      <w:r w:rsidRPr="004719E1">
        <w:rPr>
          <w:b/>
        </w:rPr>
        <w:t xml:space="preserve"> –</w:t>
      </w:r>
      <w:r w:rsidR="00AF1B4D" w:rsidRPr="004719E1">
        <w:rPr>
          <w:rFonts w:eastAsia="Arial Unicode MS"/>
        </w:rPr>
        <w:t xml:space="preserve"> </w:t>
      </w:r>
      <w:r w:rsidR="00AF1B4D" w:rsidRPr="004719E1">
        <w:rPr>
          <w:rFonts w:asciiTheme="majorHAnsi" w:eastAsia="Arial Unicode MS" w:hAnsiTheme="majorHAnsi" w:cstheme="majorBidi"/>
          <w:b/>
        </w:rPr>
        <w:t>Indicadores Institucionais e de Resultado</w:t>
      </w:r>
      <w:r w:rsidR="006D3ADD" w:rsidRPr="004719E1">
        <w:rPr>
          <w:rFonts w:asciiTheme="majorHAnsi" w:eastAsia="Arial Unicode MS" w:hAnsiTheme="majorHAnsi" w:cstheme="majorBidi"/>
          <w:b/>
        </w:rPr>
        <w:t xml:space="preserve"> –</w:t>
      </w:r>
      <w:r w:rsidR="00AF1B4D" w:rsidRPr="004719E1">
        <w:rPr>
          <w:rFonts w:asciiTheme="majorHAnsi" w:eastAsia="Arial Unicode MS" w:hAnsiTheme="majorHAnsi" w:cstheme="majorBidi"/>
          <w:b/>
        </w:rPr>
        <w:t xml:space="preserve"> CAU</w:t>
      </w:r>
      <w:r w:rsidR="006D3ADD" w:rsidRPr="004719E1">
        <w:rPr>
          <w:rFonts w:asciiTheme="majorHAnsi" w:eastAsia="Arial Unicode MS" w:hAnsiTheme="majorHAnsi" w:cstheme="majorBidi"/>
          <w:b/>
        </w:rPr>
        <w:t>/</w:t>
      </w:r>
      <w:r w:rsidR="00AF1B4D" w:rsidRPr="004719E1">
        <w:rPr>
          <w:rFonts w:asciiTheme="majorHAnsi" w:eastAsia="Arial Unicode MS" w:hAnsiTheme="majorHAnsi" w:cstheme="majorBidi"/>
          <w:b/>
        </w:rPr>
        <w:t>BR</w:t>
      </w:r>
      <w:r w:rsidR="00AF1B4D" w:rsidRPr="004719E1">
        <w:rPr>
          <w:noProof/>
          <w:lang w:eastAsia="pt-BR"/>
        </w:rPr>
        <w:t xml:space="preserve"> </w:t>
      </w:r>
    </w:p>
    <w:tbl>
      <w:tblPr>
        <w:tblW w:w="15593" w:type="dxa"/>
        <w:tblInd w:w="-577" w:type="dxa"/>
        <w:tblCellMar>
          <w:left w:w="70" w:type="dxa"/>
          <w:right w:w="70" w:type="dxa"/>
        </w:tblCellMar>
        <w:tblLook w:val="04A0" w:firstRow="1" w:lastRow="0" w:firstColumn="1" w:lastColumn="0" w:noHBand="0" w:noVBand="1"/>
      </w:tblPr>
      <w:tblGrid>
        <w:gridCol w:w="5245"/>
        <w:gridCol w:w="5812"/>
        <w:gridCol w:w="765"/>
        <w:gridCol w:w="1786"/>
        <w:gridCol w:w="1985"/>
      </w:tblGrid>
      <w:tr w:rsidR="006E71EC" w:rsidRPr="006E71EC" w14:paraId="4C88F74B" w14:textId="77777777" w:rsidTr="00335B2F">
        <w:trPr>
          <w:trHeight w:val="1590"/>
        </w:trPr>
        <w:tc>
          <w:tcPr>
            <w:tcW w:w="5245" w:type="dxa"/>
            <w:tcBorders>
              <w:top w:val="single" w:sz="4" w:space="0" w:color="000000"/>
              <w:left w:val="single" w:sz="8" w:space="0" w:color="auto"/>
              <w:bottom w:val="single" w:sz="4" w:space="0" w:color="auto"/>
              <w:right w:val="single" w:sz="4" w:space="0" w:color="auto"/>
            </w:tcBorders>
            <w:shd w:val="clear" w:color="auto" w:fill="ED7D31" w:themeFill="accent2"/>
            <w:vAlign w:val="center"/>
            <w:hideMark/>
          </w:tcPr>
          <w:p w14:paraId="31B605B1" w14:textId="77777777" w:rsidR="006E71EC" w:rsidRPr="006E71EC" w:rsidRDefault="006E71EC" w:rsidP="006E71EC">
            <w:pPr>
              <w:spacing w:after="0" w:line="240" w:lineRule="auto"/>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Estimular o conhecimento, o uso de processos criativos e a difusão das melhores práticas em Arquitetura e Urbanismo</w:t>
            </w:r>
          </w:p>
        </w:tc>
        <w:tc>
          <w:tcPr>
            <w:tcW w:w="6577" w:type="dxa"/>
            <w:gridSpan w:val="2"/>
            <w:tcBorders>
              <w:top w:val="single" w:sz="4" w:space="0" w:color="000000"/>
              <w:left w:val="nil"/>
              <w:bottom w:val="single" w:sz="4" w:space="0" w:color="auto"/>
              <w:right w:val="single" w:sz="4" w:space="0" w:color="auto"/>
            </w:tcBorders>
            <w:shd w:val="clear" w:color="auto" w:fill="ED7D31" w:themeFill="accent2"/>
            <w:vAlign w:val="center"/>
            <w:hideMark/>
          </w:tcPr>
          <w:p w14:paraId="2F0515CB"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 xml:space="preserve">Fórmula </w:t>
            </w:r>
          </w:p>
        </w:tc>
        <w:tc>
          <w:tcPr>
            <w:tcW w:w="1786" w:type="dxa"/>
            <w:tcBorders>
              <w:top w:val="single" w:sz="4" w:space="0" w:color="000000"/>
              <w:left w:val="nil"/>
              <w:bottom w:val="single" w:sz="4" w:space="0" w:color="auto"/>
              <w:right w:val="single" w:sz="4" w:space="0" w:color="auto"/>
            </w:tcBorders>
            <w:shd w:val="clear" w:color="auto" w:fill="ED7D31" w:themeFill="accent2"/>
            <w:vAlign w:val="center"/>
            <w:hideMark/>
          </w:tcPr>
          <w:p w14:paraId="7121D2F4"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 xml:space="preserve">Periodicidade </w:t>
            </w:r>
          </w:p>
        </w:tc>
        <w:tc>
          <w:tcPr>
            <w:tcW w:w="1985" w:type="dxa"/>
            <w:tcBorders>
              <w:top w:val="single" w:sz="4" w:space="0" w:color="000000"/>
              <w:left w:val="nil"/>
              <w:bottom w:val="single" w:sz="4" w:space="0" w:color="auto"/>
              <w:right w:val="single" w:sz="8" w:space="0" w:color="auto"/>
            </w:tcBorders>
            <w:shd w:val="clear" w:color="auto" w:fill="ED7D31" w:themeFill="accent2"/>
            <w:vAlign w:val="center"/>
            <w:hideMark/>
          </w:tcPr>
          <w:p w14:paraId="39A6BC0C"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ÁREA</w:t>
            </w:r>
          </w:p>
        </w:tc>
      </w:tr>
      <w:tr w:rsidR="006E71EC" w:rsidRPr="006E71EC" w14:paraId="13FE29BB" w14:textId="77777777" w:rsidTr="006E71EC">
        <w:trPr>
          <w:trHeight w:val="633"/>
        </w:trPr>
        <w:tc>
          <w:tcPr>
            <w:tcW w:w="5245"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3D83D768" w14:textId="7777777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crescimento de parcerias institucionais firmadas pela AIP</w:t>
            </w:r>
          </w:p>
        </w:tc>
        <w:tc>
          <w:tcPr>
            <w:tcW w:w="5812" w:type="dxa"/>
            <w:tcBorders>
              <w:top w:val="nil"/>
              <w:left w:val="nil"/>
              <w:bottom w:val="single" w:sz="4" w:space="0" w:color="000000"/>
              <w:right w:val="nil"/>
            </w:tcBorders>
            <w:shd w:val="clear" w:color="000000" w:fill="FFFFFF"/>
            <w:vAlign w:val="bottom"/>
            <w:hideMark/>
          </w:tcPr>
          <w:p w14:paraId="05EB7E7C"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quantidade de parcerias firmadas no ano vigente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36601C63"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02DC46E"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16D567DC" w14:textId="77777777" w:rsidR="006E71EC" w:rsidRPr="006E71EC" w:rsidRDefault="006E71EC" w:rsidP="006E71EC">
            <w:pPr>
              <w:spacing w:after="0" w:line="240" w:lineRule="auto"/>
              <w:jc w:val="center"/>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AIP</w:t>
            </w:r>
          </w:p>
        </w:tc>
      </w:tr>
      <w:tr w:rsidR="006E71EC" w:rsidRPr="006E71EC" w14:paraId="644A93FC" w14:textId="77777777" w:rsidTr="006E71EC">
        <w:trPr>
          <w:trHeight w:val="557"/>
        </w:trPr>
        <w:tc>
          <w:tcPr>
            <w:tcW w:w="5245" w:type="dxa"/>
            <w:vMerge/>
            <w:tcBorders>
              <w:top w:val="nil"/>
              <w:left w:val="single" w:sz="8" w:space="0" w:color="auto"/>
              <w:bottom w:val="single" w:sz="4" w:space="0" w:color="000000"/>
              <w:right w:val="single" w:sz="4" w:space="0" w:color="auto"/>
            </w:tcBorders>
            <w:vAlign w:val="center"/>
            <w:hideMark/>
          </w:tcPr>
          <w:p w14:paraId="1893B75D"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12" w:type="dxa"/>
            <w:tcBorders>
              <w:top w:val="nil"/>
              <w:left w:val="nil"/>
              <w:bottom w:val="nil"/>
              <w:right w:val="nil"/>
            </w:tcBorders>
            <w:shd w:val="clear" w:color="000000" w:fill="FFFFFF"/>
            <w:hideMark/>
          </w:tcPr>
          <w:p w14:paraId="75EE28BF"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quantidade de parcerias firmadas no ano anterior </w:t>
            </w:r>
          </w:p>
        </w:tc>
        <w:tc>
          <w:tcPr>
            <w:tcW w:w="765" w:type="dxa"/>
            <w:vMerge/>
            <w:tcBorders>
              <w:top w:val="nil"/>
              <w:left w:val="nil"/>
              <w:bottom w:val="single" w:sz="4" w:space="0" w:color="000000"/>
              <w:right w:val="single" w:sz="4" w:space="0" w:color="auto"/>
            </w:tcBorders>
            <w:vAlign w:val="center"/>
            <w:hideMark/>
          </w:tcPr>
          <w:p w14:paraId="4C9E2FE8"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6BA0AF52"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0E72C70A" w14:textId="77777777" w:rsidR="006E71EC" w:rsidRPr="006E71EC" w:rsidRDefault="006E71EC" w:rsidP="006E71EC">
            <w:pPr>
              <w:spacing w:after="0" w:line="240" w:lineRule="auto"/>
              <w:rPr>
                <w:rFonts w:ascii="Calibri" w:eastAsia="Times New Roman" w:hAnsi="Calibri" w:cs="Calibri"/>
                <w:color w:val="000000"/>
                <w:sz w:val="24"/>
                <w:szCs w:val="24"/>
                <w:lang w:eastAsia="pt-BR"/>
              </w:rPr>
            </w:pPr>
          </w:p>
        </w:tc>
      </w:tr>
      <w:tr w:rsidR="006E71EC" w:rsidRPr="006E71EC" w14:paraId="35C75D29" w14:textId="77777777" w:rsidTr="006E71EC">
        <w:trPr>
          <w:trHeight w:val="706"/>
        </w:trPr>
        <w:tc>
          <w:tcPr>
            <w:tcW w:w="5245" w:type="dxa"/>
            <w:vMerge w:val="restart"/>
            <w:tcBorders>
              <w:top w:val="nil"/>
              <w:left w:val="single" w:sz="8" w:space="0" w:color="auto"/>
              <w:bottom w:val="single" w:sz="4" w:space="0" w:color="auto"/>
              <w:right w:val="single" w:sz="4" w:space="0" w:color="auto"/>
            </w:tcBorders>
            <w:shd w:val="clear" w:color="000000" w:fill="FFFFFF"/>
            <w:vAlign w:val="center"/>
            <w:hideMark/>
          </w:tcPr>
          <w:p w14:paraId="1C1C2415" w14:textId="7777777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da capacidade de execução dos investimentos em patrocínios (%)</w:t>
            </w:r>
            <w:r w:rsidRPr="006E71EC">
              <w:rPr>
                <w:rFonts w:ascii="Calibri" w:eastAsia="Times New Roman" w:hAnsi="Calibri" w:cs="Calibri"/>
                <w:sz w:val="24"/>
                <w:szCs w:val="24"/>
                <w:lang w:eastAsia="pt-BR"/>
              </w:rPr>
              <w:br/>
            </w:r>
            <w:r w:rsidRPr="006E71EC">
              <w:rPr>
                <w:rFonts w:ascii="Calibri" w:eastAsia="Times New Roman" w:hAnsi="Calibri" w:cs="Calibri"/>
                <w:b/>
                <w:bCs/>
                <w:sz w:val="24"/>
                <w:szCs w:val="24"/>
                <w:lang w:eastAsia="pt-BR"/>
              </w:rPr>
              <w:t xml:space="preserve">(CAU/BR) </w:t>
            </w:r>
          </w:p>
        </w:tc>
        <w:tc>
          <w:tcPr>
            <w:tcW w:w="5812" w:type="dxa"/>
            <w:tcBorders>
              <w:top w:val="single" w:sz="4" w:space="0" w:color="auto"/>
              <w:left w:val="nil"/>
              <w:bottom w:val="single" w:sz="4" w:space="0" w:color="auto"/>
              <w:right w:val="nil"/>
            </w:tcBorders>
            <w:shd w:val="clear" w:color="000000" w:fill="FFFFFF"/>
            <w:vAlign w:val="bottom"/>
            <w:hideMark/>
          </w:tcPr>
          <w:p w14:paraId="7EA104EE"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valor orçamentário investido (executado) em patrocínios no ano</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02470D5C"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D82F4D"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529B959C"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AIP</w:t>
            </w:r>
          </w:p>
        </w:tc>
      </w:tr>
      <w:tr w:rsidR="006E71EC" w:rsidRPr="006E71EC" w14:paraId="697FCB4E" w14:textId="77777777" w:rsidTr="006E71EC">
        <w:trPr>
          <w:trHeight w:val="365"/>
        </w:trPr>
        <w:tc>
          <w:tcPr>
            <w:tcW w:w="5245" w:type="dxa"/>
            <w:vMerge/>
            <w:tcBorders>
              <w:top w:val="nil"/>
              <w:left w:val="single" w:sz="8" w:space="0" w:color="auto"/>
              <w:bottom w:val="single" w:sz="4" w:space="0" w:color="auto"/>
              <w:right w:val="single" w:sz="4" w:space="0" w:color="auto"/>
            </w:tcBorders>
            <w:vAlign w:val="center"/>
            <w:hideMark/>
          </w:tcPr>
          <w:p w14:paraId="3C4DBF6B"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12" w:type="dxa"/>
            <w:tcBorders>
              <w:top w:val="nil"/>
              <w:left w:val="nil"/>
              <w:bottom w:val="single" w:sz="4" w:space="0" w:color="auto"/>
              <w:right w:val="nil"/>
            </w:tcBorders>
            <w:shd w:val="clear" w:color="000000" w:fill="FFFFFF"/>
            <w:hideMark/>
          </w:tcPr>
          <w:p w14:paraId="0DB53754"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valor orçamentário destinado (orçado) em patrocínios no ano</w:t>
            </w:r>
          </w:p>
        </w:tc>
        <w:tc>
          <w:tcPr>
            <w:tcW w:w="765" w:type="dxa"/>
            <w:vMerge/>
            <w:tcBorders>
              <w:top w:val="nil"/>
              <w:left w:val="nil"/>
              <w:bottom w:val="single" w:sz="4" w:space="0" w:color="000000"/>
              <w:right w:val="single" w:sz="4" w:space="0" w:color="auto"/>
            </w:tcBorders>
            <w:vAlign w:val="center"/>
            <w:hideMark/>
          </w:tcPr>
          <w:p w14:paraId="7C18419E"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499A3BC4"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3CF3A14D" w14:textId="77777777" w:rsidR="006E71EC" w:rsidRPr="006E71EC" w:rsidRDefault="006E71EC" w:rsidP="006E71EC">
            <w:pPr>
              <w:spacing w:after="0" w:line="240" w:lineRule="auto"/>
              <w:rPr>
                <w:rFonts w:ascii="Calibri" w:eastAsia="Times New Roman" w:hAnsi="Calibri" w:cs="Calibri"/>
                <w:sz w:val="24"/>
                <w:szCs w:val="24"/>
                <w:lang w:eastAsia="pt-BR"/>
              </w:rPr>
            </w:pPr>
          </w:p>
        </w:tc>
      </w:tr>
      <w:tr w:rsidR="006E71EC" w:rsidRPr="006E71EC" w14:paraId="6FC5903A" w14:textId="77777777" w:rsidTr="006E71EC">
        <w:trPr>
          <w:trHeight w:val="669"/>
        </w:trPr>
        <w:tc>
          <w:tcPr>
            <w:tcW w:w="5245" w:type="dxa"/>
            <w:vMerge w:val="restart"/>
            <w:tcBorders>
              <w:top w:val="nil"/>
              <w:left w:val="single" w:sz="8" w:space="0" w:color="auto"/>
              <w:bottom w:val="single" w:sz="4" w:space="0" w:color="auto"/>
              <w:right w:val="single" w:sz="4" w:space="0" w:color="auto"/>
            </w:tcBorders>
            <w:shd w:val="clear" w:color="000000" w:fill="FFFFFF"/>
            <w:vAlign w:val="center"/>
            <w:hideMark/>
          </w:tcPr>
          <w:p w14:paraId="66A76259" w14:textId="73035B7D"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difusão de conhecimento em eventos próprios (%)</w:t>
            </w:r>
            <w:r w:rsidRPr="006E71EC">
              <w:rPr>
                <w:rFonts w:ascii="Calibri" w:eastAsia="Times New Roman" w:hAnsi="Calibri" w:cs="Calibri"/>
                <w:b/>
                <w:bCs/>
                <w:sz w:val="24"/>
                <w:szCs w:val="24"/>
                <w:lang w:eastAsia="pt-BR"/>
              </w:rPr>
              <w:br/>
              <w:t>(CAU/BR)</w:t>
            </w:r>
          </w:p>
        </w:tc>
        <w:tc>
          <w:tcPr>
            <w:tcW w:w="5812" w:type="dxa"/>
            <w:tcBorders>
              <w:top w:val="nil"/>
              <w:left w:val="nil"/>
              <w:bottom w:val="single" w:sz="4" w:space="0" w:color="auto"/>
              <w:right w:val="nil"/>
            </w:tcBorders>
            <w:shd w:val="clear" w:color="000000" w:fill="FFFFFF"/>
            <w:vAlign w:val="bottom"/>
            <w:hideMark/>
          </w:tcPr>
          <w:p w14:paraId="3E74E991"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Quantidade de participantes presentes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26313578"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DD159C"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6492D36B"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GERPLAN</w:t>
            </w:r>
          </w:p>
        </w:tc>
      </w:tr>
      <w:tr w:rsidR="006E71EC" w:rsidRPr="006E71EC" w14:paraId="043D8B55" w14:textId="77777777" w:rsidTr="006E71EC">
        <w:trPr>
          <w:trHeight w:val="693"/>
        </w:trPr>
        <w:tc>
          <w:tcPr>
            <w:tcW w:w="5245" w:type="dxa"/>
            <w:vMerge/>
            <w:tcBorders>
              <w:top w:val="nil"/>
              <w:left w:val="single" w:sz="8" w:space="0" w:color="auto"/>
              <w:bottom w:val="single" w:sz="4" w:space="0" w:color="auto"/>
              <w:right w:val="single" w:sz="4" w:space="0" w:color="auto"/>
            </w:tcBorders>
            <w:vAlign w:val="center"/>
            <w:hideMark/>
          </w:tcPr>
          <w:p w14:paraId="093AF18B"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12" w:type="dxa"/>
            <w:tcBorders>
              <w:top w:val="nil"/>
              <w:left w:val="nil"/>
              <w:bottom w:val="single" w:sz="4" w:space="0" w:color="auto"/>
              <w:right w:val="nil"/>
            </w:tcBorders>
            <w:shd w:val="clear" w:color="000000" w:fill="FFFFFF"/>
            <w:hideMark/>
          </w:tcPr>
          <w:p w14:paraId="35510756"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quantidade de participantes previstas no Plano de Ação Aprovado         </w:t>
            </w:r>
          </w:p>
        </w:tc>
        <w:tc>
          <w:tcPr>
            <w:tcW w:w="765" w:type="dxa"/>
            <w:vMerge/>
            <w:tcBorders>
              <w:top w:val="nil"/>
              <w:left w:val="nil"/>
              <w:bottom w:val="single" w:sz="4" w:space="0" w:color="000000"/>
              <w:right w:val="single" w:sz="4" w:space="0" w:color="auto"/>
            </w:tcBorders>
            <w:vAlign w:val="center"/>
            <w:hideMark/>
          </w:tcPr>
          <w:p w14:paraId="00933DAC"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2BB19147"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561F278F" w14:textId="77777777" w:rsidR="006E71EC" w:rsidRPr="006E71EC" w:rsidRDefault="006E71EC" w:rsidP="006E71EC">
            <w:pPr>
              <w:spacing w:after="0" w:line="240" w:lineRule="auto"/>
              <w:rPr>
                <w:rFonts w:ascii="Calibri" w:eastAsia="Times New Roman" w:hAnsi="Calibri" w:cs="Calibri"/>
                <w:sz w:val="24"/>
                <w:szCs w:val="24"/>
                <w:lang w:eastAsia="pt-BR"/>
              </w:rPr>
            </w:pPr>
          </w:p>
        </w:tc>
      </w:tr>
      <w:tr w:rsidR="006E71EC" w:rsidRPr="006E71EC" w14:paraId="37485203" w14:textId="77777777" w:rsidTr="006E71EC">
        <w:trPr>
          <w:trHeight w:val="673"/>
        </w:trPr>
        <w:tc>
          <w:tcPr>
            <w:tcW w:w="5245" w:type="dxa"/>
            <w:vMerge w:val="restart"/>
            <w:tcBorders>
              <w:top w:val="nil"/>
              <w:left w:val="single" w:sz="8" w:space="0" w:color="auto"/>
              <w:bottom w:val="single" w:sz="4" w:space="0" w:color="auto"/>
              <w:right w:val="single" w:sz="4" w:space="0" w:color="auto"/>
            </w:tcBorders>
            <w:shd w:val="clear" w:color="000000" w:fill="FFFFFF"/>
            <w:vAlign w:val="center"/>
            <w:hideMark/>
          </w:tcPr>
          <w:p w14:paraId="4816E6BD" w14:textId="03A74FD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eficiência de custos de eventos próprios</w:t>
            </w:r>
            <w:r w:rsidRPr="006E71EC">
              <w:rPr>
                <w:rFonts w:ascii="Calibri" w:eastAsia="Times New Roman" w:hAnsi="Calibri" w:cs="Calibri"/>
                <w:sz w:val="24"/>
                <w:szCs w:val="24"/>
                <w:lang w:eastAsia="pt-BR"/>
              </w:rPr>
              <w:br/>
            </w:r>
            <w:r w:rsidRPr="006E71EC">
              <w:rPr>
                <w:rFonts w:ascii="Calibri" w:eastAsia="Times New Roman" w:hAnsi="Calibri" w:cs="Calibri"/>
                <w:b/>
                <w:bCs/>
                <w:sz w:val="24"/>
                <w:szCs w:val="24"/>
                <w:lang w:eastAsia="pt-BR"/>
              </w:rPr>
              <w:t>(CAU/BR)</w:t>
            </w:r>
          </w:p>
        </w:tc>
        <w:tc>
          <w:tcPr>
            <w:tcW w:w="5812" w:type="dxa"/>
            <w:tcBorders>
              <w:top w:val="nil"/>
              <w:left w:val="nil"/>
              <w:bottom w:val="single" w:sz="4" w:space="0" w:color="auto"/>
              <w:right w:val="nil"/>
            </w:tcBorders>
            <w:shd w:val="clear" w:color="000000" w:fill="FFFFFF"/>
            <w:vAlign w:val="bottom"/>
            <w:hideMark/>
          </w:tcPr>
          <w:p w14:paraId="319EB69B"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custos totais dos eventos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30D018E6"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A57F90F"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5BFA958E"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GERAD/GERPLAN</w:t>
            </w:r>
          </w:p>
        </w:tc>
      </w:tr>
      <w:tr w:rsidR="006E71EC" w:rsidRPr="006E71EC" w14:paraId="2AA3854C" w14:textId="77777777" w:rsidTr="006E71EC">
        <w:trPr>
          <w:trHeight w:val="553"/>
        </w:trPr>
        <w:tc>
          <w:tcPr>
            <w:tcW w:w="5245" w:type="dxa"/>
            <w:vMerge/>
            <w:tcBorders>
              <w:top w:val="nil"/>
              <w:left w:val="single" w:sz="8" w:space="0" w:color="auto"/>
              <w:bottom w:val="single" w:sz="4" w:space="0" w:color="auto"/>
              <w:right w:val="single" w:sz="4" w:space="0" w:color="auto"/>
            </w:tcBorders>
            <w:vAlign w:val="center"/>
            <w:hideMark/>
          </w:tcPr>
          <w:p w14:paraId="6C7F065E"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12" w:type="dxa"/>
            <w:tcBorders>
              <w:top w:val="nil"/>
              <w:left w:val="nil"/>
              <w:bottom w:val="single" w:sz="4" w:space="0" w:color="auto"/>
              <w:right w:val="nil"/>
            </w:tcBorders>
            <w:shd w:val="clear" w:color="000000" w:fill="FFFFFF"/>
            <w:hideMark/>
          </w:tcPr>
          <w:p w14:paraId="602436B6"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quantidade de participantes presentes   </w:t>
            </w:r>
          </w:p>
        </w:tc>
        <w:tc>
          <w:tcPr>
            <w:tcW w:w="765" w:type="dxa"/>
            <w:vMerge/>
            <w:tcBorders>
              <w:top w:val="nil"/>
              <w:left w:val="nil"/>
              <w:bottom w:val="single" w:sz="4" w:space="0" w:color="000000"/>
              <w:right w:val="single" w:sz="4" w:space="0" w:color="auto"/>
            </w:tcBorders>
            <w:vAlign w:val="center"/>
            <w:hideMark/>
          </w:tcPr>
          <w:p w14:paraId="6853D9FA"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73DE414E"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307C4659" w14:textId="77777777" w:rsidR="006E71EC" w:rsidRPr="006E71EC" w:rsidRDefault="006E71EC" w:rsidP="006E71EC">
            <w:pPr>
              <w:spacing w:after="0" w:line="240" w:lineRule="auto"/>
              <w:rPr>
                <w:rFonts w:ascii="Calibri" w:eastAsia="Times New Roman" w:hAnsi="Calibri" w:cs="Calibri"/>
                <w:sz w:val="24"/>
                <w:szCs w:val="24"/>
                <w:lang w:eastAsia="pt-BR"/>
              </w:rPr>
            </w:pPr>
          </w:p>
        </w:tc>
      </w:tr>
      <w:tr w:rsidR="006E71EC" w:rsidRPr="006E71EC" w14:paraId="64440743" w14:textId="77777777" w:rsidTr="006E71EC">
        <w:trPr>
          <w:trHeight w:val="833"/>
        </w:trPr>
        <w:tc>
          <w:tcPr>
            <w:tcW w:w="5245" w:type="dxa"/>
            <w:vMerge w:val="restart"/>
            <w:tcBorders>
              <w:top w:val="nil"/>
              <w:left w:val="single" w:sz="8" w:space="0" w:color="auto"/>
              <w:bottom w:val="single" w:sz="4" w:space="0" w:color="auto"/>
              <w:right w:val="single" w:sz="4" w:space="0" w:color="auto"/>
            </w:tcBorders>
            <w:shd w:val="clear" w:color="000000" w:fill="FFFFFF"/>
            <w:vAlign w:val="center"/>
            <w:hideMark/>
          </w:tcPr>
          <w:p w14:paraId="5E3D7A97" w14:textId="023CA4E8"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alcance das melhores práticas (%)</w:t>
            </w:r>
            <w:r w:rsidRPr="006E71EC">
              <w:rPr>
                <w:rFonts w:ascii="Calibri" w:eastAsia="Times New Roman" w:hAnsi="Calibri" w:cs="Calibri"/>
                <w:sz w:val="24"/>
                <w:szCs w:val="24"/>
                <w:lang w:eastAsia="pt-BR"/>
              </w:rPr>
              <w:br/>
            </w:r>
            <w:r w:rsidRPr="006E71EC">
              <w:rPr>
                <w:rFonts w:ascii="Calibri" w:eastAsia="Times New Roman" w:hAnsi="Calibri" w:cs="Calibri"/>
                <w:b/>
                <w:bCs/>
                <w:sz w:val="24"/>
                <w:szCs w:val="24"/>
                <w:lang w:eastAsia="pt-BR"/>
              </w:rPr>
              <w:t>(CAU/BR)</w:t>
            </w:r>
          </w:p>
        </w:tc>
        <w:tc>
          <w:tcPr>
            <w:tcW w:w="5812" w:type="dxa"/>
            <w:tcBorders>
              <w:top w:val="nil"/>
              <w:left w:val="nil"/>
              <w:bottom w:val="single" w:sz="4" w:space="0" w:color="auto"/>
              <w:right w:val="nil"/>
            </w:tcBorders>
            <w:shd w:val="clear" w:color="000000" w:fill="FFFFFF"/>
            <w:vAlign w:val="bottom"/>
            <w:hideMark/>
          </w:tcPr>
          <w:p w14:paraId="7794E5B8"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número de pessoas atingida pelo material produzido e distribuído                             </w:t>
            </w:r>
          </w:p>
        </w:tc>
        <w:tc>
          <w:tcPr>
            <w:tcW w:w="765" w:type="dxa"/>
            <w:vMerge w:val="restart"/>
            <w:tcBorders>
              <w:top w:val="nil"/>
              <w:left w:val="nil"/>
              <w:bottom w:val="single" w:sz="4" w:space="0" w:color="auto"/>
              <w:right w:val="single" w:sz="4" w:space="0" w:color="auto"/>
            </w:tcBorders>
            <w:shd w:val="clear" w:color="000000" w:fill="FFFFFF"/>
            <w:vAlign w:val="center"/>
            <w:hideMark/>
          </w:tcPr>
          <w:p w14:paraId="263DAF25"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774D61D"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4846EECD"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GERPLAN</w:t>
            </w:r>
          </w:p>
        </w:tc>
      </w:tr>
      <w:tr w:rsidR="006E71EC" w:rsidRPr="006E71EC" w14:paraId="13A655E6" w14:textId="77777777" w:rsidTr="006E71EC">
        <w:trPr>
          <w:trHeight w:val="701"/>
        </w:trPr>
        <w:tc>
          <w:tcPr>
            <w:tcW w:w="5245" w:type="dxa"/>
            <w:vMerge/>
            <w:tcBorders>
              <w:top w:val="nil"/>
              <w:left w:val="single" w:sz="8" w:space="0" w:color="auto"/>
              <w:bottom w:val="single" w:sz="4" w:space="0" w:color="auto"/>
              <w:right w:val="single" w:sz="4" w:space="0" w:color="auto"/>
            </w:tcBorders>
            <w:vAlign w:val="center"/>
            <w:hideMark/>
          </w:tcPr>
          <w:p w14:paraId="20D7788C"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12" w:type="dxa"/>
            <w:tcBorders>
              <w:top w:val="nil"/>
              <w:left w:val="nil"/>
              <w:bottom w:val="single" w:sz="4" w:space="0" w:color="auto"/>
              <w:right w:val="nil"/>
            </w:tcBorders>
            <w:shd w:val="clear" w:color="000000" w:fill="FFFFFF"/>
            <w:hideMark/>
          </w:tcPr>
          <w:p w14:paraId="05385939"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quantidade de material informativo produzido                       </w:t>
            </w:r>
          </w:p>
        </w:tc>
        <w:tc>
          <w:tcPr>
            <w:tcW w:w="765" w:type="dxa"/>
            <w:vMerge/>
            <w:tcBorders>
              <w:top w:val="nil"/>
              <w:left w:val="nil"/>
              <w:bottom w:val="single" w:sz="4" w:space="0" w:color="auto"/>
              <w:right w:val="single" w:sz="4" w:space="0" w:color="auto"/>
            </w:tcBorders>
            <w:vAlign w:val="center"/>
            <w:hideMark/>
          </w:tcPr>
          <w:p w14:paraId="5DC38253"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306B80D8"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273ABE61" w14:textId="77777777" w:rsidR="006E71EC" w:rsidRPr="006E71EC" w:rsidRDefault="006E71EC" w:rsidP="006E71EC">
            <w:pPr>
              <w:spacing w:after="0" w:line="240" w:lineRule="auto"/>
              <w:rPr>
                <w:rFonts w:ascii="Calibri" w:eastAsia="Times New Roman" w:hAnsi="Calibri" w:cs="Calibri"/>
                <w:sz w:val="24"/>
                <w:szCs w:val="24"/>
                <w:lang w:eastAsia="pt-BR"/>
              </w:rPr>
            </w:pPr>
          </w:p>
        </w:tc>
      </w:tr>
    </w:tbl>
    <w:p w14:paraId="1295B40B" w14:textId="77777777" w:rsidR="006E71EC" w:rsidRPr="00A146DF" w:rsidRDefault="006E71EC" w:rsidP="00F70B83"/>
    <w:p w14:paraId="7DC853A7" w14:textId="049FFADD" w:rsidR="003F67D4" w:rsidRPr="004719E1" w:rsidRDefault="00843EF2" w:rsidP="006E71EC">
      <w:pPr>
        <w:spacing w:after="0"/>
        <w:ind w:left="-567"/>
        <w:rPr>
          <w:noProof/>
          <w:lang w:eastAsia="pt-BR"/>
        </w:rPr>
      </w:pPr>
      <w:r w:rsidRPr="004719E1">
        <w:rPr>
          <w:b/>
        </w:rPr>
        <w:t xml:space="preserve">ANEXO </w:t>
      </w:r>
      <w:r w:rsidR="00A146DF" w:rsidRPr="004719E1">
        <w:rPr>
          <w:b/>
        </w:rPr>
        <w:t>II</w:t>
      </w:r>
      <w:r w:rsidR="00600A7B" w:rsidRPr="004719E1">
        <w:rPr>
          <w:b/>
        </w:rPr>
        <w:t>.b</w:t>
      </w:r>
      <w:r w:rsidR="00A146DF" w:rsidRPr="004719E1">
        <w:rPr>
          <w:b/>
        </w:rPr>
        <w:t xml:space="preserve"> –</w:t>
      </w:r>
      <w:r w:rsidR="00AF1B4D" w:rsidRPr="004719E1">
        <w:rPr>
          <w:rFonts w:asciiTheme="majorHAnsi" w:eastAsia="Arial Unicode MS" w:hAnsiTheme="majorHAnsi" w:cstheme="majorBidi"/>
          <w:b/>
        </w:rPr>
        <w:t xml:space="preserve"> Indicadores Institucionais e de Resultado- CAU</w:t>
      </w:r>
      <w:r w:rsidR="002636BB" w:rsidRPr="004719E1">
        <w:rPr>
          <w:rFonts w:asciiTheme="majorHAnsi" w:eastAsia="Arial Unicode MS" w:hAnsiTheme="majorHAnsi" w:cstheme="majorBidi"/>
          <w:b/>
        </w:rPr>
        <w:t>/</w:t>
      </w:r>
      <w:r w:rsidR="00AF1B4D" w:rsidRPr="004719E1">
        <w:rPr>
          <w:rFonts w:asciiTheme="majorHAnsi" w:eastAsia="Arial Unicode MS" w:hAnsiTheme="majorHAnsi" w:cstheme="majorBidi"/>
          <w:b/>
        </w:rPr>
        <w:t>BR</w:t>
      </w:r>
      <w:r w:rsidR="00AF1B4D" w:rsidRPr="004719E1">
        <w:rPr>
          <w:noProof/>
          <w:lang w:eastAsia="pt-BR"/>
        </w:rPr>
        <w:t xml:space="preserve"> </w:t>
      </w:r>
    </w:p>
    <w:tbl>
      <w:tblPr>
        <w:tblW w:w="15593" w:type="dxa"/>
        <w:tblInd w:w="-577" w:type="dxa"/>
        <w:tblCellMar>
          <w:left w:w="70" w:type="dxa"/>
          <w:right w:w="70" w:type="dxa"/>
        </w:tblCellMar>
        <w:tblLook w:val="04A0" w:firstRow="1" w:lastRow="0" w:firstColumn="1" w:lastColumn="0" w:noHBand="0" w:noVBand="1"/>
      </w:tblPr>
      <w:tblGrid>
        <w:gridCol w:w="5218"/>
        <w:gridCol w:w="5839"/>
        <w:gridCol w:w="854"/>
        <w:gridCol w:w="1697"/>
        <w:gridCol w:w="1985"/>
      </w:tblGrid>
      <w:tr w:rsidR="006E71EC" w:rsidRPr="006E71EC" w14:paraId="29F5E429" w14:textId="77777777" w:rsidTr="00335B2F">
        <w:trPr>
          <w:trHeight w:val="1590"/>
        </w:trPr>
        <w:tc>
          <w:tcPr>
            <w:tcW w:w="5218" w:type="dxa"/>
            <w:tcBorders>
              <w:top w:val="single" w:sz="4" w:space="0" w:color="000000"/>
              <w:left w:val="single" w:sz="8" w:space="0" w:color="auto"/>
              <w:bottom w:val="single" w:sz="4" w:space="0" w:color="000000"/>
              <w:right w:val="single" w:sz="4" w:space="0" w:color="000000"/>
            </w:tcBorders>
            <w:shd w:val="clear" w:color="auto" w:fill="ED7D31" w:themeFill="accent2"/>
            <w:vAlign w:val="center"/>
            <w:hideMark/>
          </w:tcPr>
          <w:p w14:paraId="67BB0275" w14:textId="77777777" w:rsidR="006E71EC" w:rsidRPr="006E71EC" w:rsidRDefault="006E71EC" w:rsidP="006E71EC">
            <w:pPr>
              <w:spacing w:after="0" w:line="240" w:lineRule="auto"/>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Garantir a participação dos arquitetos e urbanistas no planejamento territorial e na gestão urbana</w:t>
            </w:r>
          </w:p>
        </w:tc>
        <w:tc>
          <w:tcPr>
            <w:tcW w:w="6693" w:type="dxa"/>
            <w:gridSpan w:val="2"/>
            <w:tcBorders>
              <w:top w:val="single" w:sz="4" w:space="0" w:color="000000"/>
              <w:left w:val="nil"/>
              <w:bottom w:val="single" w:sz="4" w:space="0" w:color="000000"/>
              <w:right w:val="single" w:sz="4" w:space="0" w:color="000000"/>
            </w:tcBorders>
            <w:shd w:val="clear" w:color="auto" w:fill="ED7D31" w:themeFill="accent2"/>
            <w:vAlign w:val="center"/>
            <w:hideMark/>
          </w:tcPr>
          <w:p w14:paraId="0C5A263D"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 xml:space="preserve">Fórmula </w:t>
            </w:r>
          </w:p>
        </w:tc>
        <w:tc>
          <w:tcPr>
            <w:tcW w:w="1697" w:type="dxa"/>
            <w:tcBorders>
              <w:top w:val="single" w:sz="4" w:space="0" w:color="000000"/>
              <w:left w:val="nil"/>
              <w:bottom w:val="single" w:sz="4" w:space="0" w:color="000000"/>
              <w:right w:val="single" w:sz="4" w:space="0" w:color="000000"/>
            </w:tcBorders>
            <w:shd w:val="clear" w:color="auto" w:fill="ED7D31" w:themeFill="accent2"/>
            <w:vAlign w:val="center"/>
            <w:hideMark/>
          </w:tcPr>
          <w:p w14:paraId="79799C91"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 xml:space="preserve">Periodicidade </w:t>
            </w:r>
          </w:p>
        </w:tc>
        <w:tc>
          <w:tcPr>
            <w:tcW w:w="1985" w:type="dxa"/>
            <w:tcBorders>
              <w:top w:val="single" w:sz="4" w:space="0" w:color="000000"/>
              <w:left w:val="nil"/>
              <w:bottom w:val="single" w:sz="4" w:space="0" w:color="000000"/>
              <w:right w:val="single" w:sz="8" w:space="0" w:color="auto"/>
            </w:tcBorders>
            <w:shd w:val="clear" w:color="auto" w:fill="ED7D31" w:themeFill="accent2"/>
            <w:vAlign w:val="center"/>
            <w:hideMark/>
          </w:tcPr>
          <w:p w14:paraId="49785F89"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ÁREA</w:t>
            </w:r>
          </w:p>
        </w:tc>
      </w:tr>
      <w:tr w:rsidR="006E71EC" w:rsidRPr="006E71EC" w14:paraId="15859811" w14:textId="77777777" w:rsidTr="00B76BD9">
        <w:trPr>
          <w:trHeight w:val="1070"/>
        </w:trPr>
        <w:tc>
          <w:tcPr>
            <w:tcW w:w="5218" w:type="dxa"/>
            <w:tcBorders>
              <w:top w:val="nil"/>
              <w:left w:val="single" w:sz="8" w:space="0" w:color="auto"/>
              <w:bottom w:val="single" w:sz="4" w:space="0" w:color="auto"/>
              <w:right w:val="single" w:sz="4" w:space="0" w:color="auto"/>
            </w:tcBorders>
            <w:shd w:val="clear" w:color="000000" w:fill="FFFFFF"/>
            <w:vAlign w:val="center"/>
            <w:hideMark/>
          </w:tcPr>
          <w:p w14:paraId="593EC71E" w14:textId="77777777" w:rsidR="006E71EC" w:rsidRPr="006E71EC" w:rsidRDefault="006E71EC" w:rsidP="006E71EC">
            <w:pPr>
              <w:spacing w:after="0" w:line="240" w:lineRule="auto"/>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Ações realizadas em conjunto com municípios, destinadas ao planejamento urbano</w:t>
            </w:r>
            <w:r w:rsidRPr="006E71EC">
              <w:rPr>
                <w:rFonts w:ascii="Calibri" w:eastAsia="Times New Roman" w:hAnsi="Calibri" w:cs="Calibri"/>
                <w:color w:val="000000"/>
                <w:sz w:val="24"/>
                <w:szCs w:val="24"/>
                <w:lang w:eastAsia="pt-BR"/>
              </w:rPr>
              <w:br/>
            </w:r>
            <w:r w:rsidRPr="006E71EC">
              <w:rPr>
                <w:rFonts w:ascii="Calibri" w:eastAsia="Times New Roman" w:hAnsi="Calibri" w:cs="Calibri"/>
                <w:b/>
                <w:bCs/>
                <w:color w:val="000000"/>
                <w:sz w:val="24"/>
                <w:szCs w:val="24"/>
                <w:lang w:eastAsia="pt-BR"/>
              </w:rPr>
              <w:t>(CAU/BR)</w:t>
            </w:r>
          </w:p>
        </w:tc>
        <w:tc>
          <w:tcPr>
            <w:tcW w:w="6693" w:type="dxa"/>
            <w:gridSpan w:val="2"/>
            <w:tcBorders>
              <w:top w:val="single" w:sz="4" w:space="0" w:color="000000"/>
              <w:left w:val="nil"/>
              <w:bottom w:val="nil"/>
              <w:right w:val="single" w:sz="4" w:space="0" w:color="000000"/>
            </w:tcBorders>
            <w:shd w:val="clear" w:color="000000" w:fill="FFFFFF"/>
            <w:vAlign w:val="center"/>
            <w:hideMark/>
          </w:tcPr>
          <w:p w14:paraId="5869BC03" w14:textId="77777777" w:rsidR="006E71EC" w:rsidRPr="006E71EC" w:rsidRDefault="006E71EC" w:rsidP="006E71EC">
            <w:pPr>
              <w:spacing w:after="0" w:line="240" w:lineRule="auto"/>
              <w:jc w:val="center"/>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número de ações com participação do CAU/BR</w:t>
            </w:r>
          </w:p>
        </w:tc>
        <w:tc>
          <w:tcPr>
            <w:tcW w:w="1697" w:type="dxa"/>
            <w:tcBorders>
              <w:top w:val="nil"/>
              <w:left w:val="nil"/>
              <w:bottom w:val="nil"/>
              <w:right w:val="single" w:sz="4" w:space="0" w:color="auto"/>
            </w:tcBorders>
            <w:shd w:val="clear" w:color="000000" w:fill="FFFFFF"/>
            <w:noWrap/>
            <w:vAlign w:val="center"/>
            <w:hideMark/>
          </w:tcPr>
          <w:p w14:paraId="6B5EB16E"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tcBorders>
              <w:top w:val="nil"/>
              <w:left w:val="nil"/>
              <w:bottom w:val="nil"/>
              <w:right w:val="single" w:sz="8" w:space="0" w:color="auto"/>
            </w:tcBorders>
            <w:shd w:val="clear" w:color="000000" w:fill="FFFFFF"/>
            <w:vAlign w:val="center"/>
            <w:hideMark/>
          </w:tcPr>
          <w:p w14:paraId="2AC9A9D8"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CPUA</w:t>
            </w:r>
          </w:p>
        </w:tc>
      </w:tr>
      <w:tr w:rsidR="006E71EC" w:rsidRPr="006E71EC" w14:paraId="18504FB1" w14:textId="77777777" w:rsidTr="00335B2F">
        <w:trPr>
          <w:trHeight w:val="1590"/>
        </w:trPr>
        <w:tc>
          <w:tcPr>
            <w:tcW w:w="5218" w:type="dxa"/>
            <w:tcBorders>
              <w:top w:val="nil"/>
              <w:left w:val="single" w:sz="8" w:space="0" w:color="auto"/>
              <w:bottom w:val="single" w:sz="4" w:space="0" w:color="000000"/>
              <w:right w:val="single" w:sz="4" w:space="0" w:color="000000"/>
            </w:tcBorders>
            <w:shd w:val="clear" w:color="auto" w:fill="ED7D31" w:themeFill="accent2"/>
            <w:vAlign w:val="center"/>
            <w:hideMark/>
          </w:tcPr>
          <w:p w14:paraId="41277A6D" w14:textId="77777777" w:rsidR="006E71EC" w:rsidRPr="006E71EC" w:rsidRDefault="006E71EC" w:rsidP="006E71EC">
            <w:pPr>
              <w:spacing w:after="0" w:line="240" w:lineRule="auto"/>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Influenciar as diretrizes do ensino de Arquitetura e Urbanismo e sua formação continuada</w:t>
            </w:r>
          </w:p>
        </w:tc>
        <w:tc>
          <w:tcPr>
            <w:tcW w:w="6693" w:type="dxa"/>
            <w:gridSpan w:val="2"/>
            <w:tcBorders>
              <w:top w:val="single" w:sz="4" w:space="0" w:color="000000"/>
              <w:left w:val="nil"/>
              <w:bottom w:val="single" w:sz="4" w:space="0" w:color="000000"/>
              <w:right w:val="single" w:sz="4" w:space="0" w:color="000000"/>
            </w:tcBorders>
            <w:shd w:val="clear" w:color="auto" w:fill="ED7D31" w:themeFill="accent2"/>
            <w:vAlign w:val="center"/>
            <w:hideMark/>
          </w:tcPr>
          <w:p w14:paraId="22906E8F"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 xml:space="preserve">Fórmula </w:t>
            </w:r>
          </w:p>
        </w:tc>
        <w:tc>
          <w:tcPr>
            <w:tcW w:w="1697" w:type="dxa"/>
            <w:tcBorders>
              <w:top w:val="single" w:sz="4" w:space="0" w:color="000000"/>
              <w:left w:val="nil"/>
              <w:bottom w:val="single" w:sz="4" w:space="0" w:color="000000"/>
              <w:right w:val="single" w:sz="4" w:space="0" w:color="000000"/>
            </w:tcBorders>
            <w:shd w:val="clear" w:color="auto" w:fill="ED7D31" w:themeFill="accent2"/>
            <w:vAlign w:val="center"/>
            <w:hideMark/>
          </w:tcPr>
          <w:p w14:paraId="19EE17F4"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 xml:space="preserve">Periodicidade </w:t>
            </w:r>
          </w:p>
        </w:tc>
        <w:tc>
          <w:tcPr>
            <w:tcW w:w="1985" w:type="dxa"/>
            <w:tcBorders>
              <w:top w:val="single" w:sz="4" w:space="0" w:color="000000"/>
              <w:left w:val="nil"/>
              <w:bottom w:val="single" w:sz="4" w:space="0" w:color="000000"/>
              <w:right w:val="single" w:sz="8" w:space="0" w:color="auto"/>
            </w:tcBorders>
            <w:shd w:val="clear" w:color="auto" w:fill="ED7D31" w:themeFill="accent2"/>
            <w:vAlign w:val="center"/>
            <w:hideMark/>
          </w:tcPr>
          <w:p w14:paraId="5E19A15D"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ÁREA</w:t>
            </w:r>
          </w:p>
        </w:tc>
      </w:tr>
      <w:tr w:rsidR="006E71EC" w:rsidRPr="006E71EC" w14:paraId="22FAC090" w14:textId="77777777" w:rsidTr="00B76BD9">
        <w:trPr>
          <w:trHeight w:val="515"/>
        </w:trPr>
        <w:tc>
          <w:tcPr>
            <w:tcW w:w="5218"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5C0E0A26" w14:textId="7777777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cursos</w:t>
            </w:r>
            <w:r w:rsidRPr="006E71EC">
              <w:rPr>
                <w:rFonts w:ascii="Calibri" w:eastAsia="Times New Roman" w:hAnsi="Calibri" w:cs="Calibri"/>
                <w:b/>
                <w:bCs/>
                <w:sz w:val="24"/>
                <w:szCs w:val="24"/>
                <w:lang w:eastAsia="pt-BR"/>
              </w:rPr>
              <w:t xml:space="preserve"> INSERIDOS</w:t>
            </w:r>
            <w:r w:rsidRPr="006E71EC">
              <w:rPr>
                <w:rFonts w:ascii="Calibri" w:eastAsia="Times New Roman" w:hAnsi="Calibri" w:cs="Calibri"/>
                <w:sz w:val="24"/>
                <w:szCs w:val="24"/>
                <w:lang w:eastAsia="pt-BR"/>
              </w:rPr>
              <w:t xml:space="preserve"> no IGEO (atendimento ao Art. 4º da Lei 12378/2010)</w:t>
            </w:r>
          </w:p>
        </w:tc>
        <w:tc>
          <w:tcPr>
            <w:tcW w:w="5839" w:type="dxa"/>
            <w:tcBorders>
              <w:top w:val="nil"/>
              <w:left w:val="nil"/>
              <w:bottom w:val="single" w:sz="4" w:space="0" w:color="000000"/>
              <w:right w:val="nil"/>
            </w:tcBorders>
            <w:shd w:val="clear" w:color="000000" w:fill="FFFFFF"/>
            <w:vAlign w:val="bottom"/>
            <w:hideMark/>
          </w:tcPr>
          <w:p w14:paraId="21A82D45"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cursos inseridos IGEO</w:t>
            </w:r>
          </w:p>
        </w:tc>
        <w:tc>
          <w:tcPr>
            <w:tcW w:w="854" w:type="dxa"/>
            <w:vMerge w:val="restart"/>
            <w:tcBorders>
              <w:top w:val="nil"/>
              <w:left w:val="nil"/>
              <w:bottom w:val="single" w:sz="4" w:space="0" w:color="000000"/>
              <w:right w:val="single" w:sz="4" w:space="0" w:color="000000"/>
            </w:tcBorders>
            <w:shd w:val="clear" w:color="000000" w:fill="FFFFFF"/>
            <w:vAlign w:val="center"/>
            <w:hideMark/>
          </w:tcPr>
          <w:p w14:paraId="4BDD8542"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69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C4E22FA"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Semestral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2CA076CF" w14:textId="77777777" w:rsidR="006E71EC" w:rsidRPr="006E71EC" w:rsidRDefault="006E71EC" w:rsidP="006E71EC">
            <w:pPr>
              <w:spacing w:after="0" w:line="240" w:lineRule="auto"/>
              <w:jc w:val="center"/>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CEF</w:t>
            </w:r>
          </w:p>
        </w:tc>
      </w:tr>
      <w:tr w:rsidR="006E71EC" w:rsidRPr="006E71EC" w14:paraId="16E8E57C" w14:textId="77777777" w:rsidTr="00B76BD9">
        <w:trPr>
          <w:trHeight w:val="471"/>
        </w:trPr>
        <w:tc>
          <w:tcPr>
            <w:tcW w:w="5218" w:type="dxa"/>
            <w:vMerge/>
            <w:tcBorders>
              <w:top w:val="nil"/>
              <w:left w:val="single" w:sz="8" w:space="0" w:color="auto"/>
              <w:bottom w:val="single" w:sz="4" w:space="0" w:color="000000"/>
              <w:right w:val="single" w:sz="4" w:space="0" w:color="000000"/>
            </w:tcBorders>
            <w:vAlign w:val="center"/>
            <w:hideMark/>
          </w:tcPr>
          <w:p w14:paraId="08BA143B"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39" w:type="dxa"/>
            <w:tcBorders>
              <w:top w:val="nil"/>
              <w:left w:val="nil"/>
              <w:bottom w:val="single" w:sz="4" w:space="0" w:color="000000"/>
              <w:right w:val="nil"/>
            </w:tcBorders>
            <w:shd w:val="clear" w:color="000000" w:fill="FFFFFF"/>
            <w:hideMark/>
          </w:tcPr>
          <w:p w14:paraId="65A6CC96"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cursos constante no eMEC (eMEC)</w:t>
            </w:r>
          </w:p>
        </w:tc>
        <w:tc>
          <w:tcPr>
            <w:tcW w:w="854" w:type="dxa"/>
            <w:vMerge/>
            <w:tcBorders>
              <w:top w:val="nil"/>
              <w:left w:val="nil"/>
              <w:bottom w:val="single" w:sz="4" w:space="0" w:color="000000"/>
              <w:right w:val="single" w:sz="4" w:space="0" w:color="000000"/>
            </w:tcBorders>
            <w:vAlign w:val="center"/>
            <w:hideMark/>
          </w:tcPr>
          <w:p w14:paraId="4B037653"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697" w:type="dxa"/>
            <w:vMerge/>
            <w:tcBorders>
              <w:top w:val="nil"/>
              <w:left w:val="single" w:sz="4" w:space="0" w:color="000000"/>
              <w:bottom w:val="single" w:sz="4" w:space="0" w:color="000000"/>
              <w:right w:val="single" w:sz="4" w:space="0" w:color="000000"/>
            </w:tcBorders>
            <w:vAlign w:val="center"/>
            <w:hideMark/>
          </w:tcPr>
          <w:p w14:paraId="5EDF3434"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33E297DE" w14:textId="77777777" w:rsidR="006E71EC" w:rsidRPr="006E71EC" w:rsidRDefault="006E71EC" w:rsidP="006E71EC">
            <w:pPr>
              <w:spacing w:after="0" w:line="240" w:lineRule="auto"/>
              <w:rPr>
                <w:rFonts w:ascii="Calibri" w:eastAsia="Times New Roman" w:hAnsi="Calibri" w:cs="Calibri"/>
                <w:color w:val="000000"/>
                <w:sz w:val="24"/>
                <w:szCs w:val="24"/>
                <w:lang w:eastAsia="pt-BR"/>
              </w:rPr>
            </w:pPr>
          </w:p>
        </w:tc>
      </w:tr>
      <w:tr w:rsidR="006E71EC" w:rsidRPr="006E71EC" w14:paraId="152E2C9F" w14:textId="77777777" w:rsidTr="00B76BD9">
        <w:trPr>
          <w:trHeight w:val="502"/>
        </w:trPr>
        <w:tc>
          <w:tcPr>
            <w:tcW w:w="5218"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7FB8849C" w14:textId="7777777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Índice de cursos com </w:t>
            </w:r>
            <w:r w:rsidRPr="006E71EC">
              <w:rPr>
                <w:rFonts w:ascii="Calibri" w:eastAsia="Times New Roman" w:hAnsi="Calibri" w:cs="Calibri"/>
                <w:b/>
                <w:bCs/>
                <w:sz w:val="24"/>
                <w:szCs w:val="24"/>
                <w:lang w:eastAsia="pt-BR"/>
              </w:rPr>
              <w:t>CADASTRO COMPLETO</w:t>
            </w:r>
            <w:r w:rsidRPr="006E71EC">
              <w:rPr>
                <w:rFonts w:ascii="Calibri" w:eastAsia="Times New Roman" w:hAnsi="Calibri" w:cs="Calibri"/>
                <w:sz w:val="24"/>
                <w:szCs w:val="24"/>
                <w:lang w:eastAsia="pt-BR"/>
              </w:rPr>
              <w:t xml:space="preserve"> no SICCAU (atendimento ao Art. 4º da Lei 12378/2010)</w:t>
            </w:r>
          </w:p>
        </w:tc>
        <w:tc>
          <w:tcPr>
            <w:tcW w:w="5839" w:type="dxa"/>
            <w:tcBorders>
              <w:top w:val="nil"/>
              <w:left w:val="nil"/>
              <w:bottom w:val="single" w:sz="4" w:space="0" w:color="000000"/>
              <w:right w:val="nil"/>
            </w:tcBorders>
            <w:shd w:val="clear" w:color="000000" w:fill="FFFFFF"/>
            <w:vAlign w:val="bottom"/>
            <w:hideMark/>
          </w:tcPr>
          <w:p w14:paraId="64C44836"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cursos cadastrados SICCAU</w:t>
            </w:r>
          </w:p>
        </w:tc>
        <w:tc>
          <w:tcPr>
            <w:tcW w:w="854" w:type="dxa"/>
            <w:vMerge w:val="restart"/>
            <w:tcBorders>
              <w:top w:val="nil"/>
              <w:left w:val="nil"/>
              <w:bottom w:val="single" w:sz="4" w:space="0" w:color="000000"/>
              <w:right w:val="single" w:sz="4" w:space="0" w:color="000000"/>
            </w:tcBorders>
            <w:shd w:val="clear" w:color="000000" w:fill="FFFFFF"/>
            <w:vAlign w:val="center"/>
            <w:hideMark/>
          </w:tcPr>
          <w:p w14:paraId="59131D0D"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69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D4E68F8"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Semestral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541DC57D" w14:textId="77777777" w:rsidR="006E71EC" w:rsidRPr="006E71EC" w:rsidRDefault="006E71EC" w:rsidP="006E71EC">
            <w:pPr>
              <w:spacing w:after="0" w:line="240" w:lineRule="auto"/>
              <w:jc w:val="center"/>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CEF</w:t>
            </w:r>
          </w:p>
        </w:tc>
      </w:tr>
      <w:tr w:rsidR="006E71EC" w:rsidRPr="006E71EC" w14:paraId="67D5DB62" w14:textId="77777777" w:rsidTr="00B76BD9">
        <w:trPr>
          <w:trHeight w:val="423"/>
        </w:trPr>
        <w:tc>
          <w:tcPr>
            <w:tcW w:w="5218" w:type="dxa"/>
            <w:vMerge/>
            <w:tcBorders>
              <w:top w:val="nil"/>
              <w:left w:val="single" w:sz="8" w:space="0" w:color="auto"/>
              <w:bottom w:val="single" w:sz="4" w:space="0" w:color="000000"/>
              <w:right w:val="single" w:sz="4" w:space="0" w:color="000000"/>
            </w:tcBorders>
            <w:vAlign w:val="center"/>
            <w:hideMark/>
          </w:tcPr>
          <w:p w14:paraId="27728BEE"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39" w:type="dxa"/>
            <w:tcBorders>
              <w:top w:val="nil"/>
              <w:left w:val="nil"/>
              <w:bottom w:val="single" w:sz="4" w:space="0" w:color="000000"/>
              <w:right w:val="nil"/>
            </w:tcBorders>
            <w:shd w:val="clear" w:color="000000" w:fill="FFFFFF"/>
            <w:hideMark/>
          </w:tcPr>
          <w:p w14:paraId="706EFDD4"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cursos constante no eMEC (eMEC)</w:t>
            </w:r>
          </w:p>
        </w:tc>
        <w:tc>
          <w:tcPr>
            <w:tcW w:w="854" w:type="dxa"/>
            <w:vMerge/>
            <w:tcBorders>
              <w:top w:val="nil"/>
              <w:left w:val="nil"/>
              <w:bottom w:val="single" w:sz="4" w:space="0" w:color="000000"/>
              <w:right w:val="single" w:sz="4" w:space="0" w:color="000000"/>
            </w:tcBorders>
            <w:vAlign w:val="center"/>
            <w:hideMark/>
          </w:tcPr>
          <w:p w14:paraId="6D0C9C15"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697" w:type="dxa"/>
            <w:vMerge/>
            <w:tcBorders>
              <w:top w:val="nil"/>
              <w:left w:val="single" w:sz="4" w:space="0" w:color="000000"/>
              <w:bottom w:val="single" w:sz="4" w:space="0" w:color="000000"/>
              <w:right w:val="single" w:sz="4" w:space="0" w:color="000000"/>
            </w:tcBorders>
            <w:vAlign w:val="center"/>
            <w:hideMark/>
          </w:tcPr>
          <w:p w14:paraId="17CCCB64"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26A37540" w14:textId="77777777" w:rsidR="006E71EC" w:rsidRPr="006E71EC" w:rsidRDefault="006E71EC" w:rsidP="006E71EC">
            <w:pPr>
              <w:spacing w:after="0" w:line="240" w:lineRule="auto"/>
              <w:rPr>
                <w:rFonts w:ascii="Calibri" w:eastAsia="Times New Roman" w:hAnsi="Calibri" w:cs="Calibri"/>
                <w:color w:val="000000"/>
                <w:sz w:val="24"/>
                <w:szCs w:val="24"/>
                <w:lang w:eastAsia="pt-BR"/>
              </w:rPr>
            </w:pPr>
          </w:p>
        </w:tc>
      </w:tr>
      <w:tr w:rsidR="006E71EC" w:rsidRPr="006E71EC" w14:paraId="10CDEDB2" w14:textId="77777777" w:rsidTr="00B76BD9">
        <w:trPr>
          <w:trHeight w:val="698"/>
        </w:trPr>
        <w:tc>
          <w:tcPr>
            <w:tcW w:w="5218"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124E3537" w14:textId="7777777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Registros Realizados a partir de Importação de Lista de Egressos</w:t>
            </w:r>
          </w:p>
        </w:tc>
        <w:tc>
          <w:tcPr>
            <w:tcW w:w="5839" w:type="dxa"/>
            <w:tcBorders>
              <w:top w:val="nil"/>
              <w:left w:val="nil"/>
              <w:bottom w:val="single" w:sz="4" w:space="0" w:color="000000"/>
              <w:right w:val="nil"/>
            </w:tcBorders>
            <w:shd w:val="clear" w:color="000000" w:fill="FFFFFF"/>
            <w:vAlign w:val="bottom"/>
            <w:hideMark/>
          </w:tcPr>
          <w:p w14:paraId="5D5C470F"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registrados a partir de importação de lista pelo coordenador</w:t>
            </w:r>
          </w:p>
        </w:tc>
        <w:tc>
          <w:tcPr>
            <w:tcW w:w="854" w:type="dxa"/>
            <w:vMerge w:val="restart"/>
            <w:tcBorders>
              <w:top w:val="nil"/>
              <w:left w:val="nil"/>
              <w:bottom w:val="single" w:sz="4" w:space="0" w:color="000000"/>
              <w:right w:val="single" w:sz="4" w:space="0" w:color="000000"/>
            </w:tcBorders>
            <w:shd w:val="clear" w:color="000000" w:fill="FFFFFF"/>
            <w:vAlign w:val="center"/>
            <w:hideMark/>
          </w:tcPr>
          <w:p w14:paraId="381F009D"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69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8674BAC"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4DCEC7A5" w14:textId="77777777" w:rsidR="006E71EC" w:rsidRPr="006E71EC" w:rsidRDefault="006E71EC" w:rsidP="006E71EC">
            <w:pPr>
              <w:spacing w:after="0" w:line="240" w:lineRule="auto"/>
              <w:jc w:val="center"/>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CEF</w:t>
            </w:r>
          </w:p>
        </w:tc>
      </w:tr>
      <w:tr w:rsidR="006E71EC" w:rsidRPr="006E71EC" w14:paraId="5FF9A883" w14:textId="77777777" w:rsidTr="00B76BD9">
        <w:trPr>
          <w:trHeight w:val="554"/>
        </w:trPr>
        <w:tc>
          <w:tcPr>
            <w:tcW w:w="5218" w:type="dxa"/>
            <w:vMerge/>
            <w:tcBorders>
              <w:top w:val="nil"/>
              <w:left w:val="single" w:sz="8" w:space="0" w:color="auto"/>
              <w:bottom w:val="single" w:sz="4" w:space="0" w:color="000000"/>
              <w:right w:val="single" w:sz="4" w:space="0" w:color="000000"/>
            </w:tcBorders>
            <w:vAlign w:val="center"/>
            <w:hideMark/>
          </w:tcPr>
          <w:p w14:paraId="47247698"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39" w:type="dxa"/>
            <w:tcBorders>
              <w:top w:val="nil"/>
              <w:left w:val="nil"/>
              <w:bottom w:val="single" w:sz="4" w:space="0" w:color="000000"/>
              <w:right w:val="nil"/>
            </w:tcBorders>
            <w:shd w:val="clear" w:color="000000" w:fill="FFFFFF"/>
            <w:hideMark/>
          </w:tcPr>
          <w:p w14:paraId="5CE67025"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total de egressos registrados</w:t>
            </w:r>
          </w:p>
        </w:tc>
        <w:tc>
          <w:tcPr>
            <w:tcW w:w="854" w:type="dxa"/>
            <w:vMerge/>
            <w:tcBorders>
              <w:top w:val="nil"/>
              <w:left w:val="nil"/>
              <w:bottom w:val="single" w:sz="4" w:space="0" w:color="000000"/>
              <w:right w:val="single" w:sz="4" w:space="0" w:color="000000"/>
            </w:tcBorders>
            <w:vAlign w:val="center"/>
            <w:hideMark/>
          </w:tcPr>
          <w:p w14:paraId="0F692DDC"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697" w:type="dxa"/>
            <w:vMerge/>
            <w:tcBorders>
              <w:top w:val="nil"/>
              <w:left w:val="single" w:sz="4" w:space="0" w:color="000000"/>
              <w:bottom w:val="single" w:sz="4" w:space="0" w:color="000000"/>
              <w:right w:val="single" w:sz="4" w:space="0" w:color="000000"/>
            </w:tcBorders>
            <w:vAlign w:val="center"/>
            <w:hideMark/>
          </w:tcPr>
          <w:p w14:paraId="51111269"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16FC168C" w14:textId="77777777" w:rsidR="006E71EC" w:rsidRPr="006E71EC" w:rsidRDefault="006E71EC" w:rsidP="006E71EC">
            <w:pPr>
              <w:spacing w:after="0" w:line="240" w:lineRule="auto"/>
              <w:rPr>
                <w:rFonts w:ascii="Calibri" w:eastAsia="Times New Roman" w:hAnsi="Calibri" w:cs="Calibri"/>
                <w:color w:val="000000"/>
                <w:sz w:val="24"/>
                <w:szCs w:val="24"/>
                <w:lang w:eastAsia="pt-BR"/>
              </w:rPr>
            </w:pPr>
          </w:p>
        </w:tc>
      </w:tr>
      <w:tr w:rsidR="006E71EC" w:rsidRPr="006E71EC" w14:paraId="72C674C4" w14:textId="77777777" w:rsidTr="00B76BD9">
        <w:trPr>
          <w:trHeight w:val="547"/>
        </w:trPr>
        <w:tc>
          <w:tcPr>
            <w:tcW w:w="5218"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07C29783" w14:textId="7777777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cursos avaliados pelo CAU</w:t>
            </w:r>
          </w:p>
        </w:tc>
        <w:tc>
          <w:tcPr>
            <w:tcW w:w="5839" w:type="dxa"/>
            <w:tcBorders>
              <w:top w:val="nil"/>
              <w:left w:val="nil"/>
              <w:bottom w:val="single" w:sz="4" w:space="0" w:color="000000"/>
              <w:right w:val="nil"/>
            </w:tcBorders>
            <w:shd w:val="clear" w:color="000000" w:fill="FFFFFF"/>
            <w:vAlign w:val="bottom"/>
            <w:hideMark/>
          </w:tcPr>
          <w:p w14:paraId="4F3B41F9"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cursos avaliados</w:t>
            </w:r>
          </w:p>
        </w:tc>
        <w:tc>
          <w:tcPr>
            <w:tcW w:w="854" w:type="dxa"/>
            <w:vMerge w:val="restart"/>
            <w:tcBorders>
              <w:top w:val="nil"/>
              <w:left w:val="nil"/>
              <w:bottom w:val="single" w:sz="4" w:space="0" w:color="000000"/>
              <w:right w:val="single" w:sz="4" w:space="0" w:color="000000"/>
            </w:tcBorders>
            <w:shd w:val="clear" w:color="000000" w:fill="FFFFFF"/>
            <w:vAlign w:val="center"/>
            <w:hideMark/>
          </w:tcPr>
          <w:p w14:paraId="2F5ECEF1"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69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335B317"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1E245465" w14:textId="77777777" w:rsidR="006E71EC" w:rsidRPr="006E71EC" w:rsidRDefault="006E71EC" w:rsidP="006E71EC">
            <w:pPr>
              <w:spacing w:after="0" w:line="240" w:lineRule="auto"/>
              <w:jc w:val="center"/>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CEF</w:t>
            </w:r>
          </w:p>
        </w:tc>
      </w:tr>
      <w:tr w:rsidR="006E71EC" w:rsidRPr="006E71EC" w14:paraId="5B35F484" w14:textId="77777777" w:rsidTr="00B76BD9">
        <w:trPr>
          <w:trHeight w:val="425"/>
        </w:trPr>
        <w:tc>
          <w:tcPr>
            <w:tcW w:w="5218" w:type="dxa"/>
            <w:vMerge/>
            <w:tcBorders>
              <w:top w:val="nil"/>
              <w:left w:val="single" w:sz="8" w:space="0" w:color="auto"/>
              <w:bottom w:val="single" w:sz="4" w:space="0" w:color="000000"/>
              <w:right w:val="single" w:sz="4" w:space="0" w:color="000000"/>
            </w:tcBorders>
            <w:vAlign w:val="center"/>
            <w:hideMark/>
          </w:tcPr>
          <w:p w14:paraId="427A6762"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39" w:type="dxa"/>
            <w:tcBorders>
              <w:top w:val="nil"/>
              <w:left w:val="nil"/>
              <w:bottom w:val="single" w:sz="4" w:space="0" w:color="000000"/>
              <w:right w:val="nil"/>
            </w:tcBorders>
            <w:shd w:val="clear" w:color="000000" w:fill="FFFFFF"/>
            <w:hideMark/>
          </w:tcPr>
          <w:p w14:paraId="6CDCEEE5"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cursos previstos para avaliação (Projeto Piloto)</w:t>
            </w:r>
          </w:p>
        </w:tc>
        <w:tc>
          <w:tcPr>
            <w:tcW w:w="854" w:type="dxa"/>
            <w:vMerge/>
            <w:tcBorders>
              <w:top w:val="nil"/>
              <w:left w:val="nil"/>
              <w:bottom w:val="single" w:sz="4" w:space="0" w:color="000000"/>
              <w:right w:val="single" w:sz="4" w:space="0" w:color="000000"/>
            </w:tcBorders>
            <w:vAlign w:val="center"/>
            <w:hideMark/>
          </w:tcPr>
          <w:p w14:paraId="72C5AE4A"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697" w:type="dxa"/>
            <w:vMerge/>
            <w:tcBorders>
              <w:top w:val="nil"/>
              <w:left w:val="single" w:sz="4" w:space="0" w:color="000000"/>
              <w:bottom w:val="single" w:sz="4" w:space="0" w:color="000000"/>
              <w:right w:val="single" w:sz="4" w:space="0" w:color="000000"/>
            </w:tcBorders>
            <w:vAlign w:val="center"/>
            <w:hideMark/>
          </w:tcPr>
          <w:p w14:paraId="24BC4AB0"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668A1AE0" w14:textId="77777777" w:rsidR="006E71EC" w:rsidRPr="006E71EC" w:rsidRDefault="006E71EC" w:rsidP="006E71EC">
            <w:pPr>
              <w:spacing w:after="0" w:line="240" w:lineRule="auto"/>
              <w:rPr>
                <w:rFonts w:ascii="Calibri" w:eastAsia="Times New Roman" w:hAnsi="Calibri" w:cs="Calibri"/>
                <w:color w:val="000000"/>
                <w:sz w:val="24"/>
                <w:szCs w:val="24"/>
                <w:lang w:eastAsia="pt-BR"/>
              </w:rPr>
            </w:pPr>
          </w:p>
        </w:tc>
      </w:tr>
    </w:tbl>
    <w:p w14:paraId="7BDA1457" w14:textId="55496C0E" w:rsidR="00A146DF" w:rsidRDefault="00A146DF" w:rsidP="00F70B83">
      <w:pPr>
        <w:rPr>
          <w:b/>
        </w:rPr>
      </w:pPr>
    </w:p>
    <w:p w14:paraId="7DC853A9" w14:textId="08F9F8EC" w:rsidR="00843EF2" w:rsidRPr="004719E1" w:rsidRDefault="00843EF2" w:rsidP="00B76BD9">
      <w:pPr>
        <w:spacing w:after="0"/>
        <w:ind w:hanging="567"/>
        <w:rPr>
          <w:b/>
        </w:rPr>
      </w:pPr>
      <w:r w:rsidRPr="004719E1">
        <w:rPr>
          <w:b/>
        </w:rPr>
        <w:t>ANEXO II</w:t>
      </w:r>
      <w:r w:rsidR="00600A7B" w:rsidRPr="004719E1">
        <w:rPr>
          <w:b/>
        </w:rPr>
        <w:t>.c</w:t>
      </w:r>
      <w:r w:rsidRPr="004719E1">
        <w:rPr>
          <w:b/>
        </w:rPr>
        <w:t xml:space="preserve"> – </w:t>
      </w:r>
      <w:r w:rsidR="00AF1B4D" w:rsidRPr="004719E1">
        <w:rPr>
          <w:rFonts w:asciiTheme="majorHAnsi" w:eastAsia="Arial Unicode MS" w:hAnsiTheme="majorHAnsi" w:cstheme="majorBidi"/>
          <w:b/>
        </w:rPr>
        <w:t>Indicadores Institucionais e de Resultado- CAU</w:t>
      </w:r>
      <w:r w:rsidR="002636BB" w:rsidRPr="004719E1">
        <w:rPr>
          <w:rFonts w:asciiTheme="majorHAnsi" w:eastAsia="Arial Unicode MS" w:hAnsiTheme="majorHAnsi" w:cstheme="majorBidi"/>
          <w:b/>
        </w:rPr>
        <w:t>/</w:t>
      </w:r>
      <w:r w:rsidR="00AF1B4D" w:rsidRPr="004719E1">
        <w:rPr>
          <w:rFonts w:asciiTheme="majorHAnsi" w:eastAsia="Arial Unicode MS" w:hAnsiTheme="majorHAnsi" w:cstheme="majorBidi"/>
          <w:b/>
        </w:rPr>
        <w:t>BR</w:t>
      </w:r>
    </w:p>
    <w:tbl>
      <w:tblPr>
        <w:tblW w:w="15593" w:type="dxa"/>
        <w:tblInd w:w="-577" w:type="dxa"/>
        <w:tblCellMar>
          <w:left w:w="70" w:type="dxa"/>
          <w:right w:w="70" w:type="dxa"/>
        </w:tblCellMar>
        <w:tblLook w:val="04A0" w:firstRow="1" w:lastRow="0" w:firstColumn="1" w:lastColumn="0" w:noHBand="0" w:noVBand="1"/>
      </w:tblPr>
      <w:tblGrid>
        <w:gridCol w:w="5103"/>
        <w:gridCol w:w="6096"/>
        <w:gridCol w:w="765"/>
        <w:gridCol w:w="1786"/>
        <w:gridCol w:w="1843"/>
      </w:tblGrid>
      <w:tr w:rsidR="00B76BD9" w:rsidRPr="00B76BD9" w14:paraId="05030ED4" w14:textId="77777777" w:rsidTr="00335B2F">
        <w:trPr>
          <w:trHeight w:val="1590"/>
        </w:trPr>
        <w:tc>
          <w:tcPr>
            <w:tcW w:w="5103" w:type="dxa"/>
            <w:tcBorders>
              <w:top w:val="single" w:sz="4" w:space="0" w:color="000000"/>
              <w:left w:val="single" w:sz="8" w:space="0" w:color="auto"/>
              <w:bottom w:val="single" w:sz="4" w:space="0" w:color="000000"/>
              <w:right w:val="single" w:sz="4" w:space="0" w:color="000000"/>
            </w:tcBorders>
            <w:shd w:val="clear" w:color="auto" w:fill="ED7D31" w:themeFill="accent2"/>
            <w:vAlign w:val="center"/>
            <w:hideMark/>
          </w:tcPr>
          <w:p w14:paraId="56F40366" w14:textId="77777777" w:rsidR="00B76BD9" w:rsidRPr="00B76BD9" w:rsidRDefault="00B76BD9" w:rsidP="00B76BD9">
            <w:pPr>
              <w:spacing w:after="0" w:line="240" w:lineRule="auto"/>
              <w:rPr>
                <w:rFonts w:ascii="Calibri" w:eastAsia="Times New Roman" w:hAnsi="Calibri" w:cs="Calibri"/>
                <w:b/>
                <w:bCs/>
                <w:color w:val="FFFFFF"/>
                <w:sz w:val="24"/>
                <w:szCs w:val="24"/>
                <w:lang w:eastAsia="pt-BR"/>
              </w:rPr>
            </w:pPr>
            <w:r w:rsidRPr="00B76BD9">
              <w:rPr>
                <w:rFonts w:ascii="Calibri" w:eastAsia="Times New Roman" w:hAnsi="Calibri" w:cs="Calibri"/>
                <w:b/>
                <w:bCs/>
                <w:color w:val="FFFFFF"/>
                <w:sz w:val="24"/>
                <w:szCs w:val="24"/>
                <w:lang w:eastAsia="pt-BR"/>
              </w:rPr>
              <w:t>Estimular a produção da arquitetura e urbanismo como política de Estado</w:t>
            </w:r>
          </w:p>
        </w:tc>
        <w:tc>
          <w:tcPr>
            <w:tcW w:w="6861" w:type="dxa"/>
            <w:gridSpan w:val="2"/>
            <w:tcBorders>
              <w:top w:val="single" w:sz="4" w:space="0" w:color="000000"/>
              <w:left w:val="nil"/>
              <w:bottom w:val="single" w:sz="4" w:space="0" w:color="000000"/>
              <w:right w:val="single" w:sz="4" w:space="0" w:color="000000"/>
            </w:tcBorders>
            <w:shd w:val="clear" w:color="auto" w:fill="ED7D31" w:themeFill="accent2"/>
            <w:vAlign w:val="center"/>
            <w:hideMark/>
          </w:tcPr>
          <w:p w14:paraId="6A334368" w14:textId="77777777" w:rsidR="00B76BD9" w:rsidRPr="00B76BD9" w:rsidRDefault="00B76BD9" w:rsidP="00B76BD9">
            <w:pPr>
              <w:spacing w:after="0" w:line="240" w:lineRule="auto"/>
              <w:jc w:val="center"/>
              <w:rPr>
                <w:rFonts w:ascii="Calibri" w:eastAsia="Times New Roman" w:hAnsi="Calibri" w:cs="Calibri"/>
                <w:b/>
                <w:bCs/>
                <w:color w:val="FFFFFF"/>
                <w:sz w:val="24"/>
                <w:szCs w:val="24"/>
                <w:lang w:eastAsia="pt-BR"/>
              </w:rPr>
            </w:pPr>
            <w:r w:rsidRPr="00B76BD9">
              <w:rPr>
                <w:rFonts w:ascii="Calibri" w:eastAsia="Times New Roman" w:hAnsi="Calibri" w:cs="Calibri"/>
                <w:b/>
                <w:bCs/>
                <w:color w:val="FFFFFF"/>
                <w:sz w:val="24"/>
                <w:szCs w:val="24"/>
                <w:lang w:eastAsia="pt-BR"/>
              </w:rPr>
              <w:t xml:space="preserve">Fórmula </w:t>
            </w:r>
          </w:p>
        </w:tc>
        <w:tc>
          <w:tcPr>
            <w:tcW w:w="1786" w:type="dxa"/>
            <w:tcBorders>
              <w:top w:val="single" w:sz="4" w:space="0" w:color="000000"/>
              <w:left w:val="nil"/>
              <w:bottom w:val="single" w:sz="4" w:space="0" w:color="000000"/>
              <w:right w:val="single" w:sz="4" w:space="0" w:color="000000"/>
            </w:tcBorders>
            <w:shd w:val="clear" w:color="auto" w:fill="ED7D31" w:themeFill="accent2"/>
            <w:vAlign w:val="center"/>
            <w:hideMark/>
          </w:tcPr>
          <w:p w14:paraId="4BADE770" w14:textId="77777777" w:rsidR="00B76BD9" w:rsidRPr="00B76BD9" w:rsidRDefault="00B76BD9" w:rsidP="00B76BD9">
            <w:pPr>
              <w:spacing w:after="0" w:line="240" w:lineRule="auto"/>
              <w:jc w:val="center"/>
              <w:rPr>
                <w:rFonts w:ascii="Calibri" w:eastAsia="Times New Roman" w:hAnsi="Calibri" w:cs="Calibri"/>
                <w:b/>
                <w:bCs/>
                <w:color w:val="FFFFFF"/>
                <w:sz w:val="24"/>
                <w:szCs w:val="24"/>
                <w:lang w:eastAsia="pt-BR"/>
              </w:rPr>
            </w:pPr>
            <w:r w:rsidRPr="00B76BD9">
              <w:rPr>
                <w:rFonts w:ascii="Calibri" w:eastAsia="Times New Roman" w:hAnsi="Calibri" w:cs="Calibri"/>
                <w:b/>
                <w:bCs/>
                <w:color w:val="FFFFFF"/>
                <w:sz w:val="24"/>
                <w:szCs w:val="24"/>
                <w:lang w:eastAsia="pt-BR"/>
              </w:rPr>
              <w:t xml:space="preserve">Periodicidade </w:t>
            </w:r>
          </w:p>
        </w:tc>
        <w:tc>
          <w:tcPr>
            <w:tcW w:w="1843" w:type="dxa"/>
            <w:tcBorders>
              <w:top w:val="single" w:sz="4" w:space="0" w:color="000000"/>
              <w:left w:val="nil"/>
              <w:bottom w:val="single" w:sz="4" w:space="0" w:color="000000"/>
              <w:right w:val="single" w:sz="8" w:space="0" w:color="auto"/>
            </w:tcBorders>
            <w:shd w:val="clear" w:color="auto" w:fill="ED7D31" w:themeFill="accent2"/>
            <w:vAlign w:val="center"/>
            <w:hideMark/>
          </w:tcPr>
          <w:p w14:paraId="69949AC9" w14:textId="77777777" w:rsidR="00B76BD9" w:rsidRPr="00B76BD9" w:rsidRDefault="00B76BD9" w:rsidP="00B76BD9">
            <w:pPr>
              <w:spacing w:after="0" w:line="240" w:lineRule="auto"/>
              <w:jc w:val="center"/>
              <w:rPr>
                <w:rFonts w:ascii="Calibri" w:eastAsia="Times New Roman" w:hAnsi="Calibri" w:cs="Calibri"/>
                <w:b/>
                <w:bCs/>
                <w:color w:val="FFFFFF"/>
                <w:sz w:val="24"/>
                <w:szCs w:val="24"/>
                <w:lang w:eastAsia="pt-BR"/>
              </w:rPr>
            </w:pPr>
            <w:r w:rsidRPr="00B76BD9">
              <w:rPr>
                <w:rFonts w:ascii="Calibri" w:eastAsia="Times New Roman" w:hAnsi="Calibri" w:cs="Calibri"/>
                <w:b/>
                <w:bCs/>
                <w:color w:val="FFFFFF"/>
                <w:sz w:val="24"/>
                <w:szCs w:val="24"/>
                <w:lang w:eastAsia="pt-BR"/>
              </w:rPr>
              <w:t>ÁREA</w:t>
            </w:r>
          </w:p>
        </w:tc>
      </w:tr>
      <w:tr w:rsidR="00B76BD9" w:rsidRPr="00B76BD9" w14:paraId="232301DF" w14:textId="77777777" w:rsidTr="00B76BD9">
        <w:trPr>
          <w:trHeight w:val="787"/>
        </w:trPr>
        <w:tc>
          <w:tcPr>
            <w:tcW w:w="5103" w:type="dxa"/>
            <w:vMerge w:val="restart"/>
            <w:tcBorders>
              <w:top w:val="nil"/>
              <w:left w:val="single" w:sz="8" w:space="0" w:color="auto"/>
              <w:bottom w:val="single" w:sz="4" w:space="0" w:color="auto"/>
              <w:right w:val="single" w:sz="4" w:space="0" w:color="auto"/>
            </w:tcBorders>
            <w:shd w:val="clear" w:color="000000" w:fill="FFFFFF"/>
            <w:vAlign w:val="center"/>
            <w:hideMark/>
          </w:tcPr>
          <w:p w14:paraId="615C8D84" w14:textId="77777777" w:rsidR="00B76BD9" w:rsidRPr="00B76BD9" w:rsidRDefault="00B76BD9" w:rsidP="00B76BD9">
            <w:pPr>
              <w:spacing w:after="0" w:line="240" w:lineRule="auto"/>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 xml:space="preserve">Participação do CAU na elaboração de leis que impactem o exercício profissional da Arquitetura e Urbanismo (%) </w:t>
            </w:r>
          </w:p>
        </w:tc>
        <w:tc>
          <w:tcPr>
            <w:tcW w:w="6096" w:type="dxa"/>
            <w:tcBorders>
              <w:top w:val="nil"/>
              <w:left w:val="nil"/>
              <w:bottom w:val="single" w:sz="4" w:space="0" w:color="auto"/>
              <w:right w:val="nil"/>
            </w:tcBorders>
            <w:shd w:val="clear" w:color="000000" w:fill="FFFFFF"/>
            <w:vAlign w:val="bottom"/>
            <w:hideMark/>
          </w:tcPr>
          <w:p w14:paraId="36ADEB21"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número de projetos de lei com envolvimento do CAU</w:t>
            </w:r>
          </w:p>
        </w:tc>
        <w:tc>
          <w:tcPr>
            <w:tcW w:w="765" w:type="dxa"/>
            <w:vMerge w:val="restart"/>
            <w:tcBorders>
              <w:top w:val="nil"/>
              <w:left w:val="nil"/>
              <w:bottom w:val="single" w:sz="4" w:space="0" w:color="000000"/>
              <w:right w:val="single" w:sz="4" w:space="0" w:color="000000"/>
            </w:tcBorders>
            <w:shd w:val="clear" w:color="000000" w:fill="FFFFFF"/>
            <w:vAlign w:val="center"/>
            <w:hideMark/>
          </w:tcPr>
          <w:p w14:paraId="4922133A"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B48616D"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Trimestral</w:t>
            </w:r>
          </w:p>
        </w:tc>
        <w:tc>
          <w:tcPr>
            <w:tcW w:w="1843" w:type="dxa"/>
            <w:vMerge w:val="restart"/>
            <w:tcBorders>
              <w:top w:val="nil"/>
              <w:left w:val="single" w:sz="4" w:space="0" w:color="000000"/>
              <w:bottom w:val="single" w:sz="4" w:space="0" w:color="000000"/>
              <w:right w:val="single" w:sz="8" w:space="0" w:color="auto"/>
            </w:tcBorders>
            <w:shd w:val="clear" w:color="auto" w:fill="auto"/>
            <w:vAlign w:val="center"/>
            <w:hideMark/>
          </w:tcPr>
          <w:p w14:paraId="62CE65C4" w14:textId="77777777" w:rsidR="00B76BD9" w:rsidRPr="00B76BD9" w:rsidRDefault="00B76BD9" w:rsidP="00B76BD9">
            <w:pPr>
              <w:spacing w:after="0" w:line="240" w:lineRule="auto"/>
              <w:jc w:val="center"/>
              <w:rPr>
                <w:rFonts w:ascii="Calibri" w:eastAsia="Times New Roman" w:hAnsi="Calibri" w:cs="Calibri"/>
                <w:color w:val="000000"/>
                <w:sz w:val="24"/>
                <w:szCs w:val="24"/>
                <w:lang w:eastAsia="pt-BR"/>
              </w:rPr>
            </w:pPr>
            <w:r w:rsidRPr="00B76BD9">
              <w:rPr>
                <w:rFonts w:ascii="Calibri" w:eastAsia="Times New Roman" w:hAnsi="Calibri" w:cs="Calibri"/>
                <w:color w:val="000000"/>
                <w:sz w:val="24"/>
                <w:szCs w:val="24"/>
                <w:lang w:eastAsia="pt-BR"/>
              </w:rPr>
              <w:t>AIP</w:t>
            </w:r>
          </w:p>
        </w:tc>
      </w:tr>
      <w:tr w:rsidR="00B76BD9" w:rsidRPr="00B76BD9" w14:paraId="37E28470" w14:textId="77777777" w:rsidTr="00B76BD9">
        <w:trPr>
          <w:trHeight w:val="711"/>
        </w:trPr>
        <w:tc>
          <w:tcPr>
            <w:tcW w:w="5103" w:type="dxa"/>
            <w:vMerge/>
            <w:tcBorders>
              <w:top w:val="nil"/>
              <w:left w:val="single" w:sz="8" w:space="0" w:color="auto"/>
              <w:bottom w:val="single" w:sz="4" w:space="0" w:color="auto"/>
              <w:right w:val="single" w:sz="4" w:space="0" w:color="auto"/>
            </w:tcBorders>
            <w:vAlign w:val="center"/>
            <w:hideMark/>
          </w:tcPr>
          <w:p w14:paraId="110B908C"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auto"/>
              <w:right w:val="nil"/>
            </w:tcBorders>
            <w:shd w:val="clear" w:color="000000" w:fill="FFFFFF"/>
            <w:hideMark/>
          </w:tcPr>
          <w:p w14:paraId="03B4F7BF"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total de projetos de lei que impactam a Arquitetura e Urbanismo</w:t>
            </w:r>
          </w:p>
        </w:tc>
        <w:tc>
          <w:tcPr>
            <w:tcW w:w="765" w:type="dxa"/>
            <w:vMerge/>
            <w:tcBorders>
              <w:top w:val="nil"/>
              <w:left w:val="nil"/>
              <w:bottom w:val="single" w:sz="4" w:space="0" w:color="000000"/>
              <w:right w:val="single" w:sz="4" w:space="0" w:color="000000"/>
            </w:tcBorders>
            <w:vAlign w:val="center"/>
            <w:hideMark/>
          </w:tcPr>
          <w:p w14:paraId="5091064B"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single" w:sz="4" w:space="0" w:color="000000"/>
            </w:tcBorders>
            <w:vAlign w:val="center"/>
            <w:hideMark/>
          </w:tcPr>
          <w:p w14:paraId="66AB5604"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000000"/>
              <w:bottom w:val="single" w:sz="4" w:space="0" w:color="000000"/>
              <w:right w:val="single" w:sz="8" w:space="0" w:color="auto"/>
            </w:tcBorders>
            <w:vAlign w:val="center"/>
            <w:hideMark/>
          </w:tcPr>
          <w:p w14:paraId="560FD16F" w14:textId="77777777" w:rsidR="00B76BD9" w:rsidRPr="00B76BD9" w:rsidRDefault="00B76BD9" w:rsidP="00B76BD9">
            <w:pPr>
              <w:spacing w:after="0" w:line="240" w:lineRule="auto"/>
              <w:rPr>
                <w:rFonts w:ascii="Calibri" w:eastAsia="Times New Roman" w:hAnsi="Calibri" w:cs="Calibri"/>
                <w:color w:val="000000"/>
                <w:sz w:val="24"/>
                <w:szCs w:val="24"/>
                <w:lang w:eastAsia="pt-BR"/>
              </w:rPr>
            </w:pPr>
          </w:p>
        </w:tc>
      </w:tr>
      <w:tr w:rsidR="00B76BD9" w:rsidRPr="00B76BD9" w14:paraId="32B4A5B8" w14:textId="77777777" w:rsidTr="00B76BD9">
        <w:trPr>
          <w:trHeight w:val="823"/>
        </w:trPr>
        <w:tc>
          <w:tcPr>
            <w:tcW w:w="5103" w:type="dxa"/>
            <w:vMerge w:val="restart"/>
            <w:tcBorders>
              <w:top w:val="nil"/>
              <w:left w:val="single" w:sz="8" w:space="0" w:color="auto"/>
              <w:bottom w:val="single" w:sz="4" w:space="0" w:color="auto"/>
              <w:right w:val="single" w:sz="4" w:space="0" w:color="auto"/>
            </w:tcBorders>
            <w:shd w:val="clear" w:color="000000" w:fill="FFFFFF"/>
            <w:vAlign w:val="center"/>
            <w:hideMark/>
          </w:tcPr>
          <w:p w14:paraId="07FF92DC" w14:textId="77777777" w:rsidR="00B76BD9" w:rsidRPr="00B76BD9" w:rsidRDefault="00B76BD9" w:rsidP="00B76BD9">
            <w:pPr>
              <w:spacing w:after="0" w:line="240" w:lineRule="auto"/>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Índice de adesão dos parlamentares às propostas legislativas do CAU/BR</w:t>
            </w:r>
          </w:p>
        </w:tc>
        <w:tc>
          <w:tcPr>
            <w:tcW w:w="6096" w:type="dxa"/>
            <w:tcBorders>
              <w:top w:val="nil"/>
              <w:left w:val="nil"/>
              <w:bottom w:val="single" w:sz="4" w:space="0" w:color="auto"/>
              <w:right w:val="nil"/>
            </w:tcBorders>
            <w:shd w:val="clear" w:color="000000" w:fill="FFFFFF"/>
            <w:vAlign w:val="bottom"/>
            <w:hideMark/>
          </w:tcPr>
          <w:p w14:paraId="72B1B10D"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total de propostas apresentadas pelos parlamentares solicitadas pelo CAU</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25E2233B"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F6E4A4C"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Anual</w:t>
            </w:r>
          </w:p>
        </w:tc>
        <w:tc>
          <w:tcPr>
            <w:tcW w:w="1843" w:type="dxa"/>
            <w:vMerge w:val="restart"/>
            <w:tcBorders>
              <w:top w:val="nil"/>
              <w:left w:val="single" w:sz="4" w:space="0" w:color="000000"/>
              <w:bottom w:val="single" w:sz="4" w:space="0" w:color="000000"/>
              <w:right w:val="single" w:sz="8" w:space="0" w:color="auto"/>
            </w:tcBorders>
            <w:shd w:val="clear" w:color="auto" w:fill="auto"/>
            <w:vAlign w:val="center"/>
            <w:hideMark/>
          </w:tcPr>
          <w:p w14:paraId="75254AD4" w14:textId="77777777" w:rsidR="00B76BD9" w:rsidRPr="00B76BD9" w:rsidRDefault="00B76BD9" w:rsidP="00B76BD9">
            <w:pPr>
              <w:spacing w:after="0" w:line="240" w:lineRule="auto"/>
              <w:jc w:val="center"/>
              <w:rPr>
                <w:rFonts w:ascii="Calibri" w:eastAsia="Times New Roman" w:hAnsi="Calibri" w:cs="Calibri"/>
                <w:color w:val="000000"/>
                <w:sz w:val="24"/>
                <w:szCs w:val="24"/>
                <w:lang w:eastAsia="pt-BR"/>
              </w:rPr>
            </w:pPr>
            <w:r w:rsidRPr="00B76BD9">
              <w:rPr>
                <w:rFonts w:ascii="Calibri" w:eastAsia="Times New Roman" w:hAnsi="Calibri" w:cs="Calibri"/>
                <w:color w:val="000000"/>
                <w:sz w:val="24"/>
                <w:szCs w:val="24"/>
                <w:lang w:eastAsia="pt-BR"/>
              </w:rPr>
              <w:t>AIP</w:t>
            </w:r>
          </w:p>
        </w:tc>
      </w:tr>
      <w:tr w:rsidR="00B76BD9" w:rsidRPr="00B76BD9" w14:paraId="12341C9C" w14:textId="77777777" w:rsidTr="00B76BD9">
        <w:trPr>
          <w:trHeight w:val="705"/>
        </w:trPr>
        <w:tc>
          <w:tcPr>
            <w:tcW w:w="5103" w:type="dxa"/>
            <w:vMerge/>
            <w:tcBorders>
              <w:top w:val="nil"/>
              <w:left w:val="single" w:sz="8" w:space="0" w:color="auto"/>
              <w:bottom w:val="single" w:sz="4" w:space="0" w:color="auto"/>
              <w:right w:val="single" w:sz="4" w:space="0" w:color="auto"/>
            </w:tcBorders>
            <w:vAlign w:val="center"/>
            <w:hideMark/>
          </w:tcPr>
          <w:p w14:paraId="574663AD"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auto"/>
              <w:right w:val="nil"/>
            </w:tcBorders>
            <w:shd w:val="clear" w:color="000000" w:fill="FFFFFF"/>
            <w:hideMark/>
          </w:tcPr>
          <w:p w14:paraId="426AC9E6"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total de minutas de proposições legislativas enviadas aos parlamentares</w:t>
            </w:r>
          </w:p>
        </w:tc>
        <w:tc>
          <w:tcPr>
            <w:tcW w:w="765" w:type="dxa"/>
            <w:vMerge/>
            <w:tcBorders>
              <w:top w:val="nil"/>
              <w:left w:val="nil"/>
              <w:bottom w:val="single" w:sz="4" w:space="0" w:color="000000"/>
              <w:right w:val="single" w:sz="4" w:space="0" w:color="auto"/>
            </w:tcBorders>
            <w:vAlign w:val="center"/>
            <w:hideMark/>
          </w:tcPr>
          <w:p w14:paraId="15D06588"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single" w:sz="4" w:space="0" w:color="000000"/>
            </w:tcBorders>
            <w:vAlign w:val="center"/>
            <w:hideMark/>
          </w:tcPr>
          <w:p w14:paraId="76D3D83D"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000000"/>
              <w:bottom w:val="single" w:sz="4" w:space="0" w:color="000000"/>
              <w:right w:val="single" w:sz="8" w:space="0" w:color="auto"/>
            </w:tcBorders>
            <w:vAlign w:val="center"/>
            <w:hideMark/>
          </w:tcPr>
          <w:p w14:paraId="381B8117" w14:textId="77777777" w:rsidR="00B76BD9" w:rsidRPr="00B76BD9" w:rsidRDefault="00B76BD9" w:rsidP="00B76BD9">
            <w:pPr>
              <w:spacing w:after="0" w:line="240" w:lineRule="auto"/>
              <w:rPr>
                <w:rFonts w:ascii="Calibri" w:eastAsia="Times New Roman" w:hAnsi="Calibri" w:cs="Calibri"/>
                <w:color w:val="000000"/>
                <w:sz w:val="24"/>
                <w:szCs w:val="24"/>
                <w:lang w:eastAsia="pt-BR"/>
              </w:rPr>
            </w:pPr>
          </w:p>
        </w:tc>
      </w:tr>
      <w:tr w:rsidR="00B76BD9" w:rsidRPr="00B76BD9" w14:paraId="3F524E46" w14:textId="77777777" w:rsidTr="00B76BD9">
        <w:trPr>
          <w:trHeight w:val="561"/>
        </w:trPr>
        <w:tc>
          <w:tcPr>
            <w:tcW w:w="5103" w:type="dxa"/>
            <w:vMerge w:val="restart"/>
            <w:tcBorders>
              <w:top w:val="nil"/>
              <w:left w:val="single" w:sz="8" w:space="0" w:color="auto"/>
              <w:bottom w:val="single" w:sz="4" w:space="0" w:color="auto"/>
              <w:right w:val="single" w:sz="4" w:space="0" w:color="auto"/>
            </w:tcBorders>
            <w:shd w:val="clear" w:color="000000" w:fill="FFFFFF"/>
            <w:vAlign w:val="center"/>
            <w:hideMark/>
          </w:tcPr>
          <w:p w14:paraId="743A4A8F" w14:textId="77777777" w:rsidR="00B76BD9" w:rsidRPr="00B76BD9" w:rsidRDefault="00B76BD9" w:rsidP="00B76BD9">
            <w:pPr>
              <w:spacing w:after="0" w:line="240" w:lineRule="auto"/>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Índice de crescimento das audiências com autoridades e instituições agendadas pela AIP-CAU/BR</w:t>
            </w:r>
          </w:p>
        </w:tc>
        <w:tc>
          <w:tcPr>
            <w:tcW w:w="6096" w:type="dxa"/>
            <w:tcBorders>
              <w:top w:val="nil"/>
              <w:left w:val="nil"/>
              <w:bottom w:val="single" w:sz="4" w:space="0" w:color="auto"/>
              <w:right w:val="nil"/>
            </w:tcBorders>
            <w:shd w:val="clear" w:color="000000" w:fill="FFFFFF"/>
            <w:vAlign w:val="bottom"/>
            <w:hideMark/>
          </w:tcPr>
          <w:p w14:paraId="7B4B517F"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quantitativo de audiências realizadas no ano vigente</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3827797"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F32987A"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Anual</w:t>
            </w:r>
          </w:p>
        </w:tc>
        <w:tc>
          <w:tcPr>
            <w:tcW w:w="1843" w:type="dxa"/>
            <w:vMerge w:val="restart"/>
            <w:tcBorders>
              <w:top w:val="nil"/>
              <w:left w:val="single" w:sz="4" w:space="0" w:color="000000"/>
              <w:bottom w:val="single" w:sz="4" w:space="0" w:color="000000"/>
              <w:right w:val="single" w:sz="8" w:space="0" w:color="auto"/>
            </w:tcBorders>
            <w:shd w:val="clear" w:color="auto" w:fill="auto"/>
            <w:vAlign w:val="center"/>
            <w:hideMark/>
          </w:tcPr>
          <w:p w14:paraId="231031C6" w14:textId="77777777" w:rsidR="00B76BD9" w:rsidRPr="00B76BD9" w:rsidRDefault="00B76BD9" w:rsidP="00B76BD9">
            <w:pPr>
              <w:spacing w:after="0" w:line="240" w:lineRule="auto"/>
              <w:jc w:val="center"/>
              <w:rPr>
                <w:rFonts w:ascii="Calibri" w:eastAsia="Times New Roman" w:hAnsi="Calibri" w:cs="Calibri"/>
                <w:color w:val="000000"/>
                <w:sz w:val="24"/>
                <w:szCs w:val="24"/>
                <w:lang w:eastAsia="pt-BR"/>
              </w:rPr>
            </w:pPr>
            <w:r w:rsidRPr="00B76BD9">
              <w:rPr>
                <w:rFonts w:ascii="Calibri" w:eastAsia="Times New Roman" w:hAnsi="Calibri" w:cs="Calibri"/>
                <w:color w:val="000000"/>
                <w:sz w:val="24"/>
                <w:szCs w:val="24"/>
                <w:lang w:eastAsia="pt-BR"/>
              </w:rPr>
              <w:t>AIP</w:t>
            </w:r>
          </w:p>
        </w:tc>
      </w:tr>
      <w:tr w:rsidR="00B76BD9" w:rsidRPr="00B76BD9" w14:paraId="61992437" w14:textId="77777777" w:rsidTr="00B76BD9">
        <w:trPr>
          <w:trHeight w:val="544"/>
        </w:trPr>
        <w:tc>
          <w:tcPr>
            <w:tcW w:w="5103" w:type="dxa"/>
            <w:vMerge/>
            <w:tcBorders>
              <w:top w:val="nil"/>
              <w:left w:val="single" w:sz="8" w:space="0" w:color="auto"/>
              <w:bottom w:val="single" w:sz="4" w:space="0" w:color="auto"/>
              <w:right w:val="single" w:sz="4" w:space="0" w:color="auto"/>
            </w:tcBorders>
            <w:vAlign w:val="center"/>
            <w:hideMark/>
          </w:tcPr>
          <w:p w14:paraId="5391A8FF"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auto"/>
              <w:right w:val="nil"/>
            </w:tcBorders>
            <w:shd w:val="clear" w:color="000000" w:fill="FFFFFF"/>
            <w:hideMark/>
          </w:tcPr>
          <w:p w14:paraId="160D291D"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quantitativo de audiências realizadas no ano anterior</w:t>
            </w:r>
          </w:p>
        </w:tc>
        <w:tc>
          <w:tcPr>
            <w:tcW w:w="765" w:type="dxa"/>
            <w:vMerge/>
            <w:tcBorders>
              <w:top w:val="nil"/>
              <w:left w:val="nil"/>
              <w:bottom w:val="single" w:sz="4" w:space="0" w:color="000000"/>
              <w:right w:val="single" w:sz="4" w:space="0" w:color="auto"/>
            </w:tcBorders>
            <w:vAlign w:val="center"/>
            <w:hideMark/>
          </w:tcPr>
          <w:p w14:paraId="11EEF549"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single" w:sz="4" w:space="0" w:color="000000"/>
            </w:tcBorders>
            <w:vAlign w:val="center"/>
            <w:hideMark/>
          </w:tcPr>
          <w:p w14:paraId="1744AA65"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000000"/>
              <w:bottom w:val="single" w:sz="4" w:space="0" w:color="000000"/>
              <w:right w:val="single" w:sz="8" w:space="0" w:color="auto"/>
            </w:tcBorders>
            <w:vAlign w:val="center"/>
            <w:hideMark/>
          </w:tcPr>
          <w:p w14:paraId="404992FF" w14:textId="77777777" w:rsidR="00B76BD9" w:rsidRPr="00B76BD9" w:rsidRDefault="00B76BD9" w:rsidP="00B76BD9">
            <w:pPr>
              <w:spacing w:after="0" w:line="240" w:lineRule="auto"/>
              <w:rPr>
                <w:rFonts w:ascii="Calibri" w:eastAsia="Times New Roman" w:hAnsi="Calibri" w:cs="Calibri"/>
                <w:color w:val="000000"/>
                <w:sz w:val="24"/>
                <w:szCs w:val="24"/>
                <w:lang w:eastAsia="pt-BR"/>
              </w:rPr>
            </w:pPr>
          </w:p>
        </w:tc>
      </w:tr>
      <w:tr w:rsidR="00B76BD9" w:rsidRPr="00B76BD9" w14:paraId="1335523E" w14:textId="77777777" w:rsidTr="00B76BD9">
        <w:trPr>
          <w:trHeight w:val="851"/>
        </w:trPr>
        <w:tc>
          <w:tcPr>
            <w:tcW w:w="5103" w:type="dxa"/>
            <w:vMerge w:val="restart"/>
            <w:tcBorders>
              <w:top w:val="nil"/>
              <w:left w:val="single" w:sz="8" w:space="0" w:color="auto"/>
              <w:bottom w:val="single" w:sz="4" w:space="0" w:color="auto"/>
              <w:right w:val="single" w:sz="4" w:space="0" w:color="auto"/>
            </w:tcBorders>
            <w:shd w:val="clear" w:color="000000" w:fill="FFFFFF"/>
            <w:vAlign w:val="center"/>
            <w:hideMark/>
          </w:tcPr>
          <w:p w14:paraId="4B0F3B2E" w14:textId="77777777" w:rsidR="00B76BD9" w:rsidRPr="00B76BD9" w:rsidRDefault="00B76BD9" w:rsidP="00B76BD9">
            <w:pPr>
              <w:spacing w:after="0" w:line="240" w:lineRule="auto"/>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Índice de crescimento ano/ano das proposições legislativas acompanhadas pela AIP</w:t>
            </w:r>
          </w:p>
        </w:tc>
        <w:tc>
          <w:tcPr>
            <w:tcW w:w="6096" w:type="dxa"/>
            <w:tcBorders>
              <w:top w:val="nil"/>
              <w:left w:val="nil"/>
              <w:bottom w:val="single" w:sz="4" w:space="0" w:color="auto"/>
              <w:right w:val="nil"/>
            </w:tcBorders>
            <w:shd w:val="clear" w:color="000000" w:fill="FFFFFF"/>
            <w:vAlign w:val="bottom"/>
            <w:hideMark/>
          </w:tcPr>
          <w:p w14:paraId="225E2E74"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quantitativo de proposições legislativas acompanhadas no ano vigente</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228CA59"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1E76045"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Anual</w:t>
            </w:r>
          </w:p>
        </w:tc>
        <w:tc>
          <w:tcPr>
            <w:tcW w:w="1843" w:type="dxa"/>
            <w:vMerge w:val="restart"/>
            <w:tcBorders>
              <w:top w:val="nil"/>
              <w:left w:val="single" w:sz="4" w:space="0" w:color="000000"/>
              <w:bottom w:val="single" w:sz="4" w:space="0" w:color="000000"/>
              <w:right w:val="single" w:sz="8" w:space="0" w:color="auto"/>
            </w:tcBorders>
            <w:shd w:val="clear" w:color="auto" w:fill="auto"/>
            <w:vAlign w:val="center"/>
            <w:hideMark/>
          </w:tcPr>
          <w:p w14:paraId="646509C9" w14:textId="77777777" w:rsidR="00B76BD9" w:rsidRPr="00B76BD9" w:rsidRDefault="00B76BD9" w:rsidP="00B76BD9">
            <w:pPr>
              <w:spacing w:after="0" w:line="240" w:lineRule="auto"/>
              <w:jc w:val="center"/>
              <w:rPr>
                <w:rFonts w:ascii="Calibri" w:eastAsia="Times New Roman" w:hAnsi="Calibri" w:cs="Calibri"/>
                <w:color w:val="000000"/>
                <w:sz w:val="24"/>
                <w:szCs w:val="24"/>
                <w:lang w:eastAsia="pt-BR"/>
              </w:rPr>
            </w:pPr>
            <w:r w:rsidRPr="00B76BD9">
              <w:rPr>
                <w:rFonts w:ascii="Calibri" w:eastAsia="Times New Roman" w:hAnsi="Calibri" w:cs="Calibri"/>
                <w:color w:val="000000"/>
                <w:sz w:val="24"/>
                <w:szCs w:val="24"/>
                <w:lang w:eastAsia="pt-BR"/>
              </w:rPr>
              <w:t>AIP</w:t>
            </w:r>
          </w:p>
        </w:tc>
      </w:tr>
      <w:tr w:rsidR="00B76BD9" w:rsidRPr="00B76BD9" w14:paraId="0AED4CF3" w14:textId="77777777" w:rsidTr="00B76BD9">
        <w:trPr>
          <w:trHeight w:val="719"/>
        </w:trPr>
        <w:tc>
          <w:tcPr>
            <w:tcW w:w="5103" w:type="dxa"/>
            <w:vMerge/>
            <w:tcBorders>
              <w:top w:val="nil"/>
              <w:left w:val="single" w:sz="8" w:space="0" w:color="auto"/>
              <w:bottom w:val="single" w:sz="4" w:space="0" w:color="auto"/>
              <w:right w:val="single" w:sz="4" w:space="0" w:color="auto"/>
            </w:tcBorders>
            <w:vAlign w:val="center"/>
            <w:hideMark/>
          </w:tcPr>
          <w:p w14:paraId="7FA0CF6A"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auto"/>
              <w:right w:val="nil"/>
            </w:tcBorders>
            <w:shd w:val="clear" w:color="000000" w:fill="FFFFFF"/>
            <w:hideMark/>
          </w:tcPr>
          <w:p w14:paraId="57420CDE"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quantitativo de proposições legislativas acompanhadas no ano anterior</w:t>
            </w:r>
          </w:p>
        </w:tc>
        <w:tc>
          <w:tcPr>
            <w:tcW w:w="765" w:type="dxa"/>
            <w:vMerge/>
            <w:tcBorders>
              <w:top w:val="nil"/>
              <w:left w:val="nil"/>
              <w:bottom w:val="single" w:sz="4" w:space="0" w:color="000000"/>
              <w:right w:val="single" w:sz="4" w:space="0" w:color="auto"/>
            </w:tcBorders>
            <w:vAlign w:val="center"/>
            <w:hideMark/>
          </w:tcPr>
          <w:p w14:paraId="1BF48820"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single" w:sz="4" w:space="0" w:color="000000"/>
            </w:tcBorders>
            <w:vAlign w:val="center"/>
            <w:hideMark/>
          </w:tcPr>
          <w:p w14:paraId="0F17078C"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000000"/>
              <w:bottom w:val="single" w:sz="4" w:space="0" w:color="000000"/>
              <w:right w:val="single" w:sz="8" w:space="0" w:color="auto"/>
            </w:tcBorders>
            <w:vAlign w:val="center"/>
            <w:hideMark/>
          </w:tcPr>
          <w:p w14:paraId="01894A20" w14:textId="77777777" w:rsidR="00B76BD9" w:rsidRPr="00B76BD9" w:rsidRDefault="00B76BD9" w:rsidP="00B76BD9">
            <w:pPr>
              <w:spacing w:after="0" w:line="240" w:lineRule="auto"/>
              <w:rPr>
                <w:rFonts w:ascii="Calibri" w:eastAsia="Times New Roman" w:hAnsi="Calibri" w:cs="Calibri"/>
                <w:color w:val="000000"/>
                <w:sz w:val="24"/>
                <w:szCs w:val="24"/>
                <w:lang w:eastAsia="pt-BR"/>
              </w:rPr>
            </w:pPr>
          </w:p>
        </w:tc>
      </w:tr>
      <w:tr w:rsidR="00B76BD9" w:rsidRPr="00B76BD9" w14:paraId="2965B547" w14:textId="77777777" w:rsidTr="00B76BD9">
        <w:trPr>
          <w:trHeight w:val="685"/>
        </w:trPr>
        <w:tc>
          <w:tcPr>
            <w:tcW w:w="5103" w:type="dxa"/>
            <w:vMerge w:val="restart"/>
            <w:tcBorders>
              <w:top w:val="nil"/>
              <w:left w:val="single" w:sz="8" w:space="0" w:color="auto"/>
              <w:bottom w:val="single" w:sz="4" w:space="0" w:color="auto"/>
              <w:right w:val="single" w:sz="4" w:space="0" w:color="auto"/>
            </w:tcBorders>
            <w:shd w:val="clear" w:color="000000" w:fill="FFFFFF"/>
            <w:vAlign w:val="center"/>
            <w:hideMark/>
          </w:tcPr>
          <w:p w14:paraId="4CADB6E8" w14:textId="403E43D5" w:rsidR="00B76BD9" w:rsidRPr="00B76BD9" w:rsidRDefault="00B76BD9" w:rsidP="00B76BD9">
            <w:pPr>
              <w:spacing w:after="0" w:line="240" w:lineRule="auto"/>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Índice de ações realizadas destinadas à Assistência Técnica (%)</w:t>
            </w:r>
            <w:r w:rsidRPr="00B76BD9">
              <w:rPr>
                <w:rFonts w:ascii="Calibri" w:eastAsia="Times New Roman" w:hAnsi="Calibri" w:cs="Calibri"/>
                <w:sz w:val="24"/>
                <w:szCs w:val="24"/>
                <w:lang w:eastAsia="pt-BR"/>
              </w:rPr>
              <w:br/>
            </w:r>
            <w:r w:rsidRPr="00B76BD9">
              <w:rPr>
                <w:rFonts w:ascii="Calibri" w:eastAsia="Times New Roman" w:hAnsi="Calibri" w:cs="Calibri"/>
                <w:b/>
                <w:bCs/>
                <w:sz w:val="24"/>
                <w:szCs w:val="24"/>
                <w:lang w:eastAsia="pt-BR"/>
              </w:rPr>
              <w:t>(CAU/BR)</w:t>
            </w:r>
          </w:p>
        </w:tc>
        <w:tc>
          <w:tcPr>
            <w:tcW w:w="6096" w:type="dxa"/>
            <w:tcBorders>
              <w:top w:val="nil"/>
              <w:left w:val="nil"/>
              <w:bottom w:val="single" w:sz="4" w:space="0" w:color="auto"/>
              <w:right w:val="nil"/>
            </w:tcBorders>
            <w:shd w:val="clear" w:color="000000" w:fill="FFFFFF"/>
            <w:vAlign w:val="bottom"/>
            <w:hideMark/>
          </w:tcPr>
          <w:p w14:paraId="3F4EC334"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 xml:space="preserve">número de ações com participação do CAU/BR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4BA366AD"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56A6CAF2"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Anual</w:t>
            </w:r>
          </w:p>
        </w:tc>
        <w:tc>
          <w:tcPr>
            <w:tcW w:w="1843" w:type="dxa"/>
            <w:vMerge w:val="restart"/>
            <w:tcBorders>
              <w:top w:val="nil"/>
              <w:left w:val="single" w:sz="4" w:space="0" w:color="000000"/>
              <w:bottom w:val="single" w:sz="4" w:space="0" w:color="000000"/>
              <w:right w:val="single" w:sz="8" w:space="0" w:color="auto"/>
            </w:tcBorders>
            <w:shd w:val="clear" w:color="000000" w:fill="FFFFFF"/>
            <w:vAlign w:val="center"/>
            <w:hideMark/>
          </w:tcPr>
          <w:p w14:paraId="57C4866C"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CPP</w:t>
            </w:r>
          </w:p>
        </w:tc>
      </w:tr>
      <w:tr w:rsidR="00B76BD9" w:rsidRPr="00B76BD9" w14:paraId="126E558C" w14:textId="77777777" w:rsidTr="00B76BD9">
        <w:trPr>
          <w:trHeight w:val="565"/>
        </w:trPr>
        <w:tc>
          <w:tcPr>
            <w:tcW w:w="5103" w:type="dxa"/>
            <w:vMerge/>
            <w:tcBorders>
              <w:top w:val="nil"/>
              <w:left w:val="single" w:sz="8" w:space="0" w:color="auto"/>
              <w:bottom w:val="single" w:sz="4" w:space="0" w:color="auto"/>
              <w:right w:val="single" w:sz="4" w:space="0" w:color="auto"/>
            </w:tcBorders>
            <w:vAlign w:val="center"/>
            <w:hideMark/>
          </w:tcPr>
          <w:p w14:paraId="3DE828AE"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auto"/>
              <w:right w:val="nil"/>
            </w:tcBorders>
            <w:shd w:val="clear" w:color="000000" w:fill="FFFFFF"/>
            <w:hideMark/>
          </w:tcPr>
          <w:p w14:paraId="0E6D646B"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 xml:space="preserve">total de municípios da BR                                                                                  </w:t>
            </w:r>
          </w:p>
        </w:tc>
        <w:tc>
          <w:tcPr>
            <w:tcW w:w="765" w:type="dxa"/>
            <w:vMerge/>
            <w:tcBorders>
              <w:top w:val="nil"/>
              <w:left w:val="nil"/>
              <w:bottom w:val="single" w:sz="4" w:space="0" w:color="000000"/>
              <w:right w:val="single" w:sz="4" w:space="0" w:color="auto"/>
            </w:tcBorders>
            <w:vAlign w:val="center"/>
            <w:hideMark/>
          </w:tcPr>
          <w:p w14:paraId="15B2221C"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single" w:sz="4" w:space="0" w:color="000000"/>
            </w:tcBorders>
            <w:vAlign w:val="center"/>
            <w:hideMark/>
          </w:tcPr>
          <w:p w14:paraId="6DD3395A"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000000"/>
              <w:bottom w:val="single" w:sz="4" w:space="0" w:color="000000"/>
              <w:right w:val="single" w:sz="8" w:space="0" w:color="auto"/>
            </w:tcBorders>
            <w:vAlign w:val="center"/>
            <w:hideMark/>
          </w:tcPr>
          <w:p w14:paraId="5B4C1FD7" w14:textId="77777777" w:rsidR="00B76BD9" w:rsidRPr="00B76BD9" w:rsidRDefault="00B76BD9" w:rsidP="00B76BD9">
            <w:pPr>
              <w:spacing w:after="0" w:line="240" w:lineRule="auto"/>
              <w:rPr>
                <w:rFonts w:ascii="Calibri" w:eastAsia="Times New Roman" w:hAnsi="Calibri" w:cs="Calibri"/>
                <w:sz w:val="24"/>
                <w:szCs w:val="24"/>
                <w:lang w:eastAsia="pt-BR"/>
              </w:rPr>
            </w:pPr>
          </w:p>
        </w:tc>
      </w:tr>
    </w:tbl>
    <w:p w14:paraId="7DC853AB" w14:textId="62D15656" w:rsidR="00D80A3A" w:rsidRPr="004719E1" w:rsidRDefault="00843EF2" w:rsidP="00C653A3">
      <w:pPr>
        <w:spacing w:after="0"/>
        <w:ind w:left="-567"/>
        <w:rPr>
          <w:noProof/>
          <w:lang w:eastAsia="pt-BR"/>
        </w:rPr>
      </w:pPr>
      <w:r w:rsidRPr="004719E1">
        <w:rPr>
          <w:b/>
        </w:rPr>
        <w:t>ANEXO II</w:t>
      </w:r>
      <w:r w:rsidR="00600A7B" w:rsidRPr="004719E1">
        <w:rPr>
          <w:b/>
        </w:rPr>
        <w:t>.d</w:t>
      </w:r>
      <w:r w:rsidRPr="004719E1">
        <w:rPr>
          <w:b/>
        </w:rPr>
        <w:t xml:space="preserve"> – </w:t>
      </w:r>
      <w:r w:rsidR="00AF1B4D" w:rsidRPr="004719E1">
        <w:rPr>
          <w:rFonts w:asciiTheme="majorHAnsi" w:eastAsia="Arial Unicode MS" w:hAnsiTheme="majorHAnsi" w:cstheme="majorBidi"/>
          <w:b/>
        </w:rPr>
        <w:t>Indicadores Institucionais e de Resultado- CAU</w:t>
      </w:r>
      <w:r w:rsidR="002636BB" w:rsidRPr="004719E1">
        <w:rPr>
          <w:rFonts w:asciiTheme="majorHAnsi" w:eastAsia="Arial Unicode MS" w:hAnsiTheme="majorHAnsi" w:cstheme="majorBidi"/>
          <w:b/>
        </w:rPr>
        <w:t>/</w:t>
      </w:r>
      <w:r w:rsidR="00AF1B4D" w:rsidRPr="004719E1">
        <w:rPr>
          <w:rFonts w:asciiTheme="majorHAnsi" w:eastAsia="Arial Unicode MS" w:hAnsiTheme="majorHAnsi" w:cstheme="majorBidi"/>
          <w:b/>
        </w:rPr>
        <w:t>BR</w:t>
      </w:r>
    </w:p>
    <w:tbl>
      <w:tblPr>
        <w:tblW w:w="15593" w:type="dxa"/>
        <w:tblInd w:w="-577" w:type="dxa"/>
        <w:tblCellMar>
          <w:left w:w="70" w:type="dxa"/>
          <w:right w:w="70" w:type="dxa"/>
        </w:tblCellMar>
        <w:tblLook w:val="04A0" w:firstRow="1" w:lastRow="0" w:firstColumn="1" w:lastColumn="0" w:noHBand="0" w:noVBand="1"/>
      </w:tblPr>
      <w:tblGrid>
        <w:gridCol w:w="5074"/>
        <w:gridCol w:w="5841"/>
        <w:gridCol w:w="992"/>
        <w:gridCol w:w="1843"/>
        <w:gridCol w:w="1843"/>
      </w:tblGrid>
      <w:tr w:rsidR="00BB3850" w:rsidRPr="002356DD" w14:paraId="0DDDD188" w14:textId="77777777" w:rsidTr="00335B2F">
        <w:trPr>
          <w:trHeight w:val="1590"/>
        </w:trPr>
        <w:tc>
          <w:tcPr>
            <w:tcW w:w="5074" w:type="dxa"/>
            <w:tcBorders>
              <w:top w:val="single" w:sz="4" w:space="0" w:color="auto"/>
              <w:left w:val="single" w:sz="8" w:space="0" w:color="auto"/>
              <w:bottom w:val="single" w:sz="4" w:space="0" w:color="auto"/>
              <w:right w:val="single" w:sz="4" w:space="0" w:color="auto"/>
            </w:tcBorders>
            <w:shd w:val="clear" w:color="auto" w:fill="ED7D31" w:themeFill="accent2"/>
            <w:vAlign w:val="center"/>
            <w:hideMark/>
          </w:tcPr>
          <w:p w14:paraId="2ECD16C9" w14:textId="77777777" w:rsidR="002356DD" w:rsidRPr="002356DD" w:rsidRDefault="002356DD" w:rsidP="002356DD">
            <w:pPr>
              <w:spacing w:after="0" w:line="240" w:lineRule="auto"/>
              <w:rPr>
                <w:rFonts w:ascii="Calibri" w:eastAsia="Times New Roman" w:hAnsi="Calibri" w:cs="Calibri"/>
                <w:b/>
                <w:bCs/>
                <w:color w:val="FFFFFF"/>
                <w:sz w:val="24"/>
                <w:szCs w:val="24"/>
                <w:lang w:eastAsia="pt-BR"/>
              </w:rPr>
            </w:pPr>
            <w:r w:rsidRPr="002356DD">
              <w:rPr>
                <w:rFonts w:ascii="Calibri" w:eastAsia="Times New Roman" w:hAnsi="Calibri" w:cs="Calibri"/>
                <w:b/>
                <w:bCs/>
                <w:color w:val="FFFFFF"/>
                <w:sz w:val="24"/>
                <w:szCs w:val="24"/>
                <w:lang w:eastAsia="pt-BR"/>
              </w:rPr>
              <w:t>Assegurar a eficácia no relacionamento e comunicação com a sociedade</w:t>
            </w:r>
          </w:p>
        </w:tc>
        <w:tc>
          <w:tcPr>
            <w:tcW w:w="6833" w:type="dxa"/>
            <w:gridSpan w:val="2"/>
            <w:tcBorders>
              <w:top w:val="single" w:sz="4" w:space="0" w:color="auto"/>
              <w:left w:val="nil"/>
              <w:bottom w:val="single" w:sz="4" w:space="0" w:color="auto"/>
              <w:right w:val="single" w:sz="4" w:space="0" w:color="auto"/>
            </w:tcBorders>
            <w:shd w:val="clear" w:color="auto" w:fill="ED7D31" w:themeFill="accent2"/>
            <w:vAlign w:val="center"/>
            <w:hideMark/>
          </w:tcPr>
          <w:p w14:paraId="0CEFF24B" w14:textId="77777777" w:rsidR="002356DD" w:rsidRPr="002356DD" w:rsidRDefault="002356DD" w:rsidP="002356DD">
            <w:pPr>
              <w:spacing w:after="0" w:line="240" w:lineRule="auto"/>
              <w:jc w:val="center"/>
              <w:rPr>
                <w:rFonts w:ascii="Calibri" w:eastAsia="Times New Roman" w:hAnsi="Calibri" w:cs="Calibri"/>
                <w:b/>
                <w:bCs/>
                <w:color w:val="FFFFFF"/>
                <w:sz w:val="24"/>
                <w:szCs w:val="24"/>
                <w:lang w:eastAsia="pt-BR"/>
              </w:rPr>
            </w:pPr>
            <w:r w:rsidRPr="002356DD">
              <w:rPr>
                <w:rFonts w:ascii="Calibri" w:eastAsia="Times New Roman" w:hAnsi="Calibri" w:cs="Calibri"/>
                <w:b/>
                <w:bCs/>
                <w:color w:val="FFFFFF"/>
                <w:sz w:val="24"/>
                <w:szCs w:val="24"/>
                <w:lang w:eastAsia="pt-BR"/>
              </w:rPr>
              <w:t xml:space="preserve">Fórmula </w:t>
            </w:r>
          </w:p>
        </w:tc>
        <w:tc>
          <w:tcPr>
            <w:tcW w:w="1843" w:type="dxa"/>
            <w:tcBorders>
              <w:top w:val="single" w:sz="4" w:space="0" w:color="auto"/>
              <w:left w:val="nil"/>
              <w:bottom w:val="single" w:sz="4" w:space="0" w:color="auto"/>
              <w:right w:val="single" w:sz="4" w:space="0" w:color="auto"/>
            </w:tcBorders>
            <w:shd w:val="clear" w:color="auto" w:fill="ED7D31" w:themeFill="accent2"/>
            <w:vAlign w:val="center"/>
            <w:hideMark/>
          </w:tcPr>
          <w:p w14:paraId="6C2ECF7B" w14:textId="77777777" w:rsidR="002356DD" w:rsidRPr="002356DD" w:rsidRDefault="002356DD" w:rsidP="002356DD">
            <w:pPr>
              <w:spacing w:after="0" w:line="240" w:lineRule="auto"/>
              <w:jc w:val="center"/>
              <w:rPr>
                <w:rFonts w:ascii="Calibri" w:eastAsia="Times New Roman" w:hAnsi="Calibri" w:cs="Calibri"/>
                <w:b/>
                <w:bCs/>
                <w:color w:val="FFFFFF"/>
                <w:sz w:val="24"/>
                <w:szCs w:val="24"/>
                <w:lang w:eastAsia="pt-BR"/>
              </w:rPr>
            </w:pPr>
            <w:r w:rsidRPr="002356DD">
              <w:rPr>
                <w:rFonts w:ascii="Calibri" w:eastAsia="Times New Roman" w:hAnsi="Calibri" w:cs="Calibri"/>
                <w:b/>
                <w:bCs/>
                <w:color w:val="FFFFFF"/>
                <w:sz w:val="24"/>
                <w:szCs w:val="24"/>
                <w:lang w:eastAsia="pt-BR"/>
              </w:rPr>
              <w:t xml:space="preserve">Periodicidade </w:t>
            </w:r>
          </w:p>
        </w:tc>
        <w:tc>
          <w:tcPr>
            <w:tcW w:w="1843" w:type="dxa"/>
            <w:tcBorders>
              <w:top w:val="single" w:sz="4" w:space="0" w:color="auto"/>
              <w:left w:val="nil"/>
              <w:bottom w:val="single" w:sz="4" w:space="0" w:color="auto"/>
              <w:right w:val="single" w:sz="8" w:space="0" w:color="auto"/>
            </w:tcBorders>
            <w:shd w:val="clear" w:color="auto" w:fill="ED7D31" w:themeFill="accent2"/>
            <w:vAlign w:val="center"/>
            <w:hideMark/>
          </w:tcPr>
          <w:p w14:paraId="5ADA9047" w14:textId="77777777" w:rsidR="002356DD" w:rsidRPr="002356DD" w:rsidRDefault="002356DD" w:rsidP="002356DD">
            <w:pPr>
              <w:spacing w:after="0" w:line="240" w:lineRule="auto"/>
              <w:jc w:val="center"/>
              <w:rPr>
                <w:rFonts w:ascii="Calibri" w:eastAsia="Times New Roman" w:hAnsi="Calibri" w:cs="Calibri"/>
                <w:b/>
                <w:bCs/>
                <w:color w:val="FFFFFF"/>
                <w:sz w:val="24"/>
                <w:szCs w:val="24"/>
                <w:lang w:eastAsia="pt-BR"/>
              </w:rPr>
            </w:pPr>
            <w:r w:rsidRPr="002356DD">
              <w:rPr>
                <w:rFonts w:ascii="Calibri" w:eastAsia="Times New Roman" w:hAnsi="Calibri" w:cs="Calibri"/>
                <w:b/>
                <w:bCs/>
                <w:color w:val="FFFFFF"/>
                <w:sz w:val="24"/>
                <w:szCs w:val="24"/>
                <w:lang w:eastAsia="pt-BR"/>
              </w:rPr>
              <w:t>ÁREA</w:t>
            </w:r>
          </w:p>
        </w:tc>
      </w:tr>
      <w:tr w:rsidR="00BB3850" w:rsidRPr="002356DD" w14:paraId="3197E31E" w14:textId="77777777" w:rsidTr="00BB3850">
        <w:trPr>
          <w:trHeight w:val="787"/>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11BC0ACD" w14:textId="77777777"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Índice de seguidores do CAU/BR nas Redes Sociais</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619D6EF3" w14:textId="77777777" w:rsidR="00543F75"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 xml:space="preserve">Quantidade de seguidores do CAU/BR nas Redes Sociais </w:t>
            </w:r>
          </w:p>
          <w:p w14:paraId="75F71D61" w14:textId="3B0FA0ED"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(Instagram,</w:t>
            </w:r>
            <w:r w:rsidR="00543F75">
              <w:rPr>
                <w:rFonts w:ascii="Calibri" w:eastAsia="Times New Roman" w:hAnsi="Calibri" w:cs="Calibri"/>
                <w:sz w:val="24"/>
                <w:szCs w:val="24"/>
                <w:lang w:eastAsia="pt-BR"/>
              </w:rPr>
              <w:t xml:space="preserve"> </w:t>
            </w:r>
            <w:r w:rsidRPr="002356DD">
              <w:rPr>
                <w:rFonts w:ascii="Calibri" w:eastAsia="Times New Roman" w:hAnsi="Calibri" w:cs="Calibri"/>
                <w:sz w:val="24"/>
                <w:szCs w:val="24"/>
                <w:lang w:eastAsia="pt-BR"/>
              </w:rPr>
              <w:t>Facebook,</w:t>
            </w:r>
            <w:r w:rsidR="00543F75">
              <w:rPr>
                <w:rFonts w:ascii="Calibri" w:eastAsia="Times New Roman" w:hAnsi="Calibri" w:cs="Calibri"/>
                <w:sz w:val="24"/>
                <w:szCs w:val="24"/>
                <w:lang w:eastAsia="pt-BR"/>
              </w:rPr>
              <w:t xml:space="preserve"> </w:t>
            </w:r>
            <w:r w:rsidRPr="002356DD">
              <w:rPr>
                <w:rFonts w:ascii="Calibri" w:eastAsia="Times New Roman" w:hAnsi="Calibri" w:cs="Calibri"/>
                <w:sz w:val="24"/>
                <w:szCs w:val="24"/>
                <w:lang w:eastAsia="pt-BR"/>
              </w:rPr>
              <w:t>Youtube,</w:t>
            </w:r>
            <w:r w:rsidR="00543F75">
              <w:rPr>
                <w:rFonts w:ascii="Calibri" w:eastAsia="Times New Roman" w:hAnsi="Calibri" w:cs="Calibri"/>
                <w:sz w:val="24"/>
                <w:szCs w:val="24"/>
                <w:lang w:eastAsia="pt-BR"/>
              </w:rPr>
              <w:t xml:space="preserve"> </w:t>
            </w:r>
            <w:r w:rsidRPr="002356DD">
              <w:rPr>
                <w:rFonts w:ascii="Calibri" w:eastAsia="Times New Roman" w:hAnsi="Calibri" w:cs="Calibri"/>
                <w:sz w:val="24"/>
                <w:szCs w:val="24"/>
                <w:lang w:eastAsia="pt-BR"/>
              </w:rPr>
              <w:t>Twitter)</w:t>
            </w:r>
          </w:p>
        </w:tc>
        <w:tc>
          <w:tcPr>
            <w:tcW w:w="1843" w:type="dxa"/>
            <w:tcBorders>
              <w:top w:val="nil"/>
              <w:left w:val="nil"/>
              <w:bottom w:val="single" w:sz="4" w:space="0" w:color="auto"/>
              <w:right w:val="single" w:sz="4" w:space="0" w:color="auto"/>
            </w:tcBorders>
            <w:shd w:val="clear" w:color="000000" w:fill="FFFFFF"/>
            <w:vAlign w:val="center"/>
            <w:hideMark/>
          </w:tcPr>
          <w:p w14:paraId="242F1A4F"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3E111D25"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736E5C78" w14:textId="77777777" w:rsidTr="00BB3850">
        <w:trPr>
          <w:trHeight w:val="982"/>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2AF0C519" w14:textId="77777777"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Índice de visualizações das publicações do CAU/BR das redes sociais</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71C629B2"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Quantidade de visualizações das publicações do CAU/BR das redes sociais (Facebook + Stories FB, Instagram + Stories Instagram, Youtube e Twitter)</w:t>
            </w:r>
          </w:p>
        </w:tc>
        <w:tc>
          <w:tcPr>
            <w:tcW w:w="1843" w:type="dxa"/>
            <w:tcBorders>
              <w:top w:val="nil"/>
              <w:left w:val="nil"/>
              <w:bottom w:val="single" w:sz="4" w:space="0" w:color="auto"/>
              <w:right w:val="single" w:sz="4" w:space="0" w:color="auto"/>
            </w:tcBorders>
            <w:shd w:val="clear" w:color="000000" w:fill="FFFFFF"/>
            <w:vAlign w:val="center"/>
            <w:hideMark/>
          </w:tcPr>
          <w:p w14:paraId="5A3A74CB"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0F9F7594"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79A70AB3" w14:textId="77777777" w:rsidTr="00BB3850">
        <w:trPr>
          <w:trHeight w:val="699"/>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6BDE6027" w14:textId="77777777"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Acessos à página do CAU (Qtd.)</w:t>
            </w:r>
            <w:r w:rsidRPr="002356DD">
              <w:rPr>
                <w:rFonts w:ascii="Calibri" w:eastAsia="Times New Roman" w:hAnsi="Calibri" w:cs="Calibri"/>
                <w:sz w:val="24"/>
                <w:szCs w:val="24"/>
                <w:lang w:eastAsia="pt-BR"/>
              </w:rPr>
              <w:br/>
            </w:r>
            <w:r w:rsidRPr="002356DD">
              <w:rPr>
                <w:rFonts w:ascii="Calibri" w:eastAsia="Times New Roman" w:hAnsi="Calibri" w:cs="Calibri"/>
                <w:b/>
                <w:bCs/>
                <w:sz w:val="24"/>
                <w:szCs w:val="24"/>
                <w:lang w:eastAsia="pt-BR"/>
              </w:rPr>
              <w:t>(CAU/BR)</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4D1B9C0C"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 xml:space="preserve">Quantidade de acessos qualificados (visitantes únicos) a página do CAU (site) </w:t>
            </w:r>
          </w:p>
        </w:tc>
        <w:tc>
          <w:tcPr>
            <w:tcW w:w="1843" w:type="dxa"/>
            <w:tcBorders>
              <w:top w:val="nil"/>
              <w:left w:val="nil"/>
              <w:bottom w:val="single" w:sz="4" w:space="0" w:color="auto"/>
              <w:right w:val="single" w:sz="4" w:space="0" w:color="auto"/>
            </w:tcBorders>
            <w:shd w:val="clear" w:color="auto" w:fill="auto"/>
            <w:vAlign w:val="center"/>
            <w:hideMark/>
          </w:tcPr>
          <w:p w14:paraId="373E5725"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6DA1F7A9"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45E26516" w14:textId="77777777" w:rsidTr="00BB3850">
        <w:trPr>
          <w:trHeight w:val="709"/>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18525C0E" w14:textId="14F67B3E"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Índice dos acessos totais das visualizações às páginas do CAU/BR</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2AA255A3" w14:textId="4EE2A701"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Quantidade totais de páginas acessadas por todos os usuários</w:t>
            </w:r>
          </w:p>
        </w:tc>
        <w:tc>
          <w:tcPr>
            <w:tcW w:w="1843" w:type="dxa"/>
            <w:tcBorders>
              <w:top w:val="nil"/>
              <w:left w:val="nil"/>
              <w:bottom w:val="single" w:sz="4" w:space="0" w:color="auto"/>
              <w:right w:val="single" w:sz="4" w:space="0" w:color="auto"/>
            </w:tcBorders>
            <w:shd w:val="clear" w:color="000000" w:fill="FFFFFF"/>
            <w:vAlign w:val="center"/>
            <w:hideMark/>
          </w:tcPr>
          <w:p w14:paraId="30BC0BCF"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391DC384"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24A6208C" w14:textId="77777777" w:rsidTr="00BB3850">
        <w:trPr>
          <w:trHeight w:val="550"/>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194CD76F" w14:textId="4E6170DC"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Índice de publicações de matérias pelo CAU/BR</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33F17A04" w14:textId="2D8E7D16"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Quantidade de reportagens e conteúdos publicados no site</w:t>
            </w:r>
          </w:p>
        </w:tc>
        <w:tc>
          <w:tcPr>
            <w:tcW w:w="1843" w:type="dxa"/>
            <w:tcBorders>
              <w:top w:val="nil"/>
              <w:left w:val="nil"/>
              <w:bottom w:val="single" w:sz="4" w:space="0" w:color="auto"/>
              <w:right w:val="single" w:sz="4" w:space="0" w:color="auto"/>
            </w:tcBorders>
            <w:shd w:val="clear" w:color="000000" w:fill="FFFFFF"/>
            <w:vAlign w:val="center"/>
            <w:hideMark/>
          </w:tcPr>
          <w:p w14:paraId="51E2CA3D"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04755763"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0EF7167C" w14:textId="77777777" w:rsidTr="00BB3850">
        <w:trPr>
          <w:trHeight w:val="556"/>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143B5B73" w14:textId="77777777"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 xml:space="preserve">Índice do alcance das edições dos clippings enviados </w:t>
            </w:r>
          </w:p>
        </w:tc>
        <w:tc>
          <w:tcPr>
            <w:tcW w:w="6833" w:type="dxa"/>
            <w:gridSpan w:val="2"/>
            <w:tcBorders>
              <w:top w:val="single" w:sz="4" w:space="0" w:color="auto"/>
              <w:left w:val="nil"/>
              <w:bottom w:val="single" w:sz="4" w:space="0" w:color="auto"/>
              <w:right w:val="single" w:sz="4" w:space="0" w:color="000000"/>
            </w:tcBorders>
            <w:shd w:val="clear" w:color="000000" w:fill="FFFFFF"/>
            <w:vAlign w:val="center"/>
            <w:hideMark/>
          </w:tcPr>
          <w:p w14:paraId="44301448" w14:textId="79453569"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 xml:space="preserve">Quantidade de visualizações dos clippings enviados </w:t>
            </w:r>
          </w:p>
        </w:tc>
        <w:tc>
          <w:tcPr>
            <w:tcW w:w="1843" w:type="dxa"/>
            <w:tcBorders>
              <w:top w:val="nil"/>
              <w:left w:val="nil"/>
              <w:bottom w:val="single" w:sz="4" w:space="0" w:color="auto"/>
              <w:right w:val="single" w:sz="4" w:space="0" w:color="auto"/>
            </w:tcBorders>
            <w:shd w:val="clear" w:color="000000" w:fill="FFFFFF"/>
            <w:vAlign w:val="center"/>
            <w:hideMark/>
          </w:tcPr>
          <w:p w14:paraId="0386EF44"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6A95C6C3"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0D096BDE" w14:textId="77777777" w:rsidTr="00BB3850">
        <w:trPr>
          <w:trHeight w:val="665"/>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38265F40" w14:textId="77777777"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Índice do alcance das campanhas por e-mail marketing</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3320E9AD" w14:textId="214F541C"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Quantidade de visualizações de campanhas enviadas por e-mail marketing</w:t>
            </w:r>
          </w:p>
        </w:tc>
        <w:tc>
          <w:tcPr>
            <w:tcW w:w="1843" w:type="dxa"/>
            <w:tcBorders>
              <w:top w:val="nil"/>
              <w:left w:val="nil"/>
              <w:bottom w:val="single" w:sz="4" w:space="0" w:color="auto"/>
              <w:right w:val="single" w:sz="4" w:space="0" w:color="auto"/>
            </w:tcBorders>
            <w:shd w:val="clear" w:color="000000" w:fill="FFFFFF"/>
            <w:vAlign w:val="center"/>
            <w:hideMark/>
          </w:tcPr>
          <w:p w14:paraId="10B15A02"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7ED6AF20"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336E68BB" w14:textId="77777777" w:rsidTr="00BB3850">
        <w:trPr>
          <w:trHeight w:val="419"/>
        </w:trPr>
        <w:tc>
          <w:tcPr>
            <w:tcW w:w="5074" w:type="dxa"/>
            <w:vMerge w:val="restart"/>
            <w:tcBorders>
              <w:top w:val="nil"/>
              <w:left w:val="single" w:sz="8" w:space="0" w:color="auto"/>
              <w:bottom w:val="single" w:sz="4" w:space="0" w:color="auto"/>
              <w:right w:val="single" w:sz="4" w:space="0" w:color="auto"/>
            </w:tcBorders>
            <w:shd w:val="clear" w:color="000000" w:fill="FFFFFF"/>
            <w:vAlign w:val="center"/>
            <w:hideMark/>
          </w:tcPr>
          <w:p w14:paraId="3D7BE643" w14:textId="744C7E15"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Índice de aproveitamento</w:t>
            </w:r>
            <w:r w:rsidR="00BB3850">
              <w:rPr>
                <w:rFonts w:ascii="Calibri" w:eastAsia="Times New Roman" w:hAnsi="Calibri" w:cs="Calibri"/>
                <w:sz w:val="24"/>
                <w:szCs w:val="24"/>
                <w:lang w:eastAsia="pt-BR"/>
              </w:rPr>
              <w:t xml:space="preserve"> </w:t>
            </w:r>
            <w:r w:rsidRPr="002356DD">
              <w:rPr>
                <w:rFonts w:ascii="Calibri" w:eastAsia="Times New Roman" w:hAnsi="Calibri" w:cs="Calibri"/>
                <w:sz w:val="24"/>
                <w:szCs w:val="24"/>
                <w:lang w:eastAsia="pt-BR"/>
              </w:rPr>
              <w:t xml:space="preserve">de publicações dos releases do CAU  </w:t>
            </w:r>
          </w:p>
        </w:tc>
        <w:tc>
          <w:tcPr>
            <w:tcW w:w="5841" w:type="dxa"/>
            <w:tcBorders>
              <w:top w:val="nil"/>
              <w:left w:val="nil"/>
              <w:bottom w:val="single" w:sz="4" w:space="0" w:color="auto"/>
              <w:right w:val="nil"/>
            </w:tcBorders>
            <w:shd w:val="clear" w:color="000000" w:fill="FFFFFF"/>
            <w:vAlign w:val="bottom"/>
            <w:hideMark/>
          </w:tcPr>
          <w:p w14:paraId="553D5E2C"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número releases publicados pela mídia</w:t>
            </w:r>
          </w:p>
        </w:tc>
        <w:tc>
          <w:tcPr>
            <w:tcW w:w="992" w:type="dxa"/>
            <w:vMerge w:val="restart"/>
            <w:tcBorders>
              <w:top w:val="nil"/>
              <w:left w:val="nil"/>
              <w:bottom w:val="single" w:sz="4" w:space="0" w:color="000000"/>
              <w:right w:val="single" w:sz="4" w:space="0" w:color="auto"/>
            </w:tcBorders>
            <w:shd w:val="clear" w:color="auto" w:fill="auto"/>
            <w:vAlign w:val="center"/>
            <w:hideMark/>
          </w:tcPr>
          <w:p w14:paraId="2E52A2EA"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x 100</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40B82F"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vMerge w:val="restart"/>
            <w:tcBorders>
              <w:top w:val="nil"/>
              <w:left w:val="single" w:sz="4" w:space="0" w:color="auto"/>
              <w:bottom w:val="single" w:sz="4" w:space="0" w:color="000000"/>
              <w:right w:val="single" w:sz="8" w:space="0" w:color="auto"/>
            </w:tcBorders>
            <w:shd w:val="clear" w:color="auto" w:fill="auto"/>
            <w:vAlign w:val="center"/>
            <w:hideMark/>
          </w:tcPr>
          <w:p w14:paraId="54E6C05C"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70FAF510" w14:textId="77777777" w:rsidTr="00BB3850">
        <w:trPr>
          <w:trHeight w:val="412"/>
        </w:trPr>
        <w:tc>
          <w:tcPr>
            <w:tcW w:w="5074" w:type="dxa"/>
            <w:vMerge/>
            <w:tcBorders>
              <w:top w:val="nil"/>
              <w:left w:val="single" w:sz="8" w:space="0" w:color="auto"/>
              <w:bottom w:val="single" w:sz="4" w:space="0" w:color="auto"/>
              <w:right w:val="single" w:sz="4" w:space="0" w:color="auto"/>
            </w:tcBorders>
            <w:vAlign w:val="center"/>
            <w:hideMark/>
          </w:tcPr>
          <w:p w14:paraId="2DB4A993" w14:textId="77777777" w:rsidR="002356DD" w:rsidRPr="002356DD" w:rsidRDefault="002356DD" w:rsidP="002356DD">
            <w:pPr>
              <w:spacing w:after="0" w:line="240" w:lineRule="auto"/>
              <w:rPr>
                <w:rFonts w:ascii="Calibri" w:eastAsia="Times New Roman" w:hAnsi="Calibri" w:cs="Calibri"/>
                <w:sz w:val="24"/>
                <w:szCs w:val="24"/>
                <w:lang w:eastAsia="pt-BR"/>
              </w:rPr>
            </w:pPr>
          </w:p>
        </w:tc>
        <w:tc>
          <w:tcPr>
            <w:tcW w:w="5841" w:type="dxa"/>
            <w:tcBorders>
              <w:top w:val="nil"/>
              <w:left w:val="nil"/>
              <w:bottom w:val="single" w:sz="4" w:space="0" w:color="auto"/>
              <w:right w:val="nil"/>
            </w:tcBorders>
            <w:shd w:val="clear" w:color="000000" w:fill="FFFFFF"/>
            <w:hideMark/>
          </w:tcPr>
          <w:p w14:paraId="06DA2580" w14:textId="141CF7E1"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 xml:space="preserve">número releases distribuídos na mídia </w:t>
            </w:r>
          </w:p>
        </w:tc>
        <w:tc>
          <w:tcPr>
            <w:tcW w:w="992" w:type="dxa"/>
            <w:vMerge/>
            <w:tcBorders>
              <w:top w:val="nil"/>
              <w:left w:val="nil"/>
              <w:bottom w:val="single" w:sz="4" w:space="0" w:color="000000"/>
              <w:right w:val="single" w:sz="4" w:space="0" w:color="auto"/>
            </w:tcBorders>
            <w:vAlign w:val="center"/>
            <w:hideMark/>
          </w:tcPr>
          <w:p w14:paraId="79DD62B5" w14:textId="77777777" w:rsidR="002356DD" w:rsidRPr="002356DD" w:rsidRDefault="002356DD" w:rsidP="002356DD">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auto"/>
              <w:bottom w:val="single" w:sz="4" w:space="0" w:color="auto"/>
              <w:right w:val="single" w:sz="4" w:space="0" w:color="auto"/>
            </w:tcBorders>
            <w:vAlign w:val="center"/>
            <w:hideMark/>
          </w:tcPr>
          <w:p w14:paraId="3D20B756" w14:textId="77777777" w:rsidR="002356DD" w:rsidRPr="002356DD" w:rsidRDefault="002356DD" w:rsidP="002356DD">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auto"/>
              <w:bottom w:val="single" w:sz="4" w:space="0" w:color="000000"/>
              <w:right w:val="single" w:sz="8" w:space="0" w:color="auto"/>
            </w:tcBorders>
            <w:vAlign w:val="center"/>
            <w:hideMark/>
          </w:tcPr>
          <w:p w14:paraId="2B262234" w14:textId="77777777" w:rsidR="002356DD" w:rsidRPr="002356DD" w:rsidRDefault="002356DD" w:rsidP="002356DD">
            <w:pPr>
              <w:spacing w:after="0" w:line="240" w:lineRule="auto"/>
              <w:rPr>
                <w:rFonts w:ascii="Calibri" w:eastAsia="Times New Roman" w:hAnsi="Calibri" w:cs="Calibri"/>
                <w:color w:val="000000"/>
                <w:sz w:val="24"/>
                <w:szCs w:val="24"/>
                <w:lang w:eastAsia="pt-BR"/>
              </w:rPr>
            </w:pPr>
          </w:p>
        </w:tc>
      </w:tr>
      <w:tr w:rsidR="00BB3850" w:rsidRPr="002356DD" w14:paraId="6EA9B565" w14:textId="77777777" w:rsidTr="00BB3850">
        <w:trPr>
          <w:trHeight w:val="842"/>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66984E49" w14:textId="77777777"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 xml:space="preserve">Índice do alcance das campanhas publicitárias  </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7C0040E0" w14:textId="0569C5DC"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Quantidade de Audiências totais das campanhas de publicidade do CAU/BR ((Dia do Arquiteto, Arquitetos pela Ética, etc.) nos diversos meios de comunicação, como: TV Aberta, TV Fechada, Rádio, Internet, Outdoor, Mobiliário Urbano)</w:t>
            </w:r>
          </w:p>
        </w:tc>
        <w:tc>
          <w:tcPr>
            <w:tcW w:w="1843" w:type="dxa"/>
            <w:tcBorders>
              <w:top w:val="nil"/>
              <w:left w:val="nil"/>
              <w:bottom w:val="single" w:sz="4" w:space="0" w:color="auto"/>
              <w:right w:val="single" w:sz="4" w:space="0" w:color="auto"/>
            </w:tcBorders>
            <w:shd w:val="clear" w:color="000000" w:fill="FFFFFF"/>
            <w:vAlign w:val="center"/>
            <w:hideMark/>
          </w:tcPr>
          <w:p w14:paraId="30C5C2F8"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2DD565A8"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bl>
    <w:p w14:paraId="7DC853AD" w14:textId="13B0D687" w:rsidR="00220040" w:rsidRPr="004719E1" w:rsidRDefault="00843EF2" w:rsidP="00DA6229">
      <w:pPr>
        <w:spacing w:after="0"/>
        <w:ind w:left="-567"/>
        <w:rPr>
          <w:b/>
        </w:rPr>
      </w:pPr>
      <w:r w:rsidRPr="004719E1">
        <w:rPr>
          <w:b/>
        </w:rPr>
        <w:t>ANEXO II</w:t>
      </w:r>
      <w:r w:rsidR="00600A7B" w:rsidRPr="004719E1">
        <w:rPr>
          <w:b/>
        </w:rPr>
        <w:t>.e</w:t>
      </w:r>
      <w:r w:rsidRPr="004719E1">
        <w:rPr>
          <w:b/>
        </w:rPr>
        <w:t xml:space="preserve"> – </w:t>
      </w:r>
      <w:r w:rsidR="00AF1B4D" w:rsidRPr="004719E1">
        <w:rPr>
          <w:rFonts w:asciiTheme="majorHAnsi" w:eastAsia="Arial Unicode MS" w:hAnsiTheme="majorHAnsi" w:cstheme="majorBidi"/>
          <w:b/>
        </w:rPr>
        <w:t>Indicadores Institucionais e de Resultado- CAU</w:t>
      </w:r>
      <w:r w:rsidR="002636BB" w:rsidRPr="004719E1">
        <w:rPr>
          <w:rFonts w:asciiTheme="majorHAnsi" w:eastAsia="Arial Unicode MS" w:hAnsiTheme="majorHAnsi" w:cstheme="majorBidi"/>
          <w:b/>
        </w:rPr>
        <w:t>/</w:t>
      </w:r>
      <w:r w:rsidR="00AF1B4D" w:rsidRPr="004719E1">
        <w:rPr>
          <w:rFonts w:asciiTheme="majorHAnsi" w:eastAsia="Arial Unicode MS" w:hAnsiTheme="majorHAnsi" w:cstheme="majorBidi"/>
          <w:b/>
        </w:rPr>
        <w:t>BR</w:t>
      </w:r>
    </w:p>
    <w:tbl>
      <w:tblPr>
        <w:tblW w:w="15593" w:type="dxa"/>
        <w:tblInd w:w="-577" w:type="dxa"/>
        <w:tblCellMar>
          <w:left w:w="70" w:type="dxa"/>
          <w:right w:w="70" w:type="dxa"/>
        </w:tblCellMar>
        <w:tblLook w:val="04A0" w:firstRow="1" w:lastRow="0" w:firstColumn="1" w:lastColumn="0" w:noHBand="0" w:noVBand="1"/>
      </w:tblPr>
      <w:tblGrid>
        <w:gridCol w:w="5103"/>
        <w:gridCol w:w="6096"/>
        <w:gridCol w:w="765"/>
        <w:gridCol w:w="1786"/>
        <w:gridCol w:w="1843"/>
      </w:tblGrid>
      <w:tr w:rsidR="00DA6229" w:rsidRPr="00DA6229" w14:paraId="35677C1D" w14:textId="77777777" w:rsidTr="00335B2F">
        <w:trPr>
          <w:trHeight w:val="1590"/>
        </w:trPr>
        <w:tc>
          <w:tcPr>
            <w:tcW w:w="5103" w:type="dxa"/>
            <w:tcBorders>
              <w:top w:val="single" w:sz="4" w:space="0" w:color="000000"/>
              <w:left w:val="single" w:sz="8" w:space="0" w:color="auto"/>
              <w:bottom w:val="single" w:sz="4" w:space="0" w:color="000000"/>
              <w:right w:val="single" w:sz="4" w:space="0" w:color="auto"/>
            </w:tcBorders>
            <w:shd w:val="clear" w:color="auto" w:fill="ED7D31" w:themeFill="accent2"/>
            <w:vAlign w:val="center"/>
            <w:hideMark/>
          </w:tcPr>
          <w:p w14:paraId="60088DED" w14:textId="77777777" w:rsidR="00DA6229" w:rsidRPr="00DA6229" w:rsidRDefault="00DA6229" w:rsidP="00DA6229">
            <w:pPr>
              <w:spacing w:after="0" w:line="240" w:lineRule="auto"/>
              <w:rPr>
                <w:rFonts w:ascii="Calibri" w:eastAsia="Times New Roman" w:hAnsi="Calibri" w:cs="Calibri"/>
                <w:b/>
                <w:bCs/>
                <w:color w:val="FFFFFF"/>
                <w:sz w:val="24"/>
                <w:szCs w:val="24"/>
                <w:lang w:eastAsia="pt-BR"/>
              </w:rPr>
            </w:pPr>
            <w:r w:rsidRPr="00DA6229">
              <w:rPr>
                <w:rFonts w:ascii="Calibri" w:eastAsia="Times New Roman" w:hAnsi="Calibri" w:cs="Calibri"/>
                <w:b/>
                <w:bCs/>
                <w:color w:val="FFFFFF"/>
                <w:sz w:val="24"/>
                <w:szCs w:val="24"/>
                <w:lang w:eastAsia="pt-BR"/>
              </w:rPr>
              <w:t>Promover o exercício ético e qualificado da profissão</w:t>
            </w:r>
          </w:p>
        </w:tc>
        <w:tc>
          <w:tcPr>
            <w:tcW w:w="6861" w:type="dxa"/>
            <w:gridSpan w:val="2"/>
            <w:tcBorders>
              <w:top w:val="single" w:sz="4" w:space="0" w:color="000000"/>
              <w:left w:val="nil"/>
              <w:bottom w:val="single" w:sz="4" w:space="0" w:color="000000"/>
              <w:right w:val="single" w:sz="4" w:space="0" w:color="808080"/>
            </w:tcBorders>
            <w:shd w:val="clear" w:color="auto" w:fill="ED7D31" w:themeFill="accent2"/>
            <w:vAlign w:val="center"/>
            <w:hideMark/>
          </w:tcPr>
          <w:p w14:paraId="4339A7DF" w14:textId="77777777" w:rsidR="00DA6229" w:rsidRPr="00DA6229" w:rsidRDefault="00DA6229" w:rsidP="00DA6229">
            <w:pPr>
              <w:spacing w:after="0" w:line="240" w:lineRule="auto"/>
              <w:jc w:val="center"/>
              <w:rPr>
                <w:rFonts w:ascii="Calibri" w:eastAsia="Times New Roman" w:hAnsi="Calibri" w:cs="Calibri"/>
                <w:b/>
                <w:bCs/>
                <w:color w:val="FFFFFF"/>
                <w:sz w:val="24"/>
                <w:szCs w:val="24"/>
                <w:lang w:eastAsia="pt-BR"/>
              </w:rPr>
            </w:pPr>
            <w:r w:rsidRPr="00DA6229">
              <w:rPr>
                <w:rFonts w:ascii="Calibri" w:eastAsia="Times New Roman" w:hAnsi="Calibri" w:cs="Calibri"/>
                <w:b/>
                <w:bCs/>
                <w:color w:val="FFFFFF"/>
                <w:sz w:val="24"/>
                <w:szCs w:val="24"/>
                <w:lang w:eastAsia="pt-BR"/>
              </w:rPr>
              <w:t xml:space="preserve">Fórmula </w:t>
            </w:r>
          </w:p>
        </w:tc>
        <w:tc>
          <w:tcPr>
            <w:tcW w:w="1786" w:type="dxa"/>
            <w:tcBorders>
              <w:top w:val="single" w:sz="4" w:space="0" w:color="000000"/>
              <w:left w:val="single" w:sz="4" w:space="0" w:color="auto"/>
              <w:bottom w:val="single" w:sz="4" w:space="0" w:color="000000"/>
              <w:right w:val="single" w:sz="4" w:space="0" w:color="auto"/>
            </w:tcBorders>
            <w:shd w:val="clear" w:color="auto" w:fill="ED7D31" w:themeFill="accent2"/>
            <w:vAlign w:val="center"/>
            <w:hideMark/>
          </w:tcPr>
          <w:p w14:paraId="15E9E9A2" w14:textId="77777777" w:rsidR="00DA6229" w:rsidRPr="00DA6229" w:rsidRDefault="00DA6229" w:rsidP="00DA6229">
            <w:pPr>
              <w:spacing w:after="0" w:line="240" w:lineRule="auto"/>
              <w:jc w:val="center"/>
              <w:rPr>
                <w:rFonts w:ascii="Calibri" w:eastAsia="Times New Roman" w:hAnsi="Calibri" w:cs="Calibri"/>
                <w:b/>
                <w:bCs/>
                <w:color w:val="FFFFFF"/>
                <w:sz w:val="24"/>
                <w:szCs w:val="24"/>
                <w:lang w:eastAsia="pt-BR"/>
              </w:rPr>
            </w:pPr>
            <w:r w:rsidRPr="00DA6229">
              <w:rPr>
                <w:rFonts w:ascii="Calibri" w:eastAsia="Times New Roman" w:hAnsi="Calibri" w:cs="Calibri"/>
                <w:b/>
                <w:bCs/>
                <w:color w:val="FFFFFF"/>
                <w:sz w:val="24"/>
                <w:szCs w:val="24"/>
                <w:lang w:eastAsia="pt-BR"/>
              </w:rPr>
              <w:t xml:space="preserve">Periodicidade </w:t>
            </w:r>
          </w:p>
        </w:tc>
        <w:tc>
          <w:tcPr>
            <w:tcW w:w="1843" w:type="dxa"/>
            <w:tcBorders>
              <w:top w:val="nil"/>
              <w:left w:val="nil"/>
              <w:bottom w:val="single" w:sz="4" w:space="0" w:color="000000"/>
              <w:right w:val="single" w:sz="8" w:space="0" w:color="auto"/>
            </w:tcBorders>
            <w:shd w:val="clear" w:color="auto" w:fill="ED7D31" w:themeFill="accent2"/>
            <w:vAlign w:val="center"/>
            <w:hideMark/>
          </w:tcPr>
          <w:p w14:paraId="49B4BA9A" w14:textId="77777777" w:rsidR="00DA6229" w:rsidRPr="00DA6229" w:rsidRDefault="00DA6229" w:rsidP="00DA6229">
            <w:pPr>
              <w:spacing w:after="0" w:line="240" w:lineRule="auto"/>
              <w:jc w:val="center"/>
              <w:rPr>
                <w:rFonts w:ascii="Calibri" w:eastAsia="Times New Roman" w:hAnsi="Calibri" w:cs="Calibri"/>
                <w:b/>
                <w:bCs/>
                <w:color w:val="FFFFFF"/>
                <w:sz w:val="24"/>
                <w:szCs w:val="24"/>
                <w:lang w:eastAsia="pt-BR"/>
              </w:rPr>
            </w:pPr>
            <w:r w:rsidRPr="00DA6229">
              <w:rPr>
                <w:rFonts w:ascii="Calibri" w:eastAsia="Times New Roman" w:hAnsi="Calibri" w:cs="Calibri"/>
                <w:b/>
                <w:bCs/>
                <w:color w:val="FFFFFF"/>
                <w:sz w:val="24"/>
                <w:szCs w:val="24"/>
                <w:lang w:eastAsia="pt-BR"/>
              </w:rPr>
              <w:t>ÁREA</w:t>
            </w:r>
          </w:p>
        </w:tc>
      </w:tr>
      <w:tr w:rsidR="00DA6229" w:rsidRPr="00DA6229" w14:paraId="7B360B4E" w14:textId="77777777" w:rsidTr="00DA6229">
        <w:trPr>
          <w:trHeight w:val="787"/>
        </w:trPr>
        <w:tc>
          <w:tcPr>
            <w:tcW w:w="5103" w:type="dxa"/>
            <w:vMerge w:val="restart"/>
            <w:tcBorders>
              <w:top w:val="nil"/>
              <w:left w:val="single" w:sz="8" w:space="0" w:color="auto"/>
              <w:bottom w:val="single" w:sz="4" w:space="0" w:color="auto"/>
              <w:right w:val="single" w:sz="4" w:space="0" w:color="auto"/>
            </w:tcBorders>
            <w:shd w:val="clear" w:color="F2F2F2" w:fill="FFFFFF"/>
            <w:vAlign w:val="center"/>
            <w:hideMark/>
          </w:tcPr>
          <w:p w14:paraId="5E113A07" w14:textId="0AE05E8E" w:rsidR="00DA6229" w:rsidRPr="00DA6229" w:rsidRDefault="00DA6229" w:rsidP="00DA6229">
            <w:pPr>
              <w:spacing w:after="0" w:line="240" w:lineRule="auto"/>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Índice de eficiência na conclusão de processos éticos (%)</w:t>
            </w:r>
            <w:r w:rsidRPr="00DA6229">
              <w:rPr>
                <w:rFonts w:ascii="Calibri" w:eastAsia="Times New Roman" w:hAnsi="Calibri" w:cs="Calibri"/>
                <w:sz w:val="24"/>
                <w:szCs w:val="24"/>
                <w:lang w:eastAsia="pt-BR"/>
              </w:rPr>
              <w:br/>
            </w:r>
            <w:r w:rsidRPr="00DA6229">
              <w:rPr>
                <w:rFonts w:ascii="Calibri" w:eastAsia="Times New Roman" w:hAnsi="Calibri" w:cs="Calibri"/>
                <w:b/>
                <w:bCs/>
                <w:sz w:val="24"/>
                <w:szCs w:val="24"/>
                <w:lang w:eastAsia="pt-BR"/>
              </w:rPr>
              <w:t>(CAU/BR)</w:t>
            </w:r>
          </w:p>
        </w:tc>
        <w:tc>
          <w:tcPr>
            <w:tcW w:w="6096" w:type="dxa"/>
            <w:tcBorders>
              <w:top w:val="nil"/>
              <w:left w:val="nil"/>
              <w:bottom w:val="single" w:sz="4" w:space="0" w:color="auto"/>
              <w:right w:val="nil"/>
            </w:tcBorders>
            <w:shd w:val="clear" w:color="F2F2F2" w:fill="FFFFFF"/>
            <w:vAlign w:val="bottom"/>
            <w:hideMark/>
          </w:tcPr>
          <w:p w14:paraId="55EC020C"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 xml:space="preserve">número de processos éticos concluídos em um ano            </w:t>
            </w:r>
          </w:p>
        </w:tc>
        <w:tc>
          <w:tcPr>
            <w:tcW w:w="765" w:type="dxa"/>
            <w:vMerge w:val="restart"/>
            <w:tcBorders>
              <w:top w:val="nil"/>
              <w:left w:val="nil"/>
              <w:bottom w:val="single" w:sz="4" w:space="0" w:color="000000"/>
              <w:right w:val="single" w:sz="4" w:space="0" w:color="auto"/>
            </w:tcBorders>
            <w:shd w:val="clear" w:color="000000" w:fill="FFFFFF"/>
            <w:vAlign w:val="center"/>
            <w:hideMark/>
          </w:tcPr>
          <w:p w14:paraId="5A176897"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1447B7"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Anual</w:t>
            </w:r>
          </w:p>
        </w:tc>
        <w:tc>
          <w:tcPr>
            <w:tcW w:w="1843" w:type="dxa"/>
            <w:vMerge w:val="restart"/>
            <w:tcBorders>
              <w:top w:val="nil"/>
              <w:left w:val="single" w:sz="4" w:space="0" w:color="auto"/>
              <w:bottom w:val="single" w:sz="4" w:space="0" w:color="000000"/>
              <w:right w:val="single" w:sz="8" w:space="0" w:color="auto"/>
            </w:tcBorders>
            <w:shd w:val="clear" w:color="auto" w:fill="auto"/>
            <w:vAlign w:val="center"/>
            <w:hideMark/>
          </w:tcPr>
          <w:p w14:paraId="58100FAC" w14:textId="77777777" w:rsidR="00DA6229" w:rsidRPr="00DA6229" w:rsidRDefault="00DA6229" w:rsidP="00DA6229">
            <w:pPr>
              <w:spacing w:after="0" w:line="240" w:lineRule="auto"/>
              <w:jc w:val="center"/>
              <w:rPr>
                <w:rFonts w:ascii="Calibri" w:eastAsia="Times New Roman" w:hAnsi="Calibri" w:cs="Calibri"/>
                <w:color w:val="000000"/>
                <w:sz w:val="24"/>
                <w:szCs w:val="24"/>
                <w:lang w:eastAsia="pt-BR"/>
              </w:rPr>
            </w:pPr>
            <w:r w:rsidRPr="00DA6229">
              <w:rPr>
                <w:rFonts w:ascii="Calibri" w:eastAsia="Times New Roman" w:hAnsi="Calibri" w:cs="Calibri"/>
                <w:color w:val="000000"/>
                <w:sz w:val="24"/>
                <w:szCs w:val="24"/>
                <w:lang w:eastAsia="pt-BR"/>
              </w:rPr>
              <w:t>CED</w:t>
            </w:r>
          </w:p>
        </w:tc>
      </w:tr>
      <w:tr w:rsidR="00DA6229" w:rsidRPr="00DA6229" w14:paraId="437195EC" w14:textId="77777777" w:rsidTr="00600A7B">
        <w:trPr>
          <w:trHeight w:val="698"/>
        </w:trPr>
        <w:tc>
          <w:tcPr>
            <w:tcW w:w="5103" w:type="dxa"/>
            <w:vMerge/>
            <w:tcBorders>
              <w:top w:val="nil"/>
              <w:left w:val="single" w:sz="8" w:space="0" w:color="auto"/>
              <w:bottom w:val="single" w:sz="4" w:space="0" w:color="auto"/>
              <w:right w:val="single" w:sz="4" w:space="0" w:color="auto"/>
            </w:tcBorders>
            <w:vAlign w:val="center"/>
            <w:hideMark/>
          </w:tcPr>
          <w:p w14:paraId="635C96A9"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auto"/>
              <w:right w:val="nil"/>
            </w:tcBorders>
            <w:shd w:val="clear" w:color="F2F2F2" w:fill="FFFFFF"/>
            <w:hideMark/>
          </w:tcPr>
          <w:p w14:paraId="720CBDD0"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 xml:space="preserve">número total de processos éticos abertos                                                  </w:t>
            </w:r>
          </w:p>
        </w:tc>
        <w:tc>
          <w:tcPr>
            <w:tcW w:w="765" w:type="dxa"/>
            <w:vMerge/>
            <w:tcBorders>
              <w:top w:val="nil"/>
              <w:left w:val="nil"/>
              <w:bottom w:val="single" w:sz="4" w:space="0" w:color="auto"/>
              <w:right w:val="single" w:sz="4" w:space="0" w:color="auto"/>
            </w:tcBorders>
            <w:vAlign w:val="center"/>
            <w:hideMark/>
          </w:tcPr>
          <w:p w14:paraId="6DDACE65"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7E2CE004"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auto"/>
              <w:bottom w:val="single" w:sz="4" w:space="0" w:color="000000"/>
              <w:right w:val="single" w:sz="8" w:space="0" w:color="auto"/>
            </w:tcBorders>
            <w:vAlign w:val="center"/>
            <w:hideMark/>
          </w:tcPr>
          <w:p w14:paraId="1A9AE5E1" w14:textId="77777777" w:rsidR="00DA6229" w:rsidRPr="00DA6229" w:rsidRDefault="00DA6229" w:rsidP="00DA6229">
            <w:pPr>
              <w:spacing w:after="0" w:line="240" w:lineRule="auto"/>
              <w:rPr>
                <w:rFonts w:ascii="Calibri" w:eastAsia="Times New Roman" w:hAnsi="Calibri" w:cs="Calibri"/>
                <w:color w:val="000000"/>
                <w:sz w:val="24"/>
                <w:szCs w:val="24"/>
                <w:lang w:eastAsia="pt-BR"/>
              </w:rPr>
            </w:pPr>
          </w:p>
        </w:tc>
      </w:tr>
      <w:tr w:rsidR="00DA6229" w:rsidRPr="00DA6229" w14:paraId="0D5C6DAD" w14:textId="77777777" w:rsidTr="00600A7B">
        <w:trPr>
          <w:trHeight w:val="900"/>
        </w:trPr>
        <w:tc>
          <w:tcPr>
            <w:tcW w:w="5103" w:type="dxa"/>
            <w:vMerge w:val="restart"/>
            <w:tcBorders>
              <w:top w:val="nil"/>
              <w:left w:val="single" w:sz="8" w:space="0" w:color="auto"/>
              <w:bottom w:val="single" w:sz="4" w:space="0" w:color="auto"/>
              <w:right w:val="single" w:sz="4" w:space="0" w:color="auto"/>
            </w:tcBorders>
            <w:shd w:val="clear" w:color="000000" w:fill="FFFFFF"/>
            <w:vAlign w:val="center"/>
            <w:hideMark/>
          </w:tcPr>
          <w:p w14:paraId="77914683" w14:textId="5337811C" w:rsidR="00DA6229" w:rsidRPr="00DA6229" w:rsidRDefault="00DA6229" w:rsidP="00DA6229">
            <w:pPr>
              <w:spacing w:after="0" w:line="240" w:lineRule="auto"/>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Eficiência no trâmite de processos éticos (dias)</w:t>
            </w:r>
            <w:r w:rsidRPr="00DA6229">
              <w:rPr>
                <w:rFonts w:ascii="Calibri" w:eastAsia="Times New Roman" w:hAnsi="Calibri" w:cs="Calibri"/>
                <w:sz w:val="24"/>
                <w:szCs w:val="24"/>
                <w:lang w:eastAsia="pt-BR"/>
              </w:rPr>
              <w:br/>
            </w:r>
            <w:r w:rsidRPr="00DA6229">
              <w:rPr>
                <w:rFonts w:ascii="Calibri" w:eastAsia="Times New Roman" w:hAnsi="Calibri" w:cs="Calibri"/>
                <w:b/>
                <w:bCs/>
                <w:sz w:val="24"/>
                <w:szCs w:val="24"/>
                <w:lang w:eastAsia="pt-BR"/>
              </w:rPr>
              <w:t>(CAU/BR)</w:t>
            </w:r>
          </w:p>
        </w:tc>
        <w:tc>
          <w:tcPr>
            <w:tcW w:w="6861" w:type="dxa"/>
            <w:gridSpan w:val="2"/>
            <w:tcBorders>
              <w:top w:val="single" w:sz="4" w:space="0" w:color="auto"/>
              <w:left w:val="nil"/>
              <w:bottom w:val="single" w:sz="4" w:space="0" w:color="auto"/>
              <w:right w:val="single" w:sz="4" w:space="0" w:color="auto"/>
            </w:tcBorders>
            <w:shd w:val="clear" w:color="000000" w:fill="FFFFFF"/>
            <w:vAlign w:val="bottom"/>
            <w:hideMark/>
          </w:tcPr>
          <w:p w14:paraId="1B4B103F"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tempo médio de conclusão de processos éticos</w:t>
            </w:r>
            <w:r w:rsidRPr="00DA6229">
              <w:rPr>
                <w:rFonts w:ascii="Calibri" w:eastAsia="Times New Roman" w:hAnsi="Calibri" w:cs="Calibri"/>
                <w:b/>
                <w:bCs/>
                <w:sz w:val="24"/>
                <w:szCs w:val="24"/>
                <w:lang w:eastAsia="pt-BR"/>
              </w:rPr>
              <w:t xml:space="preserve">                                                  </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BAEFB8"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Anual</w:t>
            </w:r>
          </w:p>
        </w:tc>
        <w:tc>
          <w:tcPr>
            <w:tcW w:w="1843" w:type="dxa"/>
            <w:vMerge w:val="restart"/>
            <w:tcBorders>
              <w:top w:val="nil"/>
              <w:left w:val="single" w:sz="4" w:space="0" w:color="auto"/>
              <w:bottom w:val="single" w:sz="4" w:space="0" w:color="000000"/>
              <w:right w:val="single" w:sz="8" w:space="0" w:color="auto"/>
            </w:tcBorders>
            <w:shd w:val="clear" w:color="auto" w:fill="auto"/>
            <w:vAlign w:val="center"/>
            <w:hideMark/>
          </w:tcPr>
          <w:p w14:paraId="038B2D7B" w14:textId="77777777" w:rsidR="00DA6229" w:rsidRPr="00DA6229" w:rsidRDefault="00DA6229" w:rsidP="00DA6229">
            <w:pPr>
              <w:spacing w:after="0" w:line="240" w:lineRule="auto"/>
              <w:jc w:val="center"/>
              <w:rPr>
                <w:rFonts w:ascii="Calibri" w:eastAsia="Times New Roman" w:hAnsi="Calibri" w:cs="Calibri"/>
                <w:color w:val="000000"/>
                <w:sz w:val="24"/>
                <w:szCs w:val="24"/>
                <w:lang w:eastAsia="pt-BR"/>
              </w:rPr>
            </w:pPr>
            <w:r w:rsidRPr="00DA6229">
              <w:rPr>
                <w:rFonts w:ascii="Calibri" w:eastAsia="Times New Roman" w:hAnsi="Calibri" w:cs="Calibri"/>
                <w:color w:val="000000"/>
                <w:sz w:val="24"/>
                <w:szCs w:val="24"/>
                <w:lang w:eastAsia="pt-BR"/>
              </w:rPr>
              <w:t>CED</w:t>
            </w:r>
          </w:p>
        </w:tc>
      </w:tr>
      <w:tr w:rsidR="00DA6229" w:rsidRPr="00DA6229" w14:paraId="5D630AE0" w14:textId="77777777" w:rsidTr="00600A7B">
        <w:trPr>
          <w:trHeight w:val="763"/>
        </w:trPr>
        <w:tc>
          <w:tcPr>
            <w:tcW w:w="5103" w:type="dxa"/>
            <w:vMerge/>
            <w:tcBorders>
              <w:top w:val="nil"/>
              <w:left w:val="single" w:sz="8" w:space="0" w:color="auto"/>
              <w:bottom w:val="single" w:sz="4" w:space="0" w:color="auto"/>
              <w:right w:val="single" w:sz="4" w:space="0" w:color="auto"/>
            </w:tcBorders>
            <w:vAlign w:val="center"/>
            <w:hideMark/>
          </w:tcPr>
          <w:p w14:paraId="2DE83CD9"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6861" w:type="dxa"/>
            <w:gridSpan w:val="2"/>
            <w:tcBorders>
              <w:top w:val="single" w:sz="4" w:space="0" w:color="auto"/>
              <w:left w:val="nil"/>
              <w:bottom w:val="single" w:sz="4" w:space="0" w:color="000000"/>
              <w:right w:val="single" w:sz="4" w:space="0" w:color="000000"/>
            </w:tcBorders>
            <w:shd w:val="clear" w:color="000000" w:fill="FFFFFF"/>
            <w:hideMark/>
          </w:tcPr>
          <w:p w14:paraId="417310BF"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 xml:space="preserve">tempo máximo para conclusão de processo                   </w:t>
            </w:r>
          </w:p>
        </w:tc>
        <w:tc>
          <w:tcPr>
            <w:tcW w:w="1786" w:type="dxa"/>
            <w:vMerge/>
            <w:tcBorders>
              <w:top w:val="nil"/>
              <w:left w:val="single" w:sz="4" w:space="0" w:color="auto"/>
              <w:bottom w:val="single" w:sz="4" w:space="0" w:color="000000"/>
              <w:right w:val="single" w:sz="4" w:space="0" w:color="auto"/>
            </w:tcBorders>
            <w:vAlign w:val="center"/>
            <w:hideMark/>
          </w:tcPr>
          <w:p w14:paraId="765646E6"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auto"/>
              <w:bottom w:val="single" w:sz="4" w:space="0" w:color="000000"/>
              <w:right w:val="single" w:sz="8" w:space="0" w:color="auto"/>
            </w:tcBorders>
            <w:vAlign w:val="center"/>
            <w:hideMark/>
          </w:tcPr>
          <w:p w14:paraId="66EAEBC0" w14:textId="77777777" w:rsidR="00DA6229" w:rsidRPr="00DA6229" w:rsidRDefault="00DA6229" w:rsidP="00DA6229">
            <w:pPr>
              <w:spacing w:after="0" w:line="240" w:lineRule="auto"/>
              <w:rPr>
                <w:rFonts w:ascii="Calibri" w:eastAsia="Times New Roman" w:hAnsi="Calibri" w:cs="Calibri"/>
                <w:color w:val="000000"/>
                <w:sz w:val="24"/>
                <w:szCs w:val="24"/>
                <w:lang w:eastAsia="pt-BR"/>
              </w:rPr>
            </w:pPr>
          </w:p>
        </w:tc>
      </w:tr>
      <w:tr w:rsidR="00DA6229" w:rsidRPr="00DA6229" w14:paraId="2B16AE53" w14:textId="77777777" w:rsidTr="00DA6229">
        <w:trPr>
          <w:trHeight w:val="860"/>
        </w:trPr>
        <w:tc>
          <w:tcPr>
            <w:tcW w:w="5103"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3BA52352" w14:textId="77777777" w:rsidR="00DA6229" w:rsidRPr="00DA6229" w:rsidRDefault="00DA6229" w:rsidP="00DA6229">
            <w:pPr>
              <w:spacing w:after="0" w:line="240" w:lineRule="auto"/>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 xml:space="preserve">Índice de adesão aos treinamentos da CED </w:t>
            </w:r>
          </w:p>
        </w:tc>
        <w:tc>
          <w:tcPr>
            <w:tcW w:w="6096" w:type="dxa"/>
            <w:tcBorders>
              <w:top w:val="nil"/>
              <w:left w:val="nil"/>
              <w:bottom w:val="single" w:sz="4" w:space="0" w:color="000000"/>
              <w:right w:val="nil"/>
            </w:tcBorders>
            <w:shd w:val="clear" w:color="000000" w:fill="FFFFFF"/>
            <w:vAlign w:val="bottom"/>
            <w:hideMark/>
          </w:tcPr>
          <w:p w14:paraId="4948C280"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 xml:space="preserve">Quantidade dos participantes </w:t>
            </w:r>
          </w:p>
        </w:tc>
        <w:tc>
          <w:tcPr>
            <w:tcW w:w="765" w:type="dxa"/>
            <w:vMerge w:val="restart"/>
            <w:tcBorders>
              <w:top w:val="nil"/>
              <w:left w:val="nil"/>
              <w:bottom w:val="single" w:sz="4" w:space="0" w:color="000000"/>
              <w:right w:val="single" w:sz="4" w:space="0" w:color="auto"/>
            </w:tcBorders>
            <w:shd w:val="clear" w:color="000000" w:fill="FFFFFF"/>
            <w:vAlign w:val="center"/>
            <w:hideMark/>
          </w:tcPr>
          <w:p w14:paraId="075A8DCF"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FEE17E"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Anual</w:t>
            </w:r>
          </w:p>
        </w:tc>
        <w:tc>
          <w:tcPr>
            <w:tcW w:w="1843" w:type="dxa"/>
            <w:vMerge w:val="restart"/>
            <w:tcBorders>
              <w:top w:val="nil"/>
              <w:left w:val="single" w:sz="4" w:space="0" w:color="auto"/>
              <w:bottom w:val="single" w:sz="4" w:space="0" w:color="000000"/>
              <w:right w:val="single" w:sz="8" w:space="0" w:color="auto"/>
            </w:tcBorders>
            <w:shd w:val="clear" w:color="auto" w:fill="auto"/>
            <w:vAlign w:val="center"/>
            <w:hideMark/>
          </w:tcPr>
          <w:p w14:paraId="481D6774" w14:textId="77777777" w:rsidR="00DA6229" w:rsidRPr="00DA6229" w:rsidRDefault="00DA6229" w:rsidP="00DA6229">
            <w:pPr>
              <w:spacing w:after="0" w:line="240" w:lineRule="auto"/>
              <w:jc w:val="center"/>
              <w:rPr>
                <w:rFonts w:ascii="Calibri" w:eastAsia="Times New Roman" w:hAnsi="Calibri" w:cs="Calibri"/>
                <w:color w:val="000000"/>
                <w:sz w:val="24"/>
                <w:szCs w:val="24"/>
                <w:lang w:eastAsia="pt-BR"/>
              </w:rPr>
            </w:pPr>
            <w:r w:rsidRPr="00DA6229">
              <w:rPr>
                <w:rFonts w:ascii="Calibri" w:eastAsia="Times New Roman" w:hAnsi="Calibri" w:cs="Calibri"/>
                <w:color w:val="000000"/>
                <w:sz w:val="24"/>
                <w:szCs w:val="24"/>
                <w:lang w:eastAsia="pt-BR"/>
              </w:rPr>
              <w:t>CED</w:t>
            </w:r>
          </w:p>
        </w:tc>
      </w:tr>
      <w:tr w:rsidR="00DA6229" w:rsidRPr="00DA6229" w14:paraId="2B0DD5E5" w14:textId="77777777" w:rsidTr="00DA6229">
        <w:trPr>
          <w:trHeight w:val="703"/>
        </w:trPr>
        <w:tc>
          <w:tcPr>
            <w:tcW w:w="5103" w:type="dxa"/>
            <w:vMerge/>
            <w:tcBorders>
              <w:top w:val="nil"/>
              <w:left w:val="single" w:sz="8" w:space="0" w:color="auto"/>
              <w:bottom w:val="single" w:sz="4" w:space="0" w:color="000000"/>
              <w:right w:val="single" w:sz="4" w:space="0" w:color="auto"/>
            </w:tcBorders>
            <w:vAlign w:val="center"/>
            <w:hideMark/>
          </w:tcPr>
          <w:p w14:paraId="202A702F"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000000"/>
              <w:right w:val="nil"/>
            </w:tcBorders>
            <w:shd w:val="clear" w:color="000000" w:fill="FFFFFF"/>
            <w:hideMark/>
          </w:tcPr>
          <w:p w14:paraId="171E803C"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Quantidade do público alvo dos treinamentos</w:t>
            </w:r>
          </w:p>
        </w:tc>
        <w:tc>
          <w:tcPr>
            <w:tcW w:w="765" w:type="dxa"/>
            <w:vMerge/>
            <w:tcBorders>
              <w:top w:val="nil"/>
              <w:left w:val="nil"/>
              <w:bottom w:val="single" w:sz="4" w:space="0" w:color="000000"/>
              <w:right w:val="single" w:sz="4" w:space="0" w:color="auto"/>
            </w:tcBorders>
            <w:vAlign w:val="center"/>
            <w:hideMark/>
          </w:tcPr>
          <w:p w14:paraId="082A4A61"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597410C7"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auto"/>
              <w:bottom w:val="single" w:sz="4" w:space="0" w:color="000000"/>
              <w:right w:val="single" w:sz="8" w:space="0" w:color="auto"/>
            </w:tcBorders>
            <w:vAlign w:val="center"/>
            <w:hideMark/>
          </w:tcPr>
          <w:p w14:paraId="54B47C35" w14:textId="77777777" w:rsidR="00DA6229" w:rsidRPr="00DA6229" w:rsidRDefault="00DA6229" w:rsidP="00DA6229">
            <w:pPr>
              <w:spacing w:after="0" w:line="240" w:lineRule="auto"/>
              <w:rPr>
                <w:rFonts w:ascii="Calibri" w:eastAsia="Times New Roman" w:hAnsi="Calibri" w:cs="Calibri"/>
                <w:color w:val="000000"/>
                <w:sz w:val="24"/>
                <w:szCs w:val="24"/>
                <w:lang w:eastAsia="pt-BR"/>
              </w:rPr>
            </w:pPr>
          </w:p>
        </w:tc>
      </w:tr>
      <w:tr w:rsidR="00DA6229" w:rsidRPr="00DA6229" w14:paraId="4D1C871E" w14:textId="77777777" w:rsidTr="00DA6229">
        <w:trPr>
          <w:trHeight w:val="900"/>
        </w:trPr>
        <w:tc>
          <w:tcPr>
            <w:tcW w:w="5103"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CD38776" w14:textId="196E725C" w:rsidR="00DA6229" w:rsidRPr="00DA6229" w:rsidRDefault="00DA6229" w:rsidP="00DA6229">
            <w:pPr>
              <w:spacing w:after="0" w:line="240" w:lineRule="auto"/>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Índice de adesão aos Seminários (regionais e nacional) da CED</w:t>
            </w:r>
          </w:p>
        </w:tc>
        <w:tc>
          <w:tcPr>
            <w:tcW w:w="6096" w:type="dxa"/>
            <w:tcBorders>
              <w:top w:val="nil"/>
              <w:left w:val="nil"/>
              <w:bottom w:val="single" w:sz="4" w:space="0" w:color="000000"/>
              <w:right w:val="nil"/>
            </w:tcBorders>
            <w:shd w:val="clear" w:color="000000" w:fill="FFFFFF"/>
            <w:vAlign w:val="bottom"/>
            <w:hideMark/>
          </w:tcPr>
          <w:p w14:paraId="6A008877"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 xml:space="preserve">Quantidade dos participantes </w:t>
            </w:r>
          </w:p>
        </w:tc>
        <w:tc>
          <w:tcPr>
            <w:tcW w:w="765" w:type="dxa"/>
            <w:vMerge w:val="restart"/>
            <w:tcBorders>
              <w:top w:val="nil"/>
              <w:left w:val="nil"/>
              <w:bottom w:val="single" w:sz="4" w:space="0" w:color="000000"/>
              <w:right w:val="single" w:sz="4" w:space="0" w:color="auto"/>
            </w:tcBorders>
            <w:shd w:val="clear" w:color="000000" w:fill="FFFFFF"/>
            <w:vAlign w:val="center"/>
            <w:hideMark/>
          </w:tcPr>
          <w:p w14:paraId="31802BD3"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1E1B64"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Anual</w:t>
            </w:r>
          </w:p>
        </w:tc>
        <w:tc>
          <w:tcPr>
            <w:tcW w:w="1843" w:type="dxa"/>
            <w:vMerge w:val="restart"/>
            <w:tcBorders>
              <w:top w:val="nil"/>
              <w:left w:val="single" w:sz="4" w:space="0" w:color="auto"/>
              <w:bottom w:val="single" w:sz="4" w:space="0" w:color="000000"/>
              <w:right w:val="single" w:sz="8" w:space="0" w:color="auto"/>
            </w:tcBorders>
            <w:shd w:val="clear" w:color="auto" w:fill="auto"/>
            <w:vAlign w:val="center"/>
            <w:hideMark/>
          </w:tcPr>
          <w:p w14:paraId="270D87B9" w14:textId="77777777" w:rsidR="00DA6229" w:rsidRPr="00DA6229" w:rsidRDefault="00DA6229" w:rsidP="00DA6229">
            <w:pPr>
              <w:spacing w:after="0" w:line="240" w:lineRule="auto"/>
              <w:jc w:val="center"/>
              <w:rPr>
                <w:rFonts w:ascii="Calibri" w:eastAsia="Times New Roman" w:hAnsi="Calibri" w:cs="Calibri"/>
                <w:color w:val="000000"/>
                <w:sz w:val="24"/>
                <w:szCs w:val="24"/>
                <w:lang w:eastAsia="pt-BR"/>
              </w:rPr>
            </w:pPr>
            <w:r w:rsidRPr="00DA6229">
              <w:rPr>
                <w:rFonts w:ascii="Calibri" w:eastAsia="Times New Roman" w:hAnsi="Calibri" w:cs="Calibri"/>
                <w:color w:val="000000"/>
                <w:sz w:val="24"/>
                <w:szCs w:val="24"/>
                <w:lang w:eastAsia="pt-BR"/>
              </w:rPr>
              <w:t>CED</w:t>
            </w:r>
          </w:p>
        </w:tc>
      </w:tr>
      <w:tr w:rsidR="00DA6229" w:rsidRPr="00DA6229" w14:paraId="01768828" w14:textId="77777777" w:rsidTr="00DA6229">
        <w:trPr>
          <w:trHeight w:val="783"/>
        </w:trPr>
        <w:tc>
          <w:tcPr>
            <w:tcW w:w="5103" w:type="dxa"/>
            <w:vMerge/>
            <w:tcBorders>
              <w:top w:val="nil"/>
              <w:left w:val="single" w:sz="8" w:space="0" w:color="auto"/>
              <w:bottom w:val="single" w:sz="4" w:space="0" w:color="000000"/>
              <w:right w:val="single" w:sz="4" w:space="0" w:color="auto"/>
            </w:tcBorders>
            <w:vAlign w:val="center"/>
            <w:hideMark/>
          </w:tcPr>
          <w:p w14:paraId="5A786B9B"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000000"/>
              <w:right w:val="nil"/>
            </w:tcBorders>
            <w:shd w:val="clear" w:color="000000" w:fill="FFFFFF"/>
            <w:hideMark/>
          </w:tcPr>
          <w:p w14:paraId="58C4EDC0"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Quantidade do público alvo dos seminários</w:t>
            </w:r>
          </w:p>
        </w:tc>
        <w:tc>
          <w:tcPr>
            <w:tcW w:w="765" w:type="dxa"/>
            <w:vMerge/>
            <w:tcBorders>
              <w:top w:val="nil"/>
              <w:left w:val="nil"/>
              <w:bottom w:val="single" w:sz="4" w:space="0" w:color="000000"/>
              <w:right w:val="single" w:sz="4" w:space="0" w:color="auto"/>
            </w:tcBorders>
            <w:vAlign w:val="center"/>
            <w:hideMark/>
          </w:tcPr>
          <w:p w14:paraId="15E1D3CA"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1386BB96"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auto"/>
              <w:bottom w:val="single" w:sz="4" w:space="0" w:color="000000"/>
              <w:right w:val="single" w:sz="8" w:space="0" w:color="auto"/>
            </w:tcBorders>
            <w:vAlign w:val="center"/>
            <w:hideMark/>
          </w:tcPr>
          <w:p w14:paraId="32D71CBF" w14:textId="77777777" w:rsidR="00DA6229" w:rsidRPr="00DA6229" w:rsidRDefault="00DA6229" w:rsidP="00DA6229">
            <w:pPr>
              <w:spacing w:after="0" w:line="240" w:lineRule="auto"/>
              <w:rPr>
                <w:rFonts w:ascii="Calibri" w:eastAsia="Times New Roman" w:hAnsi="Calibri" w:cs="Calibri"/>
                <w:color w:val="000000"/>
                <w:sz w:val="24"/>
                <w:szCs w:val="24"/>
                <w:lang w:eastAsia="pt-BR"/>
              </w:rPr>
            </w:pPr>
          </w:p>
        </w:tc>
      </w:tr>
    </w:tbl>
    <w:p w14:paraId="7DC853AE" w14:textId="134ABF91" w:rsidR="00A72DFF" w:rsidRPr="00843EF2" w:rsidRDefault="00A72DFF" w:rsidP="00220040">
      <w:pPr>
        <w:rPr>
          <w:b/>
        </w:rPr>
      </w:pPr>
    </w:p>
    <w:p w14:paraId="1A0FC594" w14:textId="0694C3C0" w:rsidR="006E0A19" w:rsidRPr="004719E1" w:rsidRDefault="00A146DF" w:rsidP="005D0C67">
      <w:pPr>
        <w:spacing w:after="0" w:line="240" w:lineRule="auto"/>
        <w:ind w:left="-567"/>
        <w:rPr>
          <w:rFonts w:asciiTheme="majorHAnsi" w:eastAsia="Arial Unicode MS" w:hAnsiTheme="majorHAnsi" w:cstheme="majorBidi"/>
          <w:b/>
        </w:rPr>
      </w:pPr>
      <w:r w:rsidRPr="004719E1">
        <w:rPr>
          <w:b/>
        </w:rPr>
        <w:t>ANEXO II</w:t>
      </w:r>
      <w:r w:rsidR="00600A7B" w:rsidRPr="004719E1">
        <w:rPr>
          <w:b/>
        </w:rPr>
        <w:t>.f</w:t>
      </w:r>
      <w:r w:rsidRPr="004719E1">
        <w:rPr>
          <w:b/>
        </w:rPr>
        <w:t xml:space="preserve"> – </w:t>
      </w:r>
      <w:r w:rsidR="00AF1B4D" w:rsidRPr="004719E1">
        <w:rPr>
          <w:rFonts w:asciiTheme="majorHAnsi" w:eastAsia="Arial Unicode MS" w:hAnsiTheme="majorHAnsi" w:cstheme="majorBidi"/>
          <w:b/>
        </w:rPr>
        <w:t>Indicadores Institucionais e de Resultado- CAU</w:t>
      </w:r>
      <w:r w:rsidR="002636BB" w:rsidRPr="004719E1">
        <w:rPr>
          <w:rFonts w:asciiTheme="majorHAnsi" w:eastAsia="Arial Unicode MS" w:hAnsiTheme="majorHAnsi" w:cstheme="majorBidi"/>
          <w:b/>
        </w:rPr>
        <w:t>/</w:t>
      </w:r>
      <w:r w:rsidR="00AF1B4D" w:rsidRPr="004719E1">
        <w:rPr>
          <w:rFonts w:asciiTheme="majorHAnsi" w:eastAsia="Arial Unicode MS" w:hAnsiTheme="majorHAnsi" w:cstheme="majorBidi"/>
          <w:b/>
        </w:rPr>
        <w:t>BR</w:t>
      </w:r>
    </w:p>
    <w:tbl>
      <w:tblPr>
        <w:tblW w:w="15593" w:type="dxa"/>
        <w:tblInd w:w="-577" w:type="dxa"/>
        <w:tblCellMar>
          <w:left w:w="70" w:type="dxa"/>
          <w:right w:w="70" w:type="dxa"/>
        </w:tblCellMar>
        <w:tblLook w:val="04A0" w:firstRow="1" w:lastRow="0" w:firstColumn="1" w:lastColumn="0" w:noHBand="0" w:noVBand="1"/>
      </w:tblPr>
      <w:tblGrid>
        <w:gridCol w:w="5387"/>
        <w:gridCol w:w="5528"/>
        <w:gridCol w:w="993"/>
        <w:gridCol w:w="6"/>
        <w:gridCol w:w="1695"/>
        <w:gridCol w:w="6"/>
        <w:gridCol w:w="1978"/>
      </w:tblGrid>
      <w:tr w:rsidR="002B7E2B" w:rsidRPr="005D0C67" w14:paraId="381A936E" w14:textId="77777777" w:rsidTr="00335B2F">
        <w:trPr>
          <w:trHeight w:val="1590"/>
        </w:trPr>
        <w:tc>
          <w:tcPr>
            <w:tcW w:w="5387" w:type="dxa"/>
            <w:tcBorders>
              <w:top w:val="single" w:sz="4" w:space="0" w:color="000000"/>
              <w:left w:val="single" w:sz="8" w:space="0" w:color="auto"/>
              <w:bottom w:val="single" w:sz="4" w:space="0" w:color="000000"/>
              <w:right w:val="single" w:sz="4" w:space="0" w:color="auto"/>
            </w:tcBorders>
            <w:shd w:val="clear" w:color="auto" w:fill="ED7D31" w:themeFill="accent2"/>
            <w:vAlign w:val="center"/>
            <w:hideMark/>
          </w:tcPr>
          <w:p w14:paraId="06ED9796" w14:textId="77777777" w:rsidR="005D0C67" w:rsidRPr="005D0C67" w:rsidRDefault="005D0C67" w:rsidP="005D0C67">
            <w:pPr>
              <w:spacing w:after="0" w:line="240" w:lineRule="auto"/>
              <w:rPr>
                <w:rFonts w:ascii="Calibri" w:eastAsia="Times New Roman" w:hAnsi="Calibri" w:cs="Calibri"/>
                <w:b/>
                <w:bCs/>
                <w:color w:val="FFFFFF"/>
                <w:sz w:val="24"/>
                <w:szCs w:val="24"/>
                <w:lang w:eastAsia="pt-BR"/>
              </w:rPr>
            </w:pPr>
            <w:r w:rsidRPr="005D0C67">
              <w:rPr>
                <w:rFonts w:ascii="Calibri" w:eastAsia="Times New Roman" w:hAnsi="Calibri" w:cs="Calibri"/>
                <w:b/>
                <w:bCs/>
                <w:color w:val="FFFFFF"/>
                <w:sz w:val="24"/>
                <w:szCs w:val="24"/>
                <w:lang w:eastAsia="pt-BR"/>
              </w:rPr>
              <w:t>Assegurar a sustentabilidade financeira</w:t>
            </w:r>
          </w:p>
        </w:tc>
        <w:tc>
          <w:tcPr>
            <w:tcW w:w="6527" w:type="dxa"/>
            <w:gridSpan w:val="3"/>
            <w:tcBorders>
              <w:top w:val="single" w:sz="4" w:space="0" w:color="000000"/>
              <w:left w:val="nil"/>
              <w:bottom w:val="single" w:sz="4" w:space="0" w:color="000000"/>
              <w:right w:val="single" w:sz="4" w:space="0" w:color="auto"/>
            </w:tcBorders>
            <w:shd w:val="clear" w:color="auto" w:fill="ED7D31" w:themeFill="accent2"/>
            <w:vAlign w:val="center"/>
            <w:hideMark/>
          </w:tcPr>
          <w:p w14:paraId="63DD18DA" w14:textId="77777777" w:rsidR="005D0C67" w:rsidRPr="005D0C67" w:rsidRDefault="005D0C67" w:rsidP="005D0C67">
            <w:pPr>
              <w:spacing w:after="0" w:line="240" w:lineRule="auto"/>
              <w:jc w:val="center"/>
              <w:rPr>
                <w:rFonts w:ascii="Calibri" w:eastAsia="Times New Roman" w:hAnsi="Calibri" w:cs="Calibri"/>
                <w:b/>
                <w:bCs/>
                <w:color w:val="FFFFFF"/>
                <w:sz w:val="24"/>
                <w:szCs w:val="24"/>
                <w:lang w:eastAsia="pt-BR"/>
              </w:rPr>
            </w:pPr>
            <w:r w:rsidRPr="005D0C67">
              <w:rPr>
                <w:rFonts w:ascii="Calibri" w:eastAsia="Times New Roman" w:hAnsi="Calibri" w:cs="Calibri"/>
                <w:b/>
                <w:bCs/>
                <w:color w:val="FFFFFF"/>
                <w:sz w:val="24"/>
                <w:szCs w:val="24"/>
                <w:lang w:eastAsia="pt-BR"/>
              </w:rPr>
              <w:t xml:space="preserve">Fórmula </w:t>
            </w:r>
          </w:p>
        </w:tc>
        <w:tc>
          <w:tcPr>
            <w:tcW w:w="1701" w:type="dxa"/>
            <w:gridSpan w:val="2"/>
            <w:tcBorders>
              <w:top w:val="single" w:sz="4" w:space="0" w:color="000000"/>
              <w:left w:val="nil"/>
              <w:bottom w:val="single" w:sz="4" w:space="0" w:color="000000"/>
              <w:right w:val="single" w:sz="4" w:space="0" w:color="auto"/>
            </w:tcBorders>
            <w:shd w:val="clear" w:color="auto" w:fill="ED7D31" w:themeFill="accent2"/>
            <w:vAlign w:val="center"/>
            <w:hideMark/>
          </w:tcPr>
          <w:p w14:paraId="340F4859" w14:textId="77777777" w:rsidR="005D0C67" w:rsidRPr="005D0C67" w:rsidRDefault="005D0C67" w:rsidP="005D0C67">
            <w:pPr>
              <w:spacing w:after="0" w:line="240" w:lineRule="auto"/>
              <w:jc w:val="center"/>
              <w:rPr>
                <w:rFonts w:ascii="Calibri" w:eastAsia="Times New Roman" w:hAnsi="Calibri" w:cs="Calibri"/>
                <w:b/>
                <w:bCs/>
                <w:color w:val="FFFFFF"/>
                <w:sz w:val="24"/>
                <w:szCs w:val="24"/>
                <w:lang w:eastAsia="pt-BR"/>
              </w:rPr>
            </w:pPr>
            <w:r w:rsidRPr="005D0C67">
              <w:rPr>
                <w:rFonts w:ascii="Calibri" w:eastAsia="Times New Roman" w:hAnsi="Calibri" w:cs="Calibri"/>
                <w:b/>
                <w:bCs/>
                <w:color w:val="FFFFFF"/>
                <w:sz w:val="24"/>
                <w:szCs w:val="24"/>
                <w:lang w:eastAsia="pt-BR"/>
              </w:rPr>
              <w:t xml:space="preserve">Periodicidade </w:t>
            </w:r>
          </w:p>
        </w:tc>
        <w:tc>
          <w:tcPr>
            <w:tcW w:w="1978" w:type="dxa"/>
            <w:tcBorders>
              <w:top w:val="single" w:sz="4" w:space="0" w:color="000000"/>
              <w:left w:val="nil"/>
              <w:bottom w:val="single" w:sz="4" w:space="0" w:color="000000"/>
              <w:right w:val="single" w:sz="8" w:space="0" w:color="auto"/>
            </w:tcBorders>
            <w:shd w:val="clear" w:color="auto" w:fill="ED7D31" w:themeFill="accent2"/>
            <w:vAlign w:val="center"/>
            <w:hideMark/>
          </w:tcPr>
          <w:p w14:paraId="4957606A" w14:textId="77777777" w:rsidR="005D0C67" w:rsidRPr="005D0C67" w:rsidRDefault="005D0C67" w:rsidP="005D0C67">
            <w:pPr>
              <w:spacing w:after="0" w:line="240" w:lineRule="auto"/>
              <w:jc w:val="center"/>
              <w:rPr>
                <w:rFonts w:ascii="Calibri" w:eastAsia="Times New Roman" w:hAnsi="Calibri" w:cs="Calibri"/>
                <w:b/>
                <w:bCs/>
                <w:color w:val="FFFFFF"/>
                <w:sz w:val="24"/>
                <w:szCs w:val="24"/>
                <w:lang w:eastAsia="pt-BR"/>
              </w:rPr>
            </w:pPr>
            <w:r w:rsidRPr="005D0C67">
              <w:rPr>
                <w:rFonts w:ascii="Calibri" w:eastAsia="Times New Roman" w:hAnsi="Calibri" w:cs="Calibri"/>
                <w:b/>
                <w:bCs/>
                <w:color w:val="FFFFFF"/>
                <w:sz w:val="24"/>
                <w:szCs w:val="24"/>
                <w:lang w:eastAsia="pt-BR"/>
              </w:rPr>
              <w:t>ÁREA</w:t>
            </w:r>
          </w:p>
        </w:tc>
      </w:tr>
      <w:tr w:rsidR="002B7E2B" w:rsidRPr="005D0C67" w14:paraId="6B51C950" w14:textId="77777777" w:rsidTr="002B7E2B">
        <w:trPr>
          <w:trHeight w:val="531"/>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E96C364" w14:textId="77777777" w:rsidR="005D0C67" w:rsidRPr="005D0C67" w:rsidRDefault="005D0C67" w:rsidP="005D0C67">
            <w:pPr>
              <w:spacing w:after="0" w:line="240" w:lineRule="auto"/>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Índice de receita por arquiteto e urbanista</w:t>
            </w:r>
            <w:r w:rsidRPr="005D0C67">
              <w:rPr>
                <w:rFonts w:ascii="Calibri" w:eastAsia="Times New Roman" w:hAnsi="Calibri" w:cs="Calibri"/>
                <w:sz w:val="24"/>
                <w:szCs w:val="24"/>
                <w:lang w:eastAsia="pt-BR"/>
              </w:rPr>
              <w:br/>
            </w:r>
            <w:r w:rsidRPr="005D0C67">
              <w:rPr>
                <w:rFonts w:ascii="Calibri" w:eastAsia="Times New Roman" w:hAnsi="Calibri" w:cs="Calibri"/>
                <w:b/>
                <w:bCs/>
                <w:sz w:val="24"/>
                <w:szCs w:val="24"/>
                <w:lang w:eastAsia="pt-BR"/>
              </w:rPr>
              <w:t xml:space="preserve">(CAU/BR) </w:t>
            </w:r>
          </w:p>
        </w:tc>
        <w:tc>
          <w:tcPr>
            <w:tcW w:w="6527" w:type="dxa"/>
            <w:gridSpan w:val="3"/>
            <w:tcBorders>
              <w:top w:val="single" w:sz="4" w:space="0" w:color="000000"/>
              <w:left w:val="nil"/>
              <w:bottom w:val="single" w:sz="4" w:space="0" w:color="auto"/>
              <w:right w:val="single" w:sz="4" w:space="0" w:color="000000"/>
            </w:tcBorders>
            <w:shd w:val="clear" w:color="000000" w:fill="FFFFFF"/>
            <w:vAlign w:val="bottom"/>
            <w:hideMark/>
          </w:tcPr>
          <w:p w14:paraId="28D2CAC4"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receita corrente           </w:t>
            </w: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39B9895C"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Anual</w:t>
            </w:r>
          </w:p>
        </w:tc>
        <w:tc>
          <w:tcPr>
            <w:tcW w:w="1978"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1DD76531" w14:textId="77777777" w:rsidR="005D0C67" w:rsidRPr="005D0C67" w:rsidRDefault="005D0C67" w:rsidP="005D0C67">
            <w:pPr>
              <w:spacing w:after="0" w:line="240" w:lineRule="auto"/>
              <w:jc w:val="center"/>
              <w:rPr>
                <w:rFonts w:ascii="Calibri" w:eastAsia="Times New Roman" w:hAnsi="Calibri" w:cs="Calibri"/>
                <w:color w:val="000000"/>
                <w:sz w:val="24"/>
                <w:szCs w:val="24"/>
                <w:lang w:eastAsia="pt-BR"/>
              </w:rPr>
            </w:pPr>
            <w:r w:rsidRPr="005D0C67">
              <w:rPr>
                <w:rFonts w:ascii="Calibri" w:eastAsia="Times New Roman" w:hAnsi="Calibri" w:cs="Calibri"/>
                <w:color w:val="000000"/>
                <w:sz w:val="24"/>
                <w:szCs w:val="24"/>
                <w:lang w:eastAsia="pt-BR"/>
              </w:rPr>
              <w:t>GERFIN</w:t>
            </w:r>
          </w:p>
        </w:tc>
      </w:tr>
      <w:tr w:rsidR="002B7E2B" w:rsidRPr="005D0C67" w14:paraId="730EE074" w14:textId="77777777" w:rsidTr="002B7E2B">
        <w:trPr>
          <w:trHeight w:val="553"/>
        </w:trPr>
        <w:tc>
          <w:tcPr>
            <w:tcW w:w="5387" w:type="dxa"/>
            <w:vMerge/>
            <w:tcBorders>
              <w:top w:val="nil"/>
              <w:left w:val="single" w:sz="8" w:space="0" w:color="auto"/>
              <w:bottom w:val="single" w:sz="4" w:space="0" w:color="000000"/>
              <w:right w:val="single" w:sz="4" w:space="0" w:color="auto"/>
            </w:tcBorders>
            <w:vAlign w:val="center"/>
            <w:hideMark/>
          </w:tcPr>
          <w:p w14:paraId="3BA4EAF6"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6527" w:type="dxa"/>
            <w:gridSpan w:val="3"/>
            <w:tcBorders>
              <w:top w:val="nil"/>
              <w:left w:val="nil"/>
              <w:bottom w:val="nil"/>
              <w:right w:val="single" w:sz="4" w:space="0" w:color="000000"/>
            </w:tcBorders>
            <w:shd w:val="clear" w:color="000000" w:fill="FFFFFF"/>
            <w:hideMark/>
          </w:tcPr>
          <w:p w14:paraId="40D6C498"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total de profissionais ativos                                                                                                                                       </w:t>
            </w:r>
          </w:p>
        </w:tc>
        <w:tc>
          <w:tcPr>
            <w:tcW w:w="1701" w:type="dxa"/>
            <w:gridSpan w:val="2"/>
            <w:vMerge/>
            <w:tcBorders>
              <w:top w:val="nil"/>
              <w:left w:val="single" w:sz="4" w:space="0" w:color="auto"/>
              <w:bottom w:val="single" w:sz="4" w:space="0" w:color="000000"/>
              <w:right w:val="single" w:sz="4" w:space="0" w:color="auto"/>
            </w:tcBorders>
            <w:vAlign w:val="center"/>
            <w:hideMark/>
          </w:tcPr>
          <w:p w14:paraId="0A40E446"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978" w:type="dxa"/>
            <w:vMerge/>
            <w:tcBorders>
              <w:top w:val="nil"/>
              <w:left w:val="single" w:sz="4" w:space="0" w:color="auto"/>
              <w:bottom w:val="single" w:sz="4" w:space="0" w:color="000000"/>
              <w:right w:val="single" w:sz="8" w:space="0" w:color="auto"/>
            </w:tcBorders>
            <w:vAlign w:val="center"/>
            <w:hideMark/>
          </w:tcPr>
          <w:p w14:paraId="7681F7DD" w14:textId="77777777" w:rsidR="005D0C67" w:rsidRPr="005D0C67" w:rsidRDefault="005D0C67" w:rsidP="005D0C67">
            <w:pPr>
              <w:spacing w:after="0" w:line="240" w:lineRule="auto"/>
              <w:rPr>
                <w:rFonts w:ascii="Calibri" w:eastAsia="Times New Roman" w:hAnsi="Calibri" w:cs="Calibri"/>
                <w:color w:val="000000"/>
                <w:sz w:val="24"/>
                <w:szCs w:val="24"/>
                <w:lang w:eastAsia="pt-BR"/>
              </w:rPr>
            </w:pPr>
          </w:p>
        </w:tc>
      </w:tr>
      <w:tr w:rsidR="005D0C67" w:rsidRPr="005D0C67" w14:paraId="5017898F" w14:textId="77777777" w:rsidTr="002B7E2B">
        <w:trPr>
          <w:trHeight w:val="717"/>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1CC5B60F" w14:textId="77777777" w:rsidR="005D0C67" w:rsidRPr="005D0C67" w:rsidRDefault="005D0C67" w:rsidP="005D0C67">
            <w:pPr>
              <w:spacing w:after="0" w:line="240" w:lineRule="auto"/>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Relação receita/custo de pessoal (%)</w:t>
            </w:r>
            <w:r w:rsidRPr="005D0C67">
              <w:rPr>
                <w:rFonts w:ascii="Calibri" w:eastAsia="Times New Roman" w:hAnsi="Calibri" w:cs="Calibri"/>
                <w:sz w:val="24"/>
                <w:szCs w:val="24"/>
                <w:lang w:eastAsia="pt-BR"/>
              </w:rPr>
              <w:br/>
            </w:r>
            <w:r w:rsidRPr="005D0C67">
              <w:rPr>
                <w:rFonts w:ascii="Calibri" w:eastAsia="Times New Roman" w:hAnsi="Calibri" w:cs="Calibri"/>
                <w:b/>
                <w:bCs/>
                <w:sz w:val="24"/>
                <w:szCs w:val="24"/>
                <w:lang w:eastAsia="pt-BR"/>
              </w:rPr>
              <w:t>(CAU/BR)</w:t>
            </w:r>
          </w:p>
        </w:tc>
        <w:tc>
          <w:tcPr>
            <w:tcW w:w="5528" w:type="dxa"/>
            <w:tcBorders>
              <w:top w:val="single" w:sz="4" w:space="0" w:color="auto"/>
              <w:left w:val="nil"/>
              <w:bottom w:val="single" w:sz="4" w:space="0" w:color="auto"/>
              <w:right w:val="nil"/>
            </w:tcBorders>
            <w:shd w:val="clear" w:color="000000" w:fill="FFFFFF"/>
            <w:vAlign w:val="bottom"/>
            <w:hideMark/>
          </w:tcPr>
          <w:p w14:paraId="67E610EC"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custo total de pessoal</w:t>
            </w:r>
            <w:r w:rsidRPr="005D0C67">
              <w:rPr>
                <w:rFonts w:ascii="Calibri" w:eastAsia="Times New Roman" w:hAnsi="Calibri" w:cs="Calibri"/>
                <w:b/>
                <w:bCs/>
                <w:sz w:val="24"/>
                <w:szCs w:val="24"/>
                <w:lang w:eastAsia="pt-BR"/>
              </w:rPr>
              <w:t xml:space="preserve">                                                                                    </w:t>
            </w:r>
          </w:p>
        </w:tc>
        <w:tc>
          <w:tcPr>
            <w:tcW w:w="993" w:type="dxa"/>
            <w:vMerge w:val="restart"/>
            <w:tcBorders>
              <w:top w:val="single" w:sz="4" w:space="0" w:color="000000"/>
              <w:left w:val="nil"/>
              <w:bottom w:val="single" w:sz="4" w:space="0" w:color="000000"/>
              <w:right w:val="single" w:sz="4" w:space="0" w:color="auto"/>
            </w:tcBorders>
            <w:shd w:val="clear" w:color="000000" w:fill="FFFFFF"/>
            <w:vAlign w:val="center"/>
            <w:hideMark/>
          </w:tcPr>
          <w:p w14:paraId="002425C6"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x 100</w:t>
            </w: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05C9CFF6"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Semestral e anual</w:t>
            </w:r>
          </w:p>
        </w:tc>
        <w:tc>
          <w:tcPr>
            <w:tcW w:w="1984" w:type="dxa"/>
            <w:gridSpan w:val="2"/>
            <w:vMerge w:val="restart"/>
            <w:tcBorders>
              <w:top w:val="nil"/>
              <w:left w:val="single" w:sz="4" w:space="0" w:color="auto"/>
              <w:bottom w:val="single" w:sz="4" w:space="0" w:color="000000"/>
              <w:right w:val="single" w:sz="8" w:space="0" w:color="auto"/>
            </w:tcBorders>
            <w:shd w:val="clear" w:color="000000" w:fill="FFFFFF"/>
            <w:vAlign w:val="center"/>
            <w:hideMark/>
          </w:tcPr>
          <w:p w14:paraId="2A3BB83B" w14:textId="77777777" w:rsidR="005D0C67" w:rsidRPr="005D0C67" w:rsidRDefault="005D0C67" w:rsidP="005D0C67">
            <w:pPr>
              <w:spacing w:after="0" w:line="240" w:lineRule="auto"/>
              <w:jc w:val="center"/>
              <w:rPr>
                <w:rFonts w:ascii="Calibri" w:eastAsia="Times New Roman" w:hAnsi="Calibri" w:cs="Calibri"/>
                <w:color w:val="000000"/>
                <w:sz w:val="24"/>
                <w:szCs w:val="24"/>
                <w:lang w:eastAsia="pt-BR"/>
              </w:rPr>
            </w:pPr>
            <w:r w:rsidRPr="005D0C67">
              <w:rPr>
                <w:rFonts w:ascii="Calibri" w:eastAsia="Times New Roman" w:hAnsi="Calibri" w:cs="Calibri"/>
                <w:color w:val="000000"/>
                <w:sz w:val="24"/>
                <w:szCs w:val="24"/>
                <w:lang w:eastAsia="pt-BR"/>
              </w:rPr>
              <w:t>GERFIN</w:t>
            </w:r>
          </w:p>
        </w:tc>
      </w:tr>
      <w:tr w:rsidR="002B7E2B" w:rsidRPr="005D0C67" w14:paraId="5B0F742C" w14:textId="77777777" w:rsidTr="002B7E2B">
        <w:trPr>
          <w:trHeight w:val="555"/>
        </w:trPr>
        <w:tc>
          <w:tcPr>
            <w:tcW w:w="5387" w:type="dxa"/>
            <w:vMerge/>
            <w:tcBorders>
              <w:top w:val="nil"/>
              <w:left w:val="single" w:sz="8" w:space="0" w:color="auto"/>
              <w:bottom w:val="single" w:sz="4" w:space="0" w:color="000000"/>
              <w:right w:val="single" w:sz="4" w:space="0" w:color="auto"/>
            </w:tcBorders>
            <w:vAlign w:val="center"/>
            <w:hideMark/>
          </w:tcPr>
          <w:p w14:paraId="3205099B"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5528" w:type="dxa"/>
            <w:tcBorders>
              <w:top w:val="nil"/>
              <w:left w:val="nil"/>
              <w:bottom w:val="single" w:sz="4" w:space="0" w:color="auto"/>
              <w:right w:val="nil"/>
            </w:tcBorders>
            <w:shd w:val="clear" w:color="000000" w:fill="FFFFFF"/>
            <w:hideMark/>
          </w:tcPr>
          <w:p w14:paraId="064E4898"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receita corrente                                                                                  </w:t>
            </w:r>
          </w:p>
        </w:tc>
        <w:tc>
          <w:tcPr>
            <w:tcW w:w="993" w:type="dxa"/>
            <w:vMerge/>
            <w:tcBorders>
              <w:top w:val="single" w:sz="4" w:space="0" w:color="000000"/>
              <w:left w:val="nil"/>
              <w:bottom w:val="single" w:sz="4" w:space="0" w:color="000000"/>
              <w:right w:val="single" w:sz="4" w:space="0" w:color="auto"/>
            </w:tcBorders>
            <w:vAlign w:val="center"/>
            <w:hideMark/>
          </w:tcPr>
          <w:p w14:paraId="04439510"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701" w:type="dxa"/>
            <w:gridSpan w:val="2"/>
            <w:vMerge/>
            <w:tcBorders>
              <w:top w:val="nil"/>
              <w:left w:val="single" w:sz="4" w:space="0" w:color="auto"/>
              <w:bottom w:val="single" w:sz="4" w:space="0" w:color="000000"/>
              <w:right w:val="single" w:sz="4" w:space="0" w:color="auto"/>
            </w:tcBorders>
            <w:vAlign w:val="center"/>
            <w:hideMark/>
          </w:tcPr>
          <w:p w14:paraId="2FBA2FE0"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984" w:type="dxa"/>
            <w:gridSpan w:val="2"/>
            <w:vMerge/>
            <w:tcBorders>
              <w:top w:val="nil"/>
              <w:left w:val="single" w:sz="4" w:space="0" w:color="auto"/>
              <w:bottom w:val="single" w:sz="4" w:space="0" w:color="000000"/>
              <w:right w:val="single" w:sz="8" w:space="0" w:color="auto"/>
            </w:tcBorders>
            <w:vAlign w:val="center"/>
            <w:hideMark/>
          </w:tcPr>
          <w:p w14:paraId="14CB6C89" w14:textId="77777777" w:rsidR="005D0C67" w:rsidRPr="005D0C67" w:rsidRDefault="005D0C67" w:rsidP="005D0C67">
            <w:pPr>
              <w:spacing w:after="0" w:line="240" w:lineRule="auto"/>
              <w:rPr>
                <w:rFonts w:ascii="Calibri" w:eastAsia="Times New Roman" w:hAnsi="Calibri" w:cs="Calibri"/>
                <w:color w:val="000000"/>
                <w:sz w:val="24"/>
                <w:szCs w:val="24"/>
                <w:lang w:eastAsia="pt-BR"/>
              </w:rPr>
            </w:pPr>
          </w:p>
        </w:tc>
      </w:tr>
      <w:tr w:rsidR="005D0C67" w:rsidRPr="005D0C67" w14:paraId="12A11711" w14:textId="77777777" w:rsidTr="002B7E2B">
        <w:trPr>
          <w:trHeight w:val="647"/>
        </w:trPr>
        <w:tc>
          <w:tcPr>
            <w:tcW w:w="5387" w:type="dxa"/>
            <w:vMerge w:val="restart"/>
            <w:tcBorders>
              <w:top w:val="nil"/>
              <w:left w:val="single" w:sz="8" w:space="0" w:color="auto"/>
              <w:bottom w:val="single" w:sz="4" w:space="0" w:color="auto"/>
              <w:right w:val="single" w:sz="4" w:space="0" w:color="auto"/>
            </w:tcBorders>
            <w:shd w:val="clear" w:color="000000" w:fill="FFFFFF"/>
            <w:vAlign w:val="center"/>
            <w:hideMark/>
          </w:tcPr>
          <w:p w14:paraId="7AE8A2DC" w14:textId="77777777" w:rsidR="005D0C67" w:rsidRPr="005D0C67" w:rsidRDefault="005D0C67" w:rsidP="005D0C67">
            <w:pPr>
              <w:spacing w:after="0" w:line="240" w:lineRule="auto"/>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Índice de liquidez corrente </w:t>
            </w:r>
            <w:r w:rsidRPr="005D0C67">
              <w:rPr>
                <w:rFonts w:ascii="Calibri" w:eastAsia="Times New Roman" w:hAnsi="Calibri" w:cs="Calibri"/>
                <w:sz w:val="24"/>
                <w:szCs w:val="24"/>
                <w:lang w:eastAsia="pt-BR"/>
              </w:rPr>
              <w:br/>
            </w:r>
            <w:r w:rsidRPr="005D0C67">
              <w:rPr>
                <w:rFonts w:ascii="Calibri" w:eastAsia="Times New Roman" w:hAnsi="Calibri" w:cs="Calibri"/>
                <w:b/>
                <w:bCs/>
                <w:sz w:val="24"/>
                <w:szCs w:val="24"/>
                <w:lang w:eastAsia="pt-BR"/>
              </w:rPr>
              <w:t>(CAU/BR)</w:t>
            </w:r>
          </w:p>
        </w:tc>
        <w:tc>
          <w:tcPr>
            <w:tcW w:w="5528" w:type="dxa"/>
            <w:tcBorders>
              <w:top w:val="nil"/>
              <w:left w:val="nil"/>
              <w:bottom w:val="single" w:sz="4" w:space="0" w:color="auto"/>
              <w:right w:val="nil"/>
            </w:tcBorders>
            <w:shd w:val="clear" w:color="000000" w:fill="FFFFFF"/>
            <w:vAlign w:val="bottom"/>
            <w:hideMark/>
          </w:tcPr>
          <w:p w14:paraId="49BCBAD2"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ativo circulante</w:t>
            </w:r>
          </w:p>
        </w:tc>
        <w:tc>
          <w:tcPr>
            <w:tcW w:w="993" w:type="dxa"/>
            <w:vMerge w:val="restart"/>
            <w:tcBorders>
              <w:top w:val="nil"/>
              <w:left w:val="nil"/>
              <w:bottom w:val="single" w:sz="4" w:space="0" w:color="000000"/>
              <w:right w:val="single" w:sz="4" w:space="0" w:color="auto"/>
            </w:tcBorders>
            <w:shd w:val="clear" w:color="000000" w:fill="FFFFFF"/>
            <w:vAlign w:val="center"/>
            <w:hideMark/>
          </w:tcPr>
          <w:p w14:paraId="6857EF84"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x 100</w:t>
            </w: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108C8401"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Anual </w:t>
            </w:r>
          </w:p>
        </w:tc>
        <w:tc>
          <w:tcPr>
            <w:tcW w:w="1984" w:type="dxa"/>
            <w:gridSpan w:val="2"/>
            <w:vMerge w:val="restart"/>
            <w:tcBorders>
              <w:top w:val="nil"/>
              <w:left w:val="single" w:sz="4" w:space="0" w:color="auto"/>
              <w:bottom w:val="single" w:sz="4" w:space="0" w:color="000000"/>
              <w:right w:val="single" w:sz="8" w:space="0" w:color="auto"/>
            </w:tcBorders>
            <w:shd w:val="clear" w:color="000000" w:fill="FFFFFF"/>
            <w:vAlign w:val="center"/>
            <w:hideMark/>
          </w:tcPr>
          <w:p w14:paraId="79B0E729" w14:textId="77777777" w:rsidR="005D0C67" w:rsidRPr="005D0C67" w:rsidRDefault="005D0C67" w:rsidP="005D0C67">
            <w:pPr>
              <w:spacing w:after="0" w:line="240" w:lineRule="auto"/>
              <w:jc w:val="center"/>
              <w:rPr>
                <w:rFonts w:ascii="Calibri" w:eastAsia="Times New Roman" w:hAnsi="Calibri" w:cs="Calibri"/>
                <w:color w:val="000000"/>
                <w:sz w:val="24"/>
                <w:szCs w:val="24"/>
                <w:lang w:eastAsia="pt-BR"/>
              </w:rPr>
            </w:pPr>
            <w:r w:rsidRPr="005D0C67">
              <w:rPr>
                <w:rFonts w:ascii="Calibri" w:eastAsia="Times New Roman" w:hAnsi="Calibri" w:cs="Calibri"/>
                <w:color w:val="000000"/>
                <w:sz w:val="24"/>
                <w:szCs w:val="24"/>
                <w:lang w:eastAsia="pt-BR"/>
              </w:rPr>
              <w:t>GERFIN</w:t>
            </w:r>
          </w:p>
        </w:tc>
      </w:tr>
      <w:tr w:rsidR="002B7E2B" w:rsidRPr="005D0C67" w14:paraId="486F22F1" w14:textId="77777777" w:rsidTr="002B7E2B">
        <w:trPr>
          <w:trHeight w:val="569"/>
        </w:trPr>
        <w:tc>
          <w:tcPr>
            <w:tcW w:w="5387" w:type="dxa"/>
            <w:vMerge/>
            <w:tcBorders>
              <w:top w:val="nil"/>
              <w:left w:val="single" w:sz="8" w:space="0" w:color="auto"/>
              <w:bottom w:val="single" w:sz="4" w:space="0" w:color="auto"/>
              <w:right w:val="single" w:sz="4" w:space="0" w:color="auto"/>
            </w:tcBorders>
            <w:vAlign w:val="center"/>
            <w:hideMark/>
          </w:tcPr>
          <w:p w14:paraId="48FEB4BA"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5528" w:type="dxa"/>
            <w:tcBorders>
              <w:top w:val="nil"/>
              <w:left w:val="nil"/>
              <w:bottom w:val="single" w:sz="4" w:space="0" w:color="auto"/>
              <w:right w:val="nil"/>
            </w:tcBorders>
            <w:shd w:val="clear" w:color="000000" w:fill="FFFFFF"/>
            <w:hideMark/>
          </w:tcPr>
          <w:p w14:paraId="6E681D55"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passivo circulante                                                                                    </w:t>
            </w:r>
          </w:p>
        </w:tc>
        <w:tc>
          <w:tcPr>
            <w:tcW w:w="993" w:type="dxa"/>
            <w:vMerge/>
            <w:tcBorders>
              <w:top w:val="nil"/>
              <w:left w:val="nil"/>
              <w:bottom w:val="single" w:sz="4" w:space="0" w:color="000000"/>
              <w:right w:val="single" w:sz="4" w:space="0" w:color="auto"/>
            </w:tcBorders>
            <w:vAlign w:val="center"/>
            <w:hideMark/>
          </w:tcPr>
          <w:p w14:paraId="2B3A36F3"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701" w:type="dxa"/>
            <w:gridSpan w:val="2"/>
            <w:vMerge/>
            <w:tcBorders>
              <w:top w:val="nil"/>
              <w:left w:val="single" w:sz="4" w:space="0" w:color="auto"/>
              <w:bottom w:val="single" w:sz="4" w:space="0" w:color="000000"/>
              <w:right w:val="single" w:sz="4" w:space="0" w:color="auto"/>
            </w:tcBorders>
            <w:vAlign w:val="center"/>
            <w:hideMark/>
          </w:tcPr>
          <w:p w14:paraId="735ABF7F"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984" w:type="dxa"/>
            <w:gridSpan w:val="2"/>
            <w:vMerge/>
            <w:tcBorders>
              <w:top w:val="nil"/>
              <w:left w:val="single" w:sz="4" w:space="0" w:color="auto"/>
              <w:bottom w:val="single" w:sz="4" w:space="0" w:color="000000"/>
              <w:right w:val="single" w:sz="8" w:space="0" w:color="auto"/>
            </w:tcBorders>
            <w:vAlign w:val="center"/>
            <w:hideMark/>
          </w:tcPr>
          <w:p w14:paraId="7B716651" w14:textId="77777777" w:rsidR="005D0C67" w:rsidRPr="005D0C67" w:rsidRDefault="005D0C67" w:rsidP="005D0C67">
            <w:pPr>
              <w:spacing w:after="0" w:line="240" w:lineRule="auto"/>
              <w:rPr>
                <w:rFonts w:ascii="Calibri" w:eastAsia="Times New Roman" w:hAnsi="Calibri" w:cs="Calibri"/>
                <w:color w:val="000000"/>
                <w:sz w:val="24"/>
                <w:szCs w:val="24"/>
                <w:lang w:eastAsia="pt-BR"/>
              </w:rPr>
            </w:pPr>
          </w:p>
        </w:tc>
      </w:tr>
      <w:tr w:rsidR="005D0C67" w:rsidRPr="005D0C67" w14:paraId="3829D59A" w14:textId="77777777" w:rsidTr="002B7E2B">
        <w:trPr>
          <w:trHeight w:val="557"/>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A9C5895" w14:textId="77777777" w:rsidR="005D0C67" w:rsidRPr="005D0C67" w:rsidRDefault="005D0C67" w:rsidP="005D0C67">
            <w:pPr>
              <w:spacing w:after="0" w:line="240" w:lineRule="auto"/>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Índice de Execução do Orçamento (%)</w:t>
            </w:r>
          </w:p>
        </w:tc>
        <w:tc>
          <w:tcPr>
            <w:tcW w:w="5528" w:type="dxa"/>
            <w:tcBorders>
              <w:top w:val="nil"/>
              <w:left w:val="nil"/>
              <w:bottom w:val="single" w:sz="4" w:space="0" w:color="auto"/>
              <w:right w:val="nil"/>
            </w:tcBorders>
            <w:shd w:val="clear" w:color="000000" w:fill="FFFFFF"/>
            <w:vAlign w:val="bottom"/>
            <w:hideMark/>
          </w:tcPr>
          <w:p w14:paraId="0AFF2E97"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Despesa Corrente Empenhada</w:t>
            </w:r>
          </w:p>
        </w:tc>
        <w:tc>
          <w:tcPr>
            <w:tcW w:w="993" w:type="dxa"/>
            <w:vMerge w:val="restart"/>
            <w:tcBorders>
              <w:top w:val="nil"/>
              <w:left w:val="nil"/>
              <w:bottom w:val="single" w:sz="4" w:space="0" w:color="000000"/>
              <w:right w:val="single" w:sz="4" w:space="0" w:color="auto"/>
            </w:tcBorders>
            <w:shd w:val="clear" w:color="000000" w:fill="FFFFFF"/>
            <w:vAlign w:val="center"/>
            <w:hideMark/>
          </w:tcPr>
          <w:p w14:paraId="7AAAFDE4"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x 100</w:t>
            </w: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0CDB0606"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 Anual</w:t>
            </w:r>
          </w:p>
        </w:tc>
        <w:tc>
          <w:tcPr>
            <w:tcW w:w="1984" w:type="dxa"/>
            <w:gridSpan w:val="2"/>
            <w:vMerge w:val="restart"/>
            <w:tcBorders>
              <w:top w:val="nil"/>
              <w:left w:val="single" w:sz="4" w:space="0" w:color="auto"/>
              <w:bottom w:val="single" w:sz="4" w:space="0" w:color="000000"/>
              <w:right w:val="single" w:sz="8" w:space="0" w:color="auto"/>
            </w:tcBorders>
            <w:shd w:val="clear" w:color="000000" w:fill="FFFFFF"/>
            <w:vAlign w:val="center"/>
            <w:hideMark/>
          </w:tcPr>
          <w:p w14:paraId="4982C0C3" w14:textId="77777777" w:rsidR="005D0C67" w:rsidRPr="005D0C67" w:rsidRDefault="005D0C67" w:rsidP="005D0C67">
            <w:pPr>
              <w:spacing w:after="0" w:line="240" w:lineRule="auto"/>
              <w:jc w:val="center"/>
              <w:rPr>
                <w:rFonts w:ascii="Calibri" w:eastAsia="Times New Roman" w:hAnsi="Calibri" w:cs="Calibri"/>
                <w:color w:val="000000"/>
                <w:sz w:val="24"/>
                <w:szCs w:val="24"/>
                <w:lang w:eastAsia="pt-BR"/>
              </w:rPr>
            </w:pPr>
            <w:r w:rsidRPr="005D0C67">
              <w:rPr>
                <w:rFonts w:ascii="Calibri" w:eastAsia="Times New Roman" w:hAnsi="Calibri" w:cs="Calibri"/>
                <w:color w:val="000000"/>
                <w:sz w:val="24"/>
                <w:szCs w:val="24"/>
                <w:lang w:eastAsia="pt-BR"/>
              </w:rPr>
              <w:t>GERFIN</w:t>
            </w:r>
          </w:p>
        </w:tc>
      </w:tr>
      <w:tr w:rsidR="002B7E2B" w:rsidRPr="005D0C67" w14:paraId="7FA54142" w14:textId="77777777" w:rsidTr="002B7E2B">
        <w:trPr>
          <w:trHeight w:val="551"/>
        </w:trPr>
        <w:tc>
          <w:tcPr>
            <w:tcW w:w="5387" w:type="dxa"/>
            <w:vMerge/>
            <w:tcBorders>
              <w:top w:val="nil"/>
              <w:left w:val="single" w:sz="8" w:space="0" w:color="auto"/>
              <w:bottom w:val="single" w:sz="4" w:space="0" w:color="000000"/>
              <w:right w:val="single" w:sz="4" w:space="0" w:color="auto"/>
            </w:tcBorders>
            <w:vAlign w:val="center"/>
            <w:hideMark/>
          </w:tcPr>
          <w:p w14:paraId="37F449D7"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5528" w:type="dxa"/>
            <w:tcBorders>
              <w:top w:val="nil"/>
              <w:left w:val="nil"/>
              <w:bottom w:val="single" w:sz="4" w:space="0" w:color="auto"/>
              <w:right w:val="nil"/>
            </w:tcBorders>
            <w:shd w:val="clear" w:color="000000" w:fill="FFFFFF"/>
            <w:hideMark/>
          </w:tcPr>
          <w:p w14:paraId="31C18F3A"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Despesa Corrente Orçada</w:t>
            </w:r>
          </w:p>
        </w:tc>
        <w:tc>
          <w:tcPr>
            <w:tcW w:w="993" w:type="dxa"/>
            <w:vMerge/>
            <w:tcBorders>
              <w:top w:val="nil"/>
              <w:left w:val="nil"/>
              <w:bottom w:val="single" w:sz="4" w:space="0" w:color="000000"/>
              <w:right w:val="single" w:sz="4" w:space="0" w:color="auto"/>
            </w:tcBorders>
            <w:vAlign w:val="center"/>
            <w:hideMark/>
          </w:tcPr>
          <w:p w14:paraId="69A080E7"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701" w:type="dxa"/>
            <w:gridSpan w:val="2"/>
            <w:vMerge/>
            <w:tcBorders>
              <w:top w:val="nil"/>
              <w:left w:val="single" w:sz="4" w:space="0" w:color="auto"/>
              <w:bottom w:val="single" w:sz="4" w:space="0" w:color="000000"/>
              <w:right w:val="single" w:sz="4" w:space="0" w:color="auto"/>
            </w:tcBorders>
            <w:vAlign w:val="center"/>
            <w:hideMark/>
          </w:tcPr>
          <w:p w14:paraId="4D7E2025"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984" w:type="dxa"/>
            <w:gridSpan w:val="2"/>
            <w:vMerge/>
            <w:tcBorders>
              <w:top w:val="nil"/>
              <w:left w:val="single" w:sz="4" w:space="0" w:color="auto"/>
              <w:bottom w:val="single" w:sz="4" w:space="0" w:color="000000"/>
              <w:right w:val="single" w:sz="8" w:space="0" w:color="auto"/>
            </w:tcBorders>
            <w:vAlign w:val="center"/>
            <w:hideMark/>
          </w:tcPr>
          <w:p w14:paraId="7AA3F970" w14:textId="77777777" w:rsidR="005D0C67" w:rsidRPr="005D0C67" w:rsidRDefault="005D0C67" w:rsidP="005D0C67">
            <w:pPr>
              <w:spacing w:after="0" w:line="240" w:lineRule="auto"/>
              <w:rPr>
                <w:rFonts w:ascii="Calibri" w:eastAsia="Times New Roman" w:hAnsi="Calibri" w:cs="Calibri"/>
                <w:color w:val="000000"/>
                <w:sz w:val="24"/>
                <w:szCs w:val="24"/>
                <w:lang w:eastAsia="pt-BR"/>
              </w:rPr>
            </w:pPr>
          </w:p>
        </w:tc>
      </w:tr>
      <w:tr w:rsidR="002B7E2B" w:rsidRPr="005D0C67" w14:paraId="187A3C60" w14:textId="77777777" w:rsidTr="002B7E2B">
        <w:trPr>
          <w:trHeight w:val="698"/>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01C57FAF" w14:textId="77777777" w:rsidR="005D0C67" w:rsidRPr="005D0C67" w:rsidRDefault="005D0C67" w:rsidP="005D0C67">
            <w:pPr>
              <w:spacing w:after="0" w:line="240" w:lineRule="auto"/>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Índice de Liquidez Imediata (capacidade dos recursos financeiros em caixa para horar as obrigações a pagar)</w:t>
            </w:r>
          </w:p>
        </w:tc>
        <w:tc>
          <w:tcPr>
            <w:tcW w:w="6527" w:type="dxa"/>
            <w:gridSpan w:val="3"/>
            <w:tcBorders>
              <w:top w:val="nil"/>
              <w:left w:val="nil"/>
              <w:bottom w:val="single" w:sz="4" w:space="0" w:color="000000"/>
              <w:right w:val="single" w:sz="4" w:space="0" w:color="000000"/>
            </w:tcBorders>
            <w:shd w:val="clear" w:color="000000" w:fill="FFFFFF"/>
            <w:vAlign w:val="bottom"/>
            <w:hideMark/>
          </w:tcPr>
          <w:p w14:paraId="10C0160C"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Recursos financeiros em caixa </w:t>
            </w: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341A8A0D"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Anual </w:t>
            </w:r>
          </w:p>
        </w:tc>
        <w:tc>
          <w:tcPr>
            <w:tcW w:w="1978"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792EEE55" w14:textId="77777777" w:rsidR="005D0C67" w:rsidRPr="005D0C67" w:rsidRDefault="005D0C67" w:rsidP="005D0C67">
            <w:pPr>
              <w:spacing w:after="0" w:line="240" w:lineRule="auto"/>
              <w:jc w:val="center"/>
              <w:rPr>
                <w:rFonts w:ascii="Calibri" w:eastAsia="Times New Roman" w:hAnsi="Calibri" w:cs="Calibri"/>
                <w:color w:val="000000"/>
                <w:sz w:val="24"/>
                <w:szCs w:val="24"/>
                <w:lang w:eastAsia="pt-BR"/>
              </w:rPr>
            </w:pPr>
            <w:r w:rsidRPr="005D0C67">
              <w:rPr>
                <w:rFonts w:ascii="Calibri" w:eastAsia="Times New Roman" w:hAnsi="Calibri" w:cs="Calibri"/>
                <w:color w:val="000000"/>
                <w:sz w:val="24"/>
                <w:szCs w:val="24"/>
                <w:lang w:eastAsia="pt-BR"/>
              </w:rPr>
              <w:t>GERFIN</w:t>
            </w:r>
          </w:p>
        </w:tc>
      </w:tr>
      <w:tr w:rsidR="002B7E2B" w:rsidRPr="005D0C67" w14:paraId="696FEB36" w14:textId="77777777" w:rsidTr="002B7E2B">
        <w:trPr>
          <w:trHeight w:val="567"/>
        </w:trPr>
        <w:tc>
          <w:tcPr>
            <w:tcW w:w="5387" w:type="dxa"/>
            <w:vMerge/>
            <w:tcBorders>
              <w:top w:val="nil"/>
              <w:left w:val="single" w:sz="8" w:space="0" w:color="auto"/>
              <w:bottom w:val="single" w:sz="4" w:space="0" w:color="000000"/>
              <w:right w:val="single" w:sz="4" w:space="0" w:color="auto"/>
            </w:tcBorders>
            <w:vAlign w:val="center"/>
            <w:hideMark/>
          </w:tcPr>
          <w:p w14:paraId="246AEE57"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6527" w:type="dxa"/>
            <w:gridSpan w:val="3"/>
            <w:tcBorders>
              <w:top w:val="single" w:sz="4" w:space="0" w:color="000000"/>
              <w:left w:val="nil"/>
              <w:bottom w:val="single" w:sz="4" w:space="0" w:color="000000"/>
              <w:right w:val="single" w:sz="4" w:space="0" w:color="auto"/>
            </w:tcBorders>
            <w:shd w:val="clear" w:color="000000" w:fill="FFFFFF"/>
            <w:hideMark/>
          </w:tcPr>
          <w:p w14:paraId="354653AD"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Passivo Circulante</w:t>
            </w:r>
          </w:p>
        </w:tc>
        <w:tc>
          <w:tcPr>
            <w:tcW w:w="1701" w:type="dxa"/>
            <w:gridSpan w:val="2"/>
            <w:vMerge/>
            <w:tcBorders>
              <w:top w:val="nil"/>
              <w:left w:val="single" w:sz="4" w:space="0" w:color="auto"/>
              <w:bottom w:val="single" w:sz="4" w:space="0" w:color="000000"/>
              <w:right w:val="single" w:sz="4" w:space="0" w:color="auto"/>
            </w:tcBorders>
            <w:vAlign w:val="center"/>
            <w:hideMark/>
          </w:tcPr>
          <w:p w14:paraId="6604E60B"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978" w:type="dxa"/>
            <w:vMerge/>
            <w:tcBorders>
              <w:top w:val="nil"/>
              <w:left w:val="single" w:sz="4" w:space="0" w:color="auto"/>
              <w:bottom w:val="single" w:sz="4" w:space="0" w:color="000000"/>
              <w:right w:val="single" w:sz="8" w:space="0" w:color="auto"/>
            </w:tcBorders>
            <w:vAlign w:val="center"/>
            <w:hideMark/>
          </w:tcPr>
          <w:p w14:paraId="64FA17CC" w14:textId="77777777" w:rsidR="005D0C67" w:rsidRPr="005D0C67" w:rsidRDefault="005D0C67" w:rsidP="005D0C67">
            <w:pPr>
              <w:spacing w:after="0" w:line="240" w:lineRule="auto"/>
              <w:rPr>
                <w:rFonts w:ascii="Calibri" w:eastAsia="Times New Roman" w:hAnsi="Calibri" w:cs="Calibri"/>
                <w:color w:val="000000"/>
                <w:sz w:val="24"/>
                <w:szCs w:val="24"/>
                <w:lang w:eastAsia="pt-BR"/>
              </w:rPr>
            </w:pPr>
          </w:p>
        </w:tc>
      </w:tr>
      <w:tr w:rsidR="005D0C67" w:rsidRPr="005D0C67" w14:paraId="7CDD30BB" w14:textId="77777777" w:rsidTr="002B7E2B">
        <w:trPr>
          <w:trHeight w:val="549"/>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059F6B5C" w14:textId="77777777" w:rsidR="005D0C67" w:rsidRPr="005D0C67" w:rsidRDefault="005D0C67" w:rsidP="005D0C67">
            <w:pPr>
              <w:spacing w:after="0" w:line="240" w:lineRule="auto"/>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Índice de modificações no Orçamento Aprovado dos Centros de Custos (%)</w:t>
            </w:r>
          </w:p>
        </w:tc>
        <w:tc>
          <w:tcPr>
            <w:tcW w:w="5528" w:type="dxa"/>
            <w:tcBorders>
              <w:top w:val="nil"/>
              <w:left w:val="nil"/>
              <w:bottom w:val="single" w:sz="4" w:space="0" w:color="auto"/>
              <w:right w:val="nil"/>
            </w:tcBorders>
            <w:shd w:val="clear" w:color="000000" w:fill="FFFFFF"/>
            <w:vAlign w:val="bottom"/>
            <w:hideMark/>
          </w:tcPr>
          <w:p w14:paraId="4FE65BBF"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Quantidade de Transposições Efetuadas</w:t>
            </w:r>
          </w:p>
        </w:tc>
        <w:tc>
          <w:tcPr>
            <w:tcW w:w="993" w:type="dxa"/>
            <w:vMerge w:val="restart"/>
            <w:tcBorders>
              <w:top w:val="nil"/>
              <w:left w:val="nil"/>
              <w:bottom w:val="single" w:sz="4" w:space="0" w:color="000000"/>
              <w:right w:val="single" w:sz="4" w:space="0" w:color="auto"/>
            </w:tcBorders>
            <w:shd w:val="clear" w:color="000000" w:fill="FFFFFF"/>
            <w:vAlign w:val="center"/>
            <w:hideMark/>
          </w:tcPr>
          <w:p w14:paraId="535A987C"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x 100</w:t>
            </w: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5598AEAD"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Anual</w:t>
            </w:r>
          </w:p>
        </w:tc>
        <w:tc>
          <w:tcPr>
            <w:tcW w:w="1984" w:type="dxa"/>
            <w:gridSpan w:val="2"/>
            <w:vMerge w:val="restart"/>
            <w:tcBorders>
              <w:top w:val="nil"/>
              <w:left w:val="single" w:sz="4" w:space="0" w:color="auto"/>
              <w:bottom w:val="single" w:sz="4" w:space="0" w:color="000000"/>
              <w:right w:val="single" w:sz="8" w:space="0" w:color="auto"/>
            </w:tcBorders>
            <w:shd w:val="clear" w:color="000000" w:fill="FFFFFF"/>
            <w:vAlign w:val="center"/>
            <w:hideMark/>
          </w:tcPr>
          <w:p w14:paraId="5D7216AF" w14:textId="77777777" w:rsidR="005D0C67" w:rsidRPr="005D0C67" w:rsidRDefault="005D0C67" w:rsidP="005D0C67">
            <w:pPr>
              <w:spacing w:after="0" w:line="240" w:lineRule="auto"/>
              <w:jc w:val="center"/>
              <w:rPr>
                <w:rFonts w:ascii="Calibri" w:eastAsia="Times New Roman" w:hAnsi="Calibri" w:cs="Calibri"/>
                <w:color w:val="000000"/>
                <w:sz w:val="24"/>
                <w:szCs w:val="24"/>
                <w:lang w:eastAsia="pt-BR"/>
              </w:rPr>
            </w:pPr>
            <w:r w:rsidRPr="005D0C67">
              <w:rPr>
                <w:rFonts w:ascii="Calibri" w:eastAsia="Times New Roman" w:hAnsi="Calibri" w:cs="Calibri"/>
                <w:color w:val="000000"/>
                <w:sz w:val="24"/>
                <w:szCs w:val="24"/>
                <w:lang w:eastAsia="pt-BR"/>
              </w:rPr>
              <w:t>GERFIN</w:t>
            </w:r>
          </w:p>
        </w:tc>
      </w:tr>
      <w:tr w:rsidR="002B7E2B" w:rsidRPr="005D0C67" w14:paraId="77839C28" w14:textId="77777777" w:rsidTr="002B7E2B">
        <w:trPr>
          <w:trHeight w:val="559"/>
        </w:trPr>
        <w:tc>
          <w:tcPr>
            <w:tcW w:w="5387" w:type="dxa"/>
            <w:vMerge/>
            <w:tcBorders>
              <w:top w:val="nil"/>
              <w:left w:val="single" w:sz="8" w:space="0" w:color="auto"/>
              <w:bottom w:val="single" w:sz="4" w:space="0" w:color="000000"/>
              <w:right w:val="single" w:sz="4" w:space="0" w:color="auto"/>
            </w:tcBorders>
            <w:vAlign w:val="center"/>
            <w:hideMark/>
          </w:tcPr>
          <w:p w14:paraId="4CA36B1F"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5528" w:type="dxa"/>
            <w:tcBorders>
              <w:top w:val="nil"/>
              <w:left w:val="nil"/>
              <w:bottom w:val="single" w:sz="4" w:space="0" w:color="auto"/>
              <w:right w:val="nil"/>
            </w:tcBorders>
            <w:shd w:val="clear" w:color="000000" w:fill="FFFFFF"/>
            <w:hideMark/>
          </w:tcPr>
          <w:p w14:paraId="34516166"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 Quantidade de Nota de Empenho Efetuadas</w:t>
            </w:r>
          </w:p>
        </w:tc>
        <w:tc>
          <w:tcPr>
            <w:tcW w:w="993" w:type="dxa"/>
            <w:vMerge/>
            <w:tcBorders>
              <w:top w:val="nil"/>
              <w:left w:val="nil"/>
              <w:bottom w:val="single" w:sz="4" w:space="0" w:color="000000"/>
              <w:right w:val="single" w:sz="4" w:space="0" w:color="auto"/>
            </w:tcBorders>
            <w:vAlign w:val="center"/>
            <w:hideMark/>
          </w:tcPr>
          <w:p w14:paraId="3112576E"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701" w:type="dxa"/>
            <w:gridSpan w:val="2"/>
            <w:vMerge/>
            <w:tcBorders>
              <w:top w:val="nil"/>
              <w:left w:val="single" w:sz="4" w:space="0" w:color="auto"/>
              <w:bottom w:val="single" w:sz="4" w:space="0" w:color="000000"/>
              <w:right w:val="single" w:sz="4" w:space="0" w:color="auto"/>
            </w:tcBorders>
            <w:vAlign w:val="center"/>
            <w:hideMark/>
          </w:tcPr>
          <w:p w14:paraId="27B0D47B"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984" w:type="dxa"/>
            <w:gridSpan w:val="2"/>
            <w:vMerge/>
            <w:tcBorders>
              <w:top w:val="nil"/>
              <w:left w:val="single" w:sz="4" w:space="0" w:color="auto"/>
              <w:bottom w:val="single" w:sz="4" w:space="0" w:color="000000"/>
              <w:right w:val="single" w:sz="8" w:space="0" w:color="auto"/>
            </w:tcBorders>
            <w:vAlign w:val="center"/>
            <w:hideMark/>
          </w:tcPr>
          <w:p w14:paraId="45D42B08" w14:textId="77777777" w:rsidR="005D0C67" w:rsidRPr="005D0C67" w:rsidRDefault="005D0C67" w:rsidP="005D0C67">
            <w:pPr>
              <w:spacing w:after="0" w:line="240" w:lineRule="auto"/>
              <w:rPr>
                <w:rFonts w:ascii="Calibri" w:eastAsia="Times New Roman" w:hAnsi="Calibri" w:cs="Calibri"/>
                <w:color w:val="000000"/>
                <w:sz w:val="24"/>
                <w:szCs w:val="24"/>
                <w:lang w:eastAsia="pt-BR"/>
              </w:rPr>
            </w:pPr>
          </w:p>
        </w:tc>
      </w:tr>
    </w:tbl>
    <w:p w14:paraId="7DC853B1" w14:textId="1F5ECD07" w:rsidR="008415F8" w:rsidRPr="004719E1" w:rsidRDefault="008415F8" w:rsidP="00345496">
      <w:pPr>
        <w:spacing w:after="0" w:line="240" w:lineRule="auto"/>
        <w:ind w:left="-567"/>
        <w:jc w:val="both"/>
        <w:rPr>
          <w:b/>
        </w:rPr>
      </w:pPr>
      <w:r w:rsidRPr="004719E1">
        <w:rPr>
          <w:b/>
        </w:rPr>
        <w:t>ANEXO II</w:t>
      </w:r>
      <w:r w:rsidR="00600A7B" w:rsidRPr="004719E1">
        <w:rPr>
          <w:b/>
        </w:rPr>
        <w:t>.g</w:t>
      </w:r>
      <w:r w:rsidRPr="004719E1">
        <w:rPr>
          <w:b/>
        </w:rPr>
        <w:t xml:space="preserve"> – </w:t>
      </w:r>
      <w:r w:rsidR="00AF1B4D" w:rsidRPr="004719E1">
        <w:rPr>
          <w:rFonts w:asciiTheme="majorHAnsi" w:eastAsia="Arial Unicode MS" w:hAnsiTheme="majorHAnsi" w:cstheme="majorBidi"/>
          <w:b/>
        </w:rPr>
        <w:t>Indicadores Institucionais e de Resultado- CAU</w:t>
      </w:r>
      <w:r w:rsidR="002636BB" w:rsidRPr="004719E1">
        <w:rPr>
          <w:rFonts w:asciiTheme="majorHAnsi" w:eastAsia="Arial Unicode MS" w:hAnsiTheme="majorHAnsi" w:cstheme="majorBidi"/>
          <w:b/>
        </w:rPr>
        <w:t>/</w:t>
      </w:r>
      <w:r w:rsidR="00AF1B4D" w:rsidRPr="004719E1">
        <w:rPr>
          <w:rFonts w:asciiTheme="majorHAnsi" w:eastAsia="Arial Unicode MS" w:hAnsiTheme="majorHAnsi" w:cstheme="majorBidi"/>
          <w:b/>
        </w:rPr>
        <w:t>BR</w:t>
      </w:r>
    </w:p>
    <w:tbl>
      <w:tblPr>
        <w:tblW w:w="15593" w:type="dxa"/>
        <w:tblInd w:w="-577" w:type="dxa"/>
        <w:tblCellMar>
          <w:left w:w="70" w:type="dxa"/>
          <w:right w:w="70" w:type="dxa"/>
        </w:tblCellMar>
        <w:tblLook w:val="04A0" w:firstRow="1" w:lastRow="0" w:firstColumn="1" w:lastColumn="0" w:noHBand="0" w:noVBand="1"/>
      </w:tblPr>
      <w:tblGrid>
        <w:gridCol w:w="5387"/>
        <w:gridCol w:w="5670"/>
        <w:gridCol w:w="765"/>
        <w:gridCol w:w="1786"/>
        <w:gridCol w:w="1985"/>
      </w:tblGrid>
      <w:tr w:rsidR="00CE2AF0" w:rsidRPr="00CE2AF0" w14:paraId="25C1FCF9" w14:textId="77777777" w:rsidTr="00335B2F">
        <w:trPr>
          <w:trHeight w:val="1590"/>
        </w:trPr>
        <w:tc>
          <w:tcPr>
            <w:tcW w:w="5387" w:type="dxa"/>
            <w:tcBorders>
              <w:top w:val="single" w:sz="4" w:space="0" w:color="000000"/>
              <w:left w:val="single" w:sz="8" w:space="0" w:color="auto"/>
              <w:bottom w:val="single" w:sz="4" w:space="0" w:color="000000"/>
              <w:right w:val="single" w:sz="4" w:space="0" w:color="000000"/>
            </w:tcBorders>
            <w:shd w:val="clear" w:color="auto" w:fill="ED7D31" w:themeFill="accent2"/>
            <w:vAlign w:val="center"/>
            <w:hideMark/>
          </w:tcPr>
          <w:p w14:paraId="39BF68E8" w14:textId="77777777" w:rsidR="00CE2AF0" w:rsidRPr="00CE2AF0" w:rsidRDefault="00CE2AF0" w:rsidP="00CE2AF0">
            <w:pPr>
              <w:spacing w:after="0" w:line="240" w:lineRule="auto"/>
              <w:rPr>
                <w:rFonts w:ascii="Calibri" w:eastAsia="Times New Roman" w:hAnsi="Calibri" w:cs="Calibri"/>
                <w:b/>
                <w:bCs/>
                <w:color w:val="FFFFFF"/>
                <w:sz w:val="24"/>
                <w:szCs w:val="24"/>
                <w:lang w:eastAsia="pt-BR"/>
              </w:rPr>
            </w:pPr>
            <w:r w:rsidRPr="00CE2AF0">
              <w:rPr>
                <w:rFonts w:ascii="Calibri" w:eastAsia="Times New Roman" w:hAnsi="Calibri" w:cs="Calibri"/>
                <w:b/>
                <w:bCs/>
                <w:color w:val="FFFFFF"/>
                <w:sz w:val="24"/>
                <w:szCs w:val="24"/>
                <w:lang w:eastAsia="pt-BR"/>
              </w:rPr>
              <w:t>Aprimorar e inovar os processos e as ações</w:t>
            </w:r>
          </w:p>
        </w:tc>
        <w:tc>
          <w:tcPr>
            <w:tcW w:w="6435" w:type="dxa"/>
            <w:gridSpan w:val="2"/>
            <w:tcBorders>
              <w:top w:val="nil"/>
              <w:left w:val="nil"/>
              <w:bottom w:val="single" w:sz="4" w:space="0" w:color="000000"/>
              <w:right w:val="single" w:sz="4" w:space="0" w:color="000000"/>
            </w:tcBorders>
            <w:shd w:val="clear" w:color="auto" w:fill="ED7D31" w:themeFill="accent2"/>
            <w:vAlign w:val="center"/>
            <w:hideMark/>
          </w:tcPr>
          <w:p w14:paraId="7F285868" w14:textId="77777777" w:rsidR="00CE2AF0" w:rsidRPr="00CE2AF0" w:rsidRDefault="00CE2AF0" w:rsidP="00CE2AF0">
            <w:pPr>
              <w:spacing w:after="0" w:line="240" w:lineRule="auto"/>
              <w:jc w:val="center"/>
              <w:rPr>
                <w:rFonts w:ascii="Calibri" w:eastAsia="Times New Roman" w:hAnsi="Calibri" w:cs="Calibri"/>
                <w:b/>
                <w:bCs/>
                <w:color w:val="FFFFFF"/>
                <w:sz w:val="24"/>
                <w:szCs w:val="24"/>
                <w:lang w:eastAsia="pt-BR"/>
              </w:rPr>
            </w:pPr>
            <w:r w:rsidRPr="00CE2AF0">
              <w:rPr>
                <w:rFonts w:ascii="Calibri" w:eastAsia="Times New Roman" w:hAnsi="Calibri" w:cs="Calibri"/>
                <w:b/>
                <w:bCs/>
                <w:color w:val="FFFFFF"/>
                <w:sz w:val="24"/>
                <w:szCs w:val="24"/>
                <w:lang w:eastAsia="pt-BR"/>
              </w:rPr>
              <w:t xml:space="preserve">Fórmula </w:t>
            </w:r>
          </w:p>
        </w:tc>
        <w:tc>
          <w:tcPr>
            <w:tcW w:w="1786" w:type="dxa"/>
            <w:tcBorders>
              <w:top w:val="single" w:sz="4" w:space="0" w:color="000000"/>
              <w:left w:val="nil"/>
              <w:bottom w:val="single" w:sz="4" w:space="0" w:color="000000"/>
              <w:right w:val="single" w:sz="4" w:space="0" w:color="000000"/>
            </w:tcBorders>
            <w:shd w:val="clear" w:color="auto" w:fill="ED7D31" w:themeFill="accent2"/>
            <w:vAlign w:val="center"/>
            <w:hideMark/>
          </w:tcPr>
          <w:p w14:paraId="49D47C9A" w14:textId="77777777" w:rsidR="00CE2AF0" w:rsidRPr="00CE2AF0" w:rsidRDefault="00CE2AF0" w:rsidP="00CE2AF0">
            <w:pPr>
              <w:spacing w:after="0" w:line="240" w:lineRule="auto"/>
              <w:jc w:val="center"/>
              <w:rPr>
                <w:rFonts w:ascii="Calibri" w:eastAsia="Times New Roman" w:hAnsi="Calibri" w:cs="Calibri"/>
                <w:b/>
                <w:bCs/>
                <w:color w:val="FFFFFF"/>
                <w:sz w:val="24"/>
                <w:szCs w:val="24"/>
                <w:lang w:eastAsia="pt-BR"/>
              </w:rPr>
            </w:pPr>
            <w:r w:rsidRPr="00CE2AF0">
              <w:rPr>
                <w:rFonts w:ascii="Calibri" w:eastAsia="Times New Roman" w:hAnsi="Calibri" w:cs="Calibri"/>
                <w:b/>
                <w:bCs/>
                <w:color w:val="FFFFFF"/>
                <w:sz w:val="24"/>
                <w:szCs w:val="24"/>
                <w:lang w:eastAsia="pt-BR"/>
              </w:rPr>
              <w:t xml:space="preserve">Periodicidade </w:t>
            </w:r>
          </w:p>
        </w:tc>
        <w:tc>
          <w:tcPr>
            <w:tcW w:w="1985" w:type="dxa"/>
            <w:tcBorders>
              <w:top w:val="single" w:sz="4" w:space="0" w:color="000000"/>
              <w:left w:val="nil"/>
              <w:bottom w:val="single" w:sz="4" w:space="0" w:color="000000"/>
              <w:right w:val="single" w:sz="8" w:space="0" w:color="auto"/>
            </w:tcBorders>
            <w:shd w:val="clear" w:color="auto" w:fill="ED7D31" w:themeFill="accent2"/>
            <w:vAlign w:val="center"/>
            <w:hideMark/>
          </w:tcPr>
          <w:p w14:paraId="77BCEC4B" w14:textId="77777777" w:rsidR="00CE2AF0" w:rsidRPr="00CE2AF0" w:rsidRDefault="00CE2AF0" w:rsidP="00CE2AF0">
            <w:pPr>
              <w:spacing w:after="0" w:line="240" w:lineRule="auto"/>
              <w:jc w:val="center"/>
              <w:rPr>
                <w:rFonts w:ascii="Calibri" w:eastAsia="Times New Roman" w:hAnsi="Calibri" w:cs="Calibri"/>
                <w:b/>
                <w:bCs/>
                <w:color w:val="FFFFFF"/>
                <w:sz w:val="24"/>
                <w:szCs w:val="24"/>
                <w:lang w:eastAsia="pt-BR"/>
              </w:rPr>
            </w:pPr>
            <w:r w:rsidRPr="00CE2AF0">
              <w:rPr>
                <w:rFonts w:ascii="Calibri" w:eastAsia="Times New Roman" w:hAnsi="Calibri" w:cs="Calibri"/>
                <w:b/>
                <w:bCs/>
                <w:color w:val="FFFFFF"/>
                <w:sz w:val="24"/>
                <w:szCs w:val="24"/>
                <w:lang w:eastAsia="pt-BR"/>
              </w:rPr>
              <w:t>ÁREA</w:t>
            </w:r>
          </w:p>
        </w:tc>
      </w:tr>
      <w:tr w:rsidR="00CE2AF0" w:rsidRPr="00CE2AF0" w14:paraId="5CCCA19F" w14:textId="77777777" w:rsidTr="00875B4F">
        <w:trPr>
          <w:trHeight w:val="531"/>
        </w:trPr>
        <w:tc>
          <w:tcPr>
            <w:tcW w:w="5387" w:type="dxa"/>
            <w:vMerge w:val="restart"/>
            <w:tcBorders>
              <w:top w:val="nil"/>
              <w:left w:val="single" w:sz="8" w:space="0" w:color="auto"/>
              <w:bottom w:val="single" w:sz="4" w:space="0" w:color="auto"/>
              <w:right w:val="single" w:sz="4" w:space="0" w:color="auto"/>
            </w:tcBorders>
            <w:shd w:val="clear" w:color="000000" w:fill="FFFFFF"/>
            <w:vAlign w:val="center"/>
            <w:hideMark/>
          </w:tcPr>
          <w:p w14:paraId="1E129C86" w14:textId="77777777" w:rsidR="00CE2AF0" w:rsidRPr="00CE2AF0" w:rsidRDefault="00CE2AF0" w:rsidP="00CE2AF0">
            <w:pPr>
              <w:spacing w:after="0" w:line="240" w:lineRule="auto"/>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Índice de mapeamento processos (%)</w:t>
            </w:r>
            <w:r w:rsidRPr="00CE2AF0">
              <w:rPr>
                <w:rFonts w:ascii="Calibri" w:eastAsia="Times New Roman" w:hAnsi="Calibri" w:cs="Calibri"/>
                <w:sz w:val="24"/>
                <w:szCs w:val="24"/>
                <w:lang w:eastAsia="pt-BR"/>
              </w:rPr>
              <w:br/>
            </w:r>
            <w:r w:rsidRPr="00CE2AF0">
              <w:rPr>
                <w:rFonts w:ascii="Calibri" w:eastAsia="Times New Roman" w:hAnsi="Calibri" w:cs="Calibri"/>
                <w:b/>
                <w:bCs/>
                <w:sz w:val="24"/>
                <w:szCs w:val="24"/>
                <w:lang w:eastAsia="pt-BR"/>
              </w:rPr>
              <w:t>(CAU/BR)</w:t>
            </w:r>
          </w:p>
        </w:tc>
        <w:tc>
          <w:tcPr>
            <w:tcW w:w="5670" w:type="dxa"/>
            <w:tcBorders>
              <w:top w:val="nil"/>
              <w:left w:val="nil"/>
              <w:bottom w:val="single" w:sz="4" w:space="0" w:color="auto"/>
              <w:right w:val="nil"/>
            </w:tcBorders>
            <w:shd w:val="clear" w:color="000000" w:fill="FFFFFF"/>
            <w:vAlign w:val="bottom"/>
            <w:hideMark/>
          </w:tcPr>
          <w:p w14:paraId="4B0B7FC5"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 xml:space="preserve">número de processos mapeados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3318029"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6D0E6555"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5C524FCF" w14:textId="77777777" w:rsidR="00CE2AF0" w:rsidRPr="00CE2AF0" w:rsidRDefault="00CE2AF0" w:rsidP="00CE2AF0">
            <w:pPr>
              <w:spacing w:after="0" w:line="240" w:lineRule="auto"/>
              <w:jc w:val="center"/>
              <w:rPr>
                <w:rFonts w:ascii="Calibri" w:eastAsia="Times New Roman" w:hAnsi="Calibri" w:cs="Calibri"/>
                <w:color w:val="000000"/>
                <w:sz w:val="24"/>
                <w:szCs w:val="24"/>
                <w:lang w:eastAsia="pt-BR"/>
              </w:rPr>
            </w:pPr>
            <w:r w:rsidRPr="00CE2AF0">
              <w:rPr>
                <w:rFonts w:ascii="Calibri" w:eastAsia="Times New Roman" w:hAnsi="Calibri" w:cs="Calibri"/>
                <w:color w:val="000000"/>
                <w:sz w:val="24"/>
                <w:szCs w:val="24"/>
                <w:lang w:eastAsia="pt-BR"/>
              </w:rPr>
              <w:t>GEREX</w:t>
            </w:r>
          </w:p>
        </w:tc>
      </w:tr>
      <w:tr w:rsidR="00CE2AF0" w:rsidRPr="00CE2AF0" w14:paraId="4A866B38" w14:textId="77777777" w:rsidTr="00345496">
        <w:trPr>
          <w:trHeight w:val="487"/>
        </w:trPr>
        <w:tc>
          <w:tcPr>
            <w:tcW w:w="5387" w:type="dxa"/>
            <w:vMerge/>
            <w:tcBorders>
              <w:top w:val="nil"/>
              <w:left w:val="single" w:sz="8" w:space="0" w:color="auto"/>
              <w:bottom w:val="single" w:sz="4" w:space="0" w:color="auto"/>
              <w:right w:val="single" w:sz="4" w:space="0" w:color="auto"/>
            </w:tcBorders>
            <w:vAlign w:val="center"/>
            <w:hideMark/>
          </w:tcPr>
          <w:p w14:paraId="31614068"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auto"/>
              <w:right w:val="nil"/>
            </w:tcBorders>
            <w:shd w:val="clear" w:color="000000" w:fill="FFFFFF"/>
            <w:hideMark/>
          </w:tcPr>
          <w:p w14:paraId="7AF0A1FB"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total de processos existentes</w:t>
            </w:r>
            <w:r w:rsidRPr="00CE2AF0">
              <w:rPr>
                <w:rFonts w:ascii="Calibri" w:eastAsia="Times New Roman" w:hAnsi="Calibri" w:cs="Calibri"/>
                <w:b/>
                <w:bCs/>
                <w:sz w:val="24"/>
                <w:szCs w:val="24"/>
                <w:lang w:eastAsia="pt-BR"/>
              </w:rPr>
              <w:t xml:space="preserve">                                                                                 </w:t>
            </w:r>
          </w:p>
        </w:tc>
        <w:tc>
          <w:tcPr>
            <w:tcW w:w="765" w:type="dxa"/>
            <w:vMerge/>
            <w:tcBorders>
              <w:top w:val="nil"/>
              <w:left w:val="nil"/>
              <w:bottom w:val="single" w:sz="4" w:space="0" w:color="000000"/>
              <w:right w:val="single" w:sz="4" w:space="0" w:color="auto"/>
            </w:tcBorders>
            <w:vAlign w:val="center"/>
            <w:hideMark/>
          </w:tcPr>
          <w:p w14:paraId="7C830FF8"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4B088B9D"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21E0DCE1" w14:textId="77777777" w:rsidR="00CE2AF0" w:rsidRPr="00CE2AF0" w:rsidRDefault="00CE2AF0" w:rsidP="00CE2AF0">
            <w:pPr>
              <w:spacing w:after="0" w:line="240" w:lineRule="auto"/>
              <w:rPr>
                <w:rFonts w:ascii="Calibri" w:eastAsia="Times New Roman" w:hAnsi="Calibri" w:cs="Calibri"/>
                <w:color w:val="000000"/>
                <w:sz w:val="24"/>
                <w:szCs w:val="24"/>
                <w:lang w:eastAsia="pt-BR"/>
              </w:rPr>
            </w:pPr>
          </w:p>
        </w:tc>
      </w:tr>
      <w:tr w:rsidR="00CE2AF0" w:rsidRPr="00CE2AF0" w14:paraId="1C05A5DC" w14:textId="77777777" w:rsidTr="00875B4F">
        <w:trPr>
          <w:trHeight w:val="489"/>
        </w:trPr>
        <w:tc>
          <w:tcPr>
            <w:tcW w:w="5387" w:type="dxa"/>
            <w:vMerge w:val="restart"/>
            <w:tcBorders>
              <w:top w:val="nil"/>
              <w:left w:val="single" w:sz="8" w:space="0" w:color="auto"/>
              <w:bottom w:val="single" w:sz="4" w:space="0" w:color="auto"/>
              <w:right w:val="single" w:sz="4" w:space="0" w:color="auto"/>
            </w:tcBorders>
            <w:shd w:val="clear" w:color="000000" w:fill="FFFFFF"/>
            <w:vAlign w:val="center"/>
            <w:hideMark/>
          </w:tcPr>
          <w:p w14:paraId="21CC2820" w14:textId="19989B07" w:rsidR="00CE2AF0" w:rsidRPr="00CE2AF0" w:rsidRDefault="00CE2AF0" w:rsidP="00CE2AF0">
            <w:pPr>
              <w:spacing w:after="0" w:line="240" w:lineRule="auto"/>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Índice de normatização de processos (%)</w:t>
            </w:r>
            <w:r w:rsidRPr="00CE2AF0">
              <w:rPr>
                <w:rFonts w:ascii="Calibri" w:eastAsia="Times New Roman" w:hAnsi="Calibri" w:cs="Calibri"/>
                <w:sz w:val="24"/>
                <w:szCs w:val="24"/>
                <w:lang w:eastAsia="pt-BR"/>
              </w:rPr>
              <w:br/>
            </w:r>
            <w:r w:rsidRPr="00CE2AF0">
              <w:rPr>
                <w:rFonts w:ascii="Calibri" w:eastAsia="Times New Roman" w:hAnsi="Calibri" w:cs="Calibri"/>
                <w:b/>
                <w:bCs/>
                <w:sz w:val="24"/>
                <w:szCs w:val="24"/>
                <w:lang w:eastAsia="pt-BR"/>
              </w:rPr>
              <w:t>(CAU/BR)</w:t>
            </w:r>
          </w:p>
        </w:tc>
        <w:tc>
          <w:tcPr>
            <w:tcW w:w="5670" w:type="dxa"/>
            <w:tcBorders>
              <w:top w:val="nil"/>
              <w:left w:val="nil"/>
              <w:bottom w:val="single" w:sz="4" w:space="0" w:color="auto"/>
              <w:right w:val="nil"/>
            </w:tcBorders>
            <w:shd w:val="clear" w:color="000000" w:fill="FFFFFF"/>
            <w:vAlign w:val="bottom"/>
            <w:hideMark/>
          </w:tcPr>
          <w:p w14:paraId="302C12DE"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número de processos normatizados</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25DC8DD1"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19394320"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44D0DEF1" w14:textId="77777777" w:rsidR="00CE2AF0" w:rsidRPr="00CE2AF0" w:rsidRDefault="00CE2AF0" w:rsidP="00CE2AF0">
            <w:pPr>
              <w:spacing w:after="0" w:line="240" w:lineRule="auto"/>
              <w:jc w:val="center"/>
              <w:rPr>
                <w:rFonts w:ascii="Calibri" w:eastAsia="Times New Roman" w:hAnsi="Calibri" w:cs="Calibri"/>
                <w:color w:val="000000"/>
                <w:sz w:val="24"/>
                <w:szCs w:val="24"/>
                <w:lang w:eastAsia="pt-BR"/>
              </w:rPr>
            </w:pPr>
            <w:r w:rsidRPr="00CE2AF0">
              <w:rPr>
                <w:rFonts w:ascii="Calibri" w:eastAsia="Times New Roman" w:hAnsi="Calibri" w:cs="Calibri"/>
                <w:color w:val="000000"/>
                <w:sz w:val="24"/>
                <w:szCs w:val="24"/>
                <w:lang w:eastAsia="pt-BR"/>
              </w:rPr>
              <w:t>GEREX</w:t>
            </w:r>
          </w:p>
        </w:tc>
      </w:tr>
      <w:tr w:rsidR="00CE2AF0" w:rsidRPr="00CE2AF0" w14:paraId="415D788A" w14:textId="77777777" w:rsidTr="00345496">
        <w:trPr>
          <w:trHeight w:val="433"/>
        </w:trPr>
        <w:tc>
          <w:tcPr>
            <w:tcW w:w="5387" w:type="dxa"/>
            <w:vMerge/>
            <w:tcBorders>
              <w:top w:val="nil"/>
              <w:left w:val="single" w:sz="8" w:space="0" w:color="auto"/>
              <w:bottom w:val="single" w:sz="4" w:space="0" w:color="auto"/>
              <w:right w:val="single" w:sz="4" w:space="0" w:color="auto"/>
            </w:tcBorders>
            <w:vAlign w:val="center"/>
            <w:hideMark/>
          </w:tcPr>
          <w:p w14:paraId="1FB8A863"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auto"/>
              <w:right w:val="nil"/>
            </w:tcBorders>
            <w:shd w:val="clear" w:color="000000" w:fill="FFFFFF"/>
            <w:hideMark/>
          </w:tcPr>
          <w:p w14:paraId="0A20B20A"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total de processos existentes</w:t>
            </w:r>
            <w:r w:rsidRPr="00CE2AF0">
              <w:rPr>
                <w:rFonts w:ascii="Calibri" w:eastAsia="Times New Roman" w:hAnsi="Calibri" w:cs="Calibri"/>
                <w:b/>
                <w:bCs/>
                <w:sz w:val="24"/>
                <w:szCs w:val="24"/>
                <w:lang w:eastAsia="pt-BR"/>
              </w:rPr>
              <w:t xml:space="preserve">                                                                            </w:t>
            </w:r>
          </w:p>
        </w:tc>
        <w:tc>
          <w:tcPr>
            <w:tcW w:w="765" w:type="dxa"/>
            <w:vMerge/>
            <w:tcBorders>
              <w:top w:val="nil"/>
              <w:left w:val="nil"/>
              <w:bottom w:val="single" w:sz="4" w:space="0" w:color="000000"/>
              <w:right w:val="single" w:sz="4" w:space="0" w:color="auto"/>
            </w:tcBorders>
            <w:vAlign w:val="center"/>
            <w:hideMark/>
          </w:tcPr>
          <w:p w14:paraId="235AD578"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6EBC1A08"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413FA303" w14:textId="77777777" w:rsidR="00CE2AF0" w:rsidRPr="00CE2AF0" w:rsidRDefault="00CE2AF0" w:rsidP="00CE2AF0">
            <w:pPr>
              <w:spacing w:after="0" w:line="240" w:lineRule="auto"/>
              <w:rPr>
                <w:rFonts w:ascii="Calibri" w:eastAsia="Times New Roman" w:hAnsi="Calibri" w:cs="Calibri"/>
                <w:color w:val="000000"/>
                <w:sz w:val="24"/>
                <w:szCs w:val="24"/>
                <w:lang w:eastAsia="pt-BR"/>
              </w:rPr>
            </w:pPr>
          </w:p>
        </w:tc>
      </w:tr>
      <w:tr w:rsidR="00CE2AF0" w:rsidRPr="00CE2AF0" w14:paraId="277A3329" w14:textId="77777777" w:rsidTr="00875B4F">
        <w:trPr>
          <w:trHeight w:val="531"/>
        </w:trPr>
        <w:tc>
          <w:tcPr>
            <w:tcW w:w="5387" w:type="dxa"/>
            <w:vMerge w:val="restart"/>
            <w:tcBorders>
              <w:top w:val="nil"/>
              <w:left w:val="single" w:sz="8" w:space="0" w:color="auto"/>
              <w:bottom w:val="single" w:sz="4" w:space="0" w:color="auto"/>
              <w:right w:val="single" w:sz="4" w:space="0" w:color="auto"/>
            </w:tcBorders>
            <w:shd w:val="clear" w:color="000000" w:fill="FFFFFF"/>
            <w:vAlign w:val="center"/>
            <w:hideMark/>
          </w:tcPr>
          <w:p w14:paraId="39E626CA" w14:textId="5EA75FAD" w:rsidR="00CE2AF0" w:rsidRPr="00CE2AF0" w:rsidRDefault="00CE2AF0" w:rsidP="00CE2AF0">
            <w:pPr>
              <w:spacing w:after="0" w:line="240" w:lineRule="auto"/>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Índice de automação de processos (%)</w:t>
            </w:r>
            <w:r w:rsidRPr="00CE2AF0">
              <w:rPr>
                <w:rFonts w:ascii="Calibri" w:eastAsia="Times New Roman" w:hAnsi="Calibri" w:cs="Calibri"/>
                <w:sz w:val="24"/>
                <w:szCs w:val="24"/>
                <w:lang w:eastAsia="pt-BR"/>
              </w:rPr>
              <w:br/>
            </w:r>
            <w:r w:rsidRPr="00CE2AF0">
              <w:rPr>
                <w:rFonts w:ascii="Calibri" w:eastAsia="Times New Roman" w:hAnsi="Calibri" w:cs="Calibri"/>
                <w:b/>
                <w:bCs/>
                <w:sz w:val="24"/>
                <w:szCs w:val="24"/>
                <w:lang w:eastAsia="pt-BR"/>
              </w:rPr>
              <w:t>(CAU/BR)</w:t>
            </w:r>
          </w:p>
        </w:tc>
        <w:tc>
          <w:tcPr>
            <w:tcW w:w="5670" w:type="dxa"/>
            <w:tcBorders>
              <w:top w:val="nil"/>
              <w:left w:val="nil"/>
              <w:bottom w:val="single" w:sz="4" w:space="0" w:color="auto"/>
              <w:right w:val="nil"/>
            </w:tcBorders>
            <w:shd w:val="clear" w:color="000000" w:fill="FFFFFF"/>
            <w:vAlign w:val="bottom"/>
            <w:hideMark/>
          </w:tcPr>
          <w:p w14:paraId="4D6AF95C"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 xml:space="preserve">número de processos automatizados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BED206E"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7301E5EA"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2ADE2690" w14:textId="77777777" w:rsidR="00CE2AF0" w:rsidRPr="00CE2AF0" w:rsidRDefault="00CE2AF0" w:rsidP="00CE2AF0">
            <w:pPr>
              <w:spacing w:after="0" w:line="240" w:lineRule="auto"/>
              <w:jc w:val="center"/>
              <w:rPr>
                <w:rFonts w:ascii="Calibri" w:eastAsia="Times New Roman" w:hAnsi="Calibri" w:cs="Calibri"/>
                <w:color w:val="000000"/>
                <w:sz w:val="24"/>
                <w:szCs w:val="24"/>
                <w:lang w:eastAsia="pt-BR"/>
              </w:rPr>
            </w:pPr>
            <w:r w:rsidRPr="00CE2AF0">
              <w:rPr>
                <w:rFonts w:ascii="Calibri" w:eastAsia="Times New Roman" w:hAnsi="Calibri" w:cs="Calibri"/>
                <w:color w:val="000000"/>
                <w:sz w:val="24"/>
                <w:szCs w:val="24"/>
                <w:lang w:eastAsia="pt-BR"/>
              </w:rPr>
              <w:t>GEREX</w:t>
            </w:r>
          </w:p>
        </w:tc>
      </w:tr>
      <w:tr w:rsidR="00CE2AF0" w:rsidRPr="00CE2AF0" w14:paraId="7A2E6563" w14:textId="77777777" w:rsidTr="00345496">
        <w:trPr>
          <w:trHeight w:val="491"/>
        </w:trPr>
        <w:tc>
          <w:tcPr>
            <w:tcW w:w="5387" w:type="dxa"/>
            <w:vMerge/>
            <w:tcBorders>
              <w:top w:val="nil"/>
              <w:left w:val="single" w:sz="8" w:space="0" w:color="auto"/>
              <w:bottom w:val="single" w:sz="4" w:space="0" w:color="auto"/>
              <w:right w:val="single" w:sz="4" w:space="0" w:color="auto"/>
            </w:tcBorders>
            <w:vAlign w:val="center"/>
            <w:hideMark/>
          </w:tcPr>
          <w:p w14:paraId="1609855D"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auto"/>
              <w:right w:val="nil"/>
            </w:tcBorders>
            <w:shd w:val="clear" w:color="000000" w:fill="FFFFFF"/>
            <w:hideMark/>
          </w:tcPr>
          <w:p w14:paraId="064DEF9F"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total de processos existentes</w:t>
            </w:r>
            <w:r w:rsidRPr="00CE2AF0">
              <w:rPr>
                <w:rFonts w:ascii="Calibri" w:eastAsia="Times New Roman" w:hAnsi="Calibri" w:cs="Calibri"/>
                <w:b/>
                <w:bCs/>
                <w:sz w:val="24"/>
                <w:szCs w:val="24"/>
                <w:lang w:eastAsia="pt-BR"/>
              </w:rPr>
              <w:t xml:space="preserve">                                                                            </w:t>
            </w:r>
          </w:p>
        </w:tc>
        <w:tc>
          <w:tcPr>
            <w:tcW w:w="765" w:type="dxa"/>
            <w:vMerge/>
            <w:tcBorders>
              <w:top w:val="nil"/>
              <w:left w:val="nil"/>
              <w:bottom w:val="single" w:sz="4" w:space="0" w:color="000000"/>
              <w:right w:val="single" w:sz="4" w:space="0" w:color="auto"/>
            </w:tcBorders>
            <w:vAlign w:val="center"/>
            <w:hideMark/>
          </w:tcPr>
          <w:p w14:paraId="76EE4807"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2E4E2742"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0744EC6A" w14:textId="77777777" w:rsidR="00CE2AF0" w:rsidRPr="00CE2AF0" w:rsidRDefault="00CE2AF0" w:rsidP="00CE2AF0">
            <w:pPr>
              <w:spacing w:after="0" w:line="240" w:lineRule="auto"/>
              <w:rPr>
                <w:rFonts w:ascii="Calibri" w:eastAsia="Times New Roman" w:hAnsi="Calibri" w:cs="Calibri"/>
                <w:color w:val="000000"/>
                <w:sz w:val="24"/>
                <w:szCs w:val="24"/>
                <w:lang w:eastAsia="pt-BR"/>
              </w:rPr>
            </w:pPr>
          </w:p>
        </w:tc>
      </w:tr>
      <w:tr w:rsidR="00CE2AF0" w:rsidRPr="00CE2AF0" w14:paraId="3181093B" w14:textId="77777777" w:rsidTr="00875B4F">
        <w:trPr>
          <w:trHeight w:val="765"/>
        </w:trPr>
        <w:tc>
          <w:tcPr>
            <w:tcW w:w="5387"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60F480B9" w14:textId="77777777" w:rsidR="00CE2AF0" w:rsidRPr="00CE2AF0" w:rsidRDefault="00CE2AF0" w:rsidP="00CE2AF0">
            <w:pPr>
              <w:spacing w:after="0" w:line="240" w:lineRule="auto"/>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Índice de insucesso dos processos de aquisições (ou seja, Nº de processos anulados + cancelados + desertos + fracassados)</w:t>
            </w:r>
          </w:p>
        </w:tc>
        <w:tc>
          <w:tcPr>
            <w:tcW w:w="5670" w:type="dxa"/>
            <w:tcBorders>
              <w:top w:val="nil"/>
              <w:left w:val="nil"/>
              <w:bottom w:val="single" w:sz="4" w:space="0" w:color="000000"/>
              <w:right w:val="nil"/>
            </w:tcBorders>
            <w:shd w:val="clear" w:color="000000" w:fill="FFFFFF"/>
            <w:vAlign w:val="bottom"/>
            <w:hideMark/>
          </w:tcPr>
          <w:p w14:paraId="1EFB197E"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 xml:space="preserve">número de processos anulados + cancelados + desertos + fracassados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220DB9E9"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03A1EFE6"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767CEC45" w14:textId="77777777" w:rsidR="00CE2AF0" w:rsidRPr="00CE2AF0" w:rsidRDefault="00CE2AF0" w:rsidP="00CE2AF0">
            <w:pPr>
              <w:spacing w:after="0" w:line="240" w:lineRule="auto"/>
              <w:jc w:val="center"/>
              <w:rPr>
                <w:rFonts w:ascii="Calibri" w:eastAsia="Times New Roman" w:hAnsi="Calibri" w:cs="Calibri"/>
                <w:color w:val="000000"/>
                <w:sz w:val="24"/>
                <w:szCs w:val="24"/>
                <w:lang w:eastAsia="pt-BR"/>
              </w:rPr>
            </w:pPr>
            <w:r w:rsidRPr="00CE2AF0">
              <w:rPr>
                <w:rFonts w:ascii="Calibri" w:eastAsia="Times New Roman" w:hAnsi="Calibri" w:cs="Calibri"/>
                <w:color w:val="000000"/>
                <w:sz w:val="24"/>
                <w:szCs w:val="24"/>
                <w:lang w:eastAsia="pt-BR"/>
              </w:rPr>
              <w:t xml:space="preserve">GERAD </w:t>
            </w:r>
          </w:p>
        </w:tc>
      </w:tr>
      <w:tr w:rsidR="00CE2AF0" w:rsidRPr="00CE2AF0" w14:paraId="3D899066" w14:textId="77777777" w:rsidTr="00875B4F">
        <w:trPr>
          <w:trHeight w:val="549"/>
        </w:trPr>
        <w:tc>
          <w:tcPr>
            <w:tcW w:w="5387" w:type="dxa"/>
            <w:vMerge/>
            <w:tcBorders>
              <w:top w:val="nil"/>
              <w:left w:val="single" w:sz="8" w:space="0" w:color="auto"/>
              <w:bottom w:val="single" w:sz="4" w:space="0" w:color="000000"/>
              <w:right w:val="single" w:sz="4" w:space="0" w:color="000000"/>
            </w:tcBorders>
            <w:vAlign w:val="center"/>
            <w:hideMark/>
          </w:tcPr>
          <w:p w14:paraId="3E4BE125"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00091193"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 xml:space="preserve">total de processos de licitação </w:t>
            </w:r>
          </w:p>
        </w:tc>
        <w:tc>
          <w:tcPr>
            <w:tcW w:w="765" w:type="dxa"/>
            <w:vMerge/>
            <w:tcBorders>
              <w:top w:val="nil"/>
              <w:left w:val="nil"/>
              <w:bottom w:val="single" w:sz="4" w:space="0" w:color="000000"/>
              <w:right w:val="single" w:sz="4" w:space="0" w:color="auto"/>
            </w:tcBorders>
            <w:vAlign w:val="center"/>
            <w:hideMark/>
          </w:tcPr>
          <w:p w14:paraId="76F3F2AA"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07B161CB"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3B015794" w14:textId="77777777" w:rsidR="00CE2AF0" w:rsidRPr="00CE2AF0" w:rsidRDefault="00CE2AF0" w:rsidP="00CE2AF0">
            <w:pPr>
              <w:spacing w:after="0" w:line="240" w:lineRule="auto"/>
              <w:rPr>
                <w:rFonts w:ascii="Calibri" w:eastAsia="Times New Roman" w:hAnsi="Calibri" w:cs="Calibri"/>
                <w:color w:val="000000"/>
                <w:sz w:val="24"/>
                <w:szCs w:val="24"/>
                <w:lang w:eastAsia="pt-BR"/>
              </w:rPr>
            </w:pPr>
          </w:p>
        </w:tc>
      </w:tr>
      <w:tr w:rsidR="00CE2AF0" w:rsidRPr="00CE2AF0" w14:paraId="1A7CDDBE" w14:textId="77777777" w:rsidTr="00875B4F">
        <w:trPr>
          <w:trHeight w:val="571"/>
        </w:trPr>
        <w:tc>
          <w:tcPr>
            <w:tcW w:w="5387"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61756568" w14:textId="77777777" w:rsidR="00CE2AF0" w:rsidRPr="00CE2AF0" w:rsidRDefault="00CE2AF0" w:rsidP="00CE2AF0">
            <w:pPr>
              <w:spacing w:after="0" w:line="240" w:lineRule="auto"/>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Índice de economia alcançada nas licitações</w:t>
            </w:r>
          </w:p>
        </w:tc>
        <w:tc>
          <w:tcPr>
            <w:tcW w:w="5670" w:type="dxa"/>
            <w:tcBorders>
              <w:top w:val="nil"/>
              <w:left w:val="nil"/>
              <w:bottom w:val="single" w:sz="4" w:space="0" w:color="000000"/>
              <w:right w:val="nil"/>
            </w:tcBorders>
            <w:shd w:val="clear" w:color="000000" w:fill="FFFFFF"/>
            <w:vAlign w:val="bottom"/>
            <w:hideMark/>
          </w:tcPr>
          <w:p w14:paraId="6FC02424"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Valor licitado</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39375F5B"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1C51FDA7"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107CB01C" w14:textId="77777777" w:rsidR="00CE2AF0" w:rsidRPr="00CE2AF0" w:rsidRDefault="00CE2AF0" w:rsidP="00CE2AF0">
            <w:pPr>
              <w:spacing w:after="0" w:line="240" w:lineRule="auto"/>
              <w:jc w:val="center"/>
              <w:rPr>
                <w:rFonts w:ascii="Calibri" w:eastAsia="Times New Roman" w:hAnsi="Calibri" w:cs="Calibri"/>
                <w:color w:val="000000"/>
                <w:sz w:val="24"/>
                <w:szCs w:val="24"/>
                <w:lang w:eastAsia="pt-BR"/>
              </w:rPr>
            </w:pPr>
            <w:r w:rsidRPr="00CE2AF0">
              <w:rPr>
                <w:rFonts w:ascii="Calibri" w:eastAsia="Times New Roman" w:hAnsi="Calibri" w:cs="Calibri"/>
                <w:color w:val="000000"/>
                <w:sz w:val="24"/>
                <w:szCs w:val="24"/>
                <w:lang w:eastAsia="pt-BR"/>
              </w:rPr>
              <w:t xml:space="preserve">GERAD </w:t>
            </w:r>
          </w:p>
        </w:tc>
      </w:tr>
      <w:tr w:rsidR="00CE2AF0" w:rsidRPr="00CE2AF0" w14:paraId="6399D623" w14:textId="77777777" w:rsidTr="00875B4F">
        <w:trPr>
          <w:trHeight w:val="409"/>
        </w:trPr>
        <w:tc>
          <w:tcPr>
            <w:tcW w:w="5387" w:type="dxa"/>
            <w:vMerge/>
            <w:tcBorders>
              <w:top w:val="nil"/>
              <w:left w:val="single" w:sz="8" w:space="0" w:color="auto"/>
              <w:bottom w:val="single" w:sz="4" w:space="0" w:color="000000"/>
              <w:right w:val="single" w:sz="4" w:space="0" w:color="000000"/>
            </w:tcBorders>
            <w:vAlign w:val="center"/>
            <w:hideMark/>
          </w:tcPr>
          <w:p w14:paraId="43538502"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76228666"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Valor de previsto</w:t>
            </w:r>
          </w:p>
        </w:tc>
        <w:tc>
          <w:tcPr>
            <w:tcW w:w="765" w:type="dxa"/>
            <w:vMerge/>
            <w:tcBorders>
              <w:top w:val="nil"/>
              <w:left w:val="nil"/>
              <w:bottom w:val="single" w:sz="4" w:space="0" w:color="000000"/>
              <w:right w:val="single" w:sz="4" w:space="0" w:color="auto"/>
            </w:tcBorders>
            <w:vAlign w:val="center"/>
            <w:hideMark/>
          </w:tcPr>
          <w:p w14:paraId="258AEDBE"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5DCF6112"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77CBE194" w14:textId="77777777" w:rsidR="00CE2AF0" w:rsidRPr="00CE2AF0" w:rsidRDefault="00CE2AF0" w:rsidP="00CE2AF0">
            <w:pPr>
              <w:spacing w:after="0" w:line="240" w:lineRule="auto"/>
              <w:rPr>
                <w:rFonts w:ascii="Calibri" w:eastAsia="Times New Roman" w:hAnsi="Calibri" w:cs="Calibri"/>
                <w:color w:val="000000"/>
                <w:sz w:val="24"/>
                <w:szCs w:val="24"/>
                <w:lang w:eastAsia="pt-BR"/>
              </w:rPr>
            </w:pPr>
          </w:p>
        </w:tc>
      </w:tr>
      <w:tr w:rsidR="00CE2AF0" w:rsidRPr="00CE2AF0" w14:paraId="477A126E" w14:textId="77777777" w:rsidTr="00875B4F">
        <w:trPr>
          <w:trHeight w:val="706"/>
        </w:trPr>
        <w:tc>
          <w:tcPr>
            <w:tcW w:w="5387"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1FB8E1CC" w14:textId="77777777" w:rsidR="00CE2AF0" w:rsidRPr="00CE2AF0" w:rsidRDefault="00CE2AF0" w:rsidP="00CE2AF0">
            <w:pPr>
              <w:spacing w:after="0" w:line="240" w:lineRule="auto"/>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 xml:space="preserve">Índice de absenteísmo compulsório (doença) </w:t>
            </w:r>
          </w:p>
        </w:tc>
        <w:tc>
          <w:tcPr>
            <w:tcW w:w="5670" w:type="dxa"/>
            <w:tcBorders>
              <w:top w:val="nil"/>
              <w:left w:val="nil"/>
              <w:bottom w:val="single" w:sz="4" w:space="0" w:color="000000"/>
              <w:right w:val="nil"/>
            </w:tcBorders>
            <w:shd w:val="clear" w:color="000000" w:fill="FFFFFF"/>
            <w:vAlign w:val="bottom"/>
            <w:hideMark/>
          </w:tcPr>
          <w:p w14:paraId="12BB03DD"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Total de horas não trabalhados por ano em razão de absenteísmo compulsório, atestado médico e licença</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2B8FE3F8"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4A295ACA"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Trimestral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2F8CCBFA" w14:textId="77777777" w:rsidR="00CE2AF0" w:rsidRPr="00CE2AF0" w:rsidRDefault="00CE2AF0" w:rsidP="00CE2AF0">
            <w:pPr>
              <w:spacing w:after="0" w:line="240" w:lineRule="auto"/>
              <w:jc w:val="center"/>
              <w:rPr>
                <w:rFonts w:ascii="Calibri" w:eastAsia="Times New Roman" w:hAnsi="Calibri" w:cs="Calibri"/>
                <w:color w:val="000000"/>
                <w:sz w:val="24"/>
                <w:szCs w:val="24"/>
                <w:lang w:eastAsia="pt-BR"/>
              </w:rPr>
            </w:pPr>
            <w:r w:rsidRPr="00CE2AF0">
              <w:rPr>
                <w:rFonts w:ascii="Calibri" w:eastAsia="Times New Roman" w:hAnsi="Calibri" w:cs="Calibri"/>
                <w:color w:val="000000"/>
                <w:sz w:val="24"/>
                <w:szCs w:val="24"/>
                <w:lang w:eastAsia="pt-BR"/>
              </w:rPr>
              <w:t xml:space="preserve">GERAD </w:t>
            </w:r>
          </w:p>
        </w:tc>
      </w:tr>
      <w:tr w:rsidR="00CE2AF0" w:rsidRPr="00CE2AF0" w14:paraId="5A8B0F5B" w14:textId="77777777" w:rsidTr="00875B4F">
        <w:trPr>
          <w:trHeight w:val="278"/>
        </w:trPr>
        <w:tc>
          <w:tcPr>
            <w:tcW w:w="5387" w:type="dxa"/>
            <w:vMerge/>
            <w:tcBorders>
              <w:top w:val="nil"/>
              <w:left w:val="single" w:sz="8" w:space="0" w:color="auto"/>
              <w:bottom w:val="single" w:sz="4" w:space="0" w:color="000000"/>
              <w:right w:val="single" w:sz="4" w:space="0" w:color="000000"/>
            </w:tcBorders>
            <w:vAlign w:val="center"/>
            <w:hideMark/>
          </w:tcPr>
          <w:p w14:paraId="3121F348"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7E7EEB84"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Número de servidores totais da folha de pagamento do CAU X</w:t>
            </w:r>
            <w:r w:rsidRPr="00CE2AF0">
              <w:rPr>
                <w:rFonts w:ascii="Calibri" w:eastAsia="Times New Roman" w:hAnsi="Calibri" w:cs="Calibri"/>
                <w:strike/>
                <w:color w:val="000000"/>
                <w:sz w:val="24"/>
                <w:szCs w:val="24"/>
                <w:lang w:eastAsia="pt-BR"/>
              </w:rPr>
              <w:t xml:space="preserve"> </w:t>
            </w:r>
            <w:r w:rsidRPr="00CE2AF0">
              <w:rPr>
                <w:rFonts w:ascii="Calibri" w:eastAsia="Times New Roman" w:hAnsi="Calibri" w:cs="Calibri"/>
                <w:color w:val="000000"/>
                <w:sz w:val="24"/>
                <w:szCs w:val="24"/>
                <w:lang w:eastAsia="pt-BR"/>
              </w:rPr>
              <w:t>Número de dias no período</w:t>
            </w:r>
            <w:r w:rsidRPr="00CE2AF0">
              <w:rPr>
                <w:rFonts w:ascii="Calibri" w:eastAsia="Times New Roman" w:hAnsi="Calibri" w:cs="Calibri"/>
                <w:color w:val="FF0000"/>
                <w:sz w:val="24"/>
                <w:szCs w:val="24"/>
                <w:lang w:eastAsia="pt-BR"/>
              </w:rPr>
              <w:t xml:space="preserve"> </w:t>
            </w:r>
          </w:p>
        </w:tc>
        <w:tc>
          <w:tcPr>
            <w:tcW w:w="765" w:type="dxa"/>
            <w:vMerge/>
            <w:tcBorders>
              <w:top w:val="nil"/>
              <w:left w:val="nil"/>
              <w:bottom w:val="single" w:sz="4" w:space="0" w:color="000000"/>
              <w:right w:val="single" w:sz="4" w:space="0" w:color="auto"/>
            </w:tcBorders>
            <w:vAlign w:val="center"/>
            <w:hideMark/>
          </w:tcPr>
          <w:p w14:paraId="661E2967"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2E273766"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31851BDF" w14:textId="77777777" w:rsidR="00CE2AF0" w:rsidRPr="00CE2AF0" w:rsidRDefault="00CE2AF0" w:rsidP="00CE2AF0">
            <w:pPr>
              <w:spacing w:after="0" w:line="240" w:lineRule="auto"/>
              <w:rPr>
                <w:rFonts w:ascii="Calibri" w:eastAsia="Times New Roman" w:hAnsi="Calibri" w:cs="Calibri"/>
                <w:color w:val="000000"/>
                <w:sz w:val="24"/>
                <w:szCs w:val="24"/>
                <w:lang w:eastAsia="pt-BR"/>
              </w:rPr>
            </w:pPr>
          </w:p>
        </w:tc>
      </w:tr>
    </w:tbl>
    <w:p w14:paraId="3A5423E5" w14:textId="48F1DFDB" w:rsidR="00A47E58" w:rsidRDefault="00A47E58" w:rsidP="00A47E58">
      <w:pPr>
        <w:tabs>
          <w:tab w:val="left" w:pos="2205"/>
        </w:tabs>
        <w:spacing w:line="360" w:lineRule="auto"/>
        <w:rPr>
          <w:rFonts w:eastAsia="Arial Unicode MS" w:cs="Calibri"/>
          <w:sz w:val="24"/>
          <w:szCs w:val="24"/>
        </w:rPr>
      </w:pPr>
      <w:r>
        <w:rPr>
          <w:rFonts w:eastAsia="Arial Unicode MS" w:cs="Calibri"/>
          <w:sz w:val="24"/>
          <w:szCs w:val="24"/>
        </w:rPr>
        <w:tab/>
      </w:r>
    </w:p>
    <w:p w14:paraId="7BA299BD" w14:textId="0E3E34EE" w:rsidR="00DB4A22" w:rsidRPr="004719E1" w:rsidRDefault="00DB4A22" w:rsidP="00DB4A22">
      <w:pPr>
        <w:tabs>
          <w:tab w:val="left" w:pos="2205"/>
        </w:tabs>
        <w:spacing w:after="0"/>
        <w:ind w:left="-567"/>
        <w:rPr>
          <w:rFonts w:asciiTheme="majorHAnsi" w:eastAsia="Arial Unicode MS" w:hAnsiTheme="majorHAnsi" w:cstheme="majorBidi"/>
          <w:b/>
        </w:rPr>
      </w:pPr>
      <w:r w:rsidRPr="004719E1">
        <w:rPr>
          <w:b/>
        </w:rPr>
        <w:t>ANEXO II</w:t>
      </w:r>
      <w:r w:rsidR="00600A7B" w:rsidRPr="004719E1">
        <w:rPr>
          <w:b/>
        </w:rPr>
        <w:t>.h</w:t>
      </w:r>
      <w:r w:rsidRPr="004719E1">
        <w:rPr>
          <w:b/>
        </w:rPr>
        <w:t xml:space="preserve"> – </w:t>
      </w:r>
      <w:r w:rsidRPr="004719E1">
        <w:rPr>
          <w:rFonts w:asciiTheme="majorHAnsi" w:eastAsia="Arial Unicode MS" w:hAnsiTheme="majorHAnsi" w:cstheme="majorBidi"/>
          <w:b/>
        </w:rPr>
        <w:t>Indicadores Institucionais e de Resultado- CAU</w:t>
      </w:r>
      <w:r w:rsidR="002636BB" w:rsidRPr="004719E1">
        <w:rPr>
          <w:rFonts w:asciiTheme="majorHAnsi" w:eastAsia="Arial Unicode MS" w:hAnsiTheme="majorHAnsi" w:cstheme="majorBidi"/>
          <w:b/>
        </w:rPr>
        <w:t>/</w:t>
      </w:r>
      <w:r w:rsidRPr="004719E1">
        <w:rPr>
          <w:rFonts w:asciiTheme="majorHAnsi" w:eastAsia="Arial Unicode MS" w:hAnsiTheme="majorHAnsi" w:cstheme="majorBidi"/>
          <w:b/>
        </w:rPr>
        <w:t>BR</w:t>
      </w:r>
    </w:p>
    <w:tbl>
      <w:tblPr>
        <w:tblW w:w="15593" w:type="dxa"/>
        <w:tblInd w:w="-577" w:type="dxa"/>
        <w:tblCellMar>
          <w:left w:w="70" w:type="dxa"/>
          <w:right w:w="70" w:type="dxa"/>
        </w:tblCellMar>
        <w:tblLook w:val="04A0" w:firstRow="1" w:lastRow="0" w:firstColumn="1" w:lastColumn="0" w:noHBand="0" w:noVBand="1"/>
      </w:tblPr>
      <w:tblGrid>
        <w:gridCol w:w="5387"/>
        <w:gridCol w:w="5670"/>
        <w:gridCol w:w="765"/>
        <w:gridCol w:w="1786"/>
        <w:gridCol w:w="1985"/>
      </w:tblGrid>
      <w:tr w:rsidR="007148E7" w:rsidRPr="007148E7" w14:paraId="3EF31269" w14:textId="77777777" w:rsidTr="006A0960">
        <w:trPr>
          <w:trHeight w:val="1590"/>
        </w:trPr>
        <w:tc>
          <w:tcPr>
            <w:tcW w:w="5387" w:type="dxa"/>
            <w:tcBorders>
              <w:top w:val="single" w:sz="4" w:space="0" w:color="000000"/>
              <w:left w:val="single" w:sz="8" w:space="0" w:color="auto"/>
              <w:bottom w:val="single" w:sz="4" w:space="0" w:color="000000"/>
              <w:right w:val="single" w:sz="4" w:space="0" w:color="000000"/>
            </w:tcBorders>
            <w:shd w:val="clear" w:color="auto" w:fill="ED7D31" w:themeFill="accent2"/>
            <w:vAlign w:val="center"/>
            <w:hideMark/>
          </w:tcPr>
          <w:p w14:paraId="07906F5A" w14:textId="77777777" w:rsidR="007148E7" w:rsidRPr="007148E7" w:rsidRDefault="007148E7" w:rsidP="007148E7">
            <w:pPr>
              <w:spacing w:after="0" w:line="240" w:lineRule="auto"/>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Aprimorar e inovar os processos e as ações</w:t>
            </w:r>
          </w:p>
        </w:tc>
        <w:tc>
          <w:tcPr>
            <w:tcW w:w="6435" w:type="dxa"/>
            <w:gridSpan w:val="2"/>
            <w:tcBorders>
              <w:top w:val="nil"/>
              <w:left w:val="nil"/>
              <w:bottom w:val="single" w:sz="4" w:space="0" w:color="000000"/>
              <w:right w:val="single" w:sz="4" w:space="0" w:color="000000"/>
            </w:tcBorders>
            <w:shd w:val="clear" w:color="auto" w:fill="ED7D31" w:themeFill="accent2"/>
            <w:vAlign w:val="center"/>
            <w:hideMark/>
          </w:tcPr>
          <w:p w14:paraId="4B0C977A" w14:textId="77777777" w:rsidR="007148E7" w:rsidRPr="007148E7" w:rsidRDefault="007148E7" w:rsidP="007148E7">
            <w:pPr>
              <w:spacing w:after="0" w:line="240" w:lineRule="auto"/>
              <w:jc w:val="center"/>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 xml:space="preserve">Fórmula </w:t>
            </w:r>
          </w:p>
        </w:tc>
        <w:tc>
          <w:tcPr>
            <w:tcW w:w="1786" w:type="dxa"/>
            <w:tcBorders>
              <w:top w:val="single" w:sz="4" w:space="0" w:color="000000"/>
              <w:left w:val="nil"/>
              <w:bottom w:val="single" w:sz="4" w:space="0" w:color="000000"/>
              <w:right w:val="single" w:sz="4" w:space="0" w:color="000000"/>
            </w:tcBorders>
            <w:shd w:val="clear" w:color="auto" w:fill="ED7D31" w:themeFill="accent2"/>
            <w:vAlign w:val="center"/>
            <w:hideMark/>
          </w:tcPr>
          <w:p w14:paraId="3D1BFD9C" w14:textId="77777777" w:rsidR="007148E7" w:rsidRPr="007148E7" w:rsidRDefault="007148E7" w:rsidP="007148E7">
            <w:pPr>
              <w:spacing w:after="0" w:line="240" w:lineRule="auto"/>
              <w:jc w:val="center"/>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 xml:space="preserve">Periodicidade </w:t>
            </w:r>
          </w:p>
        </w:tc>
        <w:tc>
          <w:tcPr>
            <w:tcW w:w="1985" w:type="dxa"/>
            <w:tcBorders>
              <w:top w:val="single" w:sz="4" w:space="0" w:color="000000"/>
              <w:left w:val="nil"/>
              <w:bottom w:val="single" w:sz="4" w:space="0" w:color="000000"/>
              <w:right w:val="single" w:sz="8" w:space="0" w:color="auto"/>
            </w:tcBorders>
            <w:shd w:val="clear" w:color="auto" w:fill="ED7D31" w:themeFill="accent2"/>
            <w:vAlign w:val="center"/>
            <w:hideMark/>
          </w:tcPr>
          <w:p w14:paraId="75DD1ECA" w14:textId="77777777" w:rsidR="007148E7" w:rsidRPr="007148E7" w:rsidRDefault="007148E7" w:rsidP="007148E7">
            <w:pPr>
              <w:spacing w:after="0" w:line="240" w:lineRule="auto"/>
              <w:jc w:val="center"/>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ÁREA</w:t>
            </w:r>
          </w:p>
        </w:tc>
      </w:tr>
      <w:tr w:rsidR="00AB51A9" w:rsidRPr="007148E7" w14:paraId="50CD752A" w14:textId="77777777" w:rsidTr="00A82A14">
        <w:trPr>
          <w:trHeight w:val="503"/>
        </w:trPr>
        <w:tc>
          <w:tcPr>
            <w:tcW w:w="5387"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0E1616B2" w14:textId="77777777" w:rsidR="007148E7" w:rsidRPr="007148E7" w:rsidRDefault="007148E7" w:rsidP="007148E7">
            <w:pPr>
              <w:spacing w:after="0" w:line="240" w:lineRule="auto"/>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Índice de crescimento da folha de pagamento de pessoal (Inclui benefícios- salário e encargos)</w:t>
            </w:r>
          </w:p>
        </w:tc>
        <w:tc>
          <w:tcPr>
            <w:tcW w:w="5670" w:type="dxa"/>
            <w:tcBorders>
              <w:top w:val="nil"/>
              <w:left w:val="nil"/>
              <w:bottom w:val="single" w:sz="4" w:space="0" w:color="000000"/>
              <w:right w:val="nil"/>
            </w:tcBorders>
            <w:shd w:val="clear" w:color="000000" w:fill="FFFFFF"/>
            <w:vAlign w:val="bottom"/>
            <w:hideMark/>
          </w:tcPr>
          <w:p w14:paraId="00716842"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 xml:space="preserve">Despesa total com pessoal do CAU ano atual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9B96B4B"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7955E261"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 xml:space="preserve">Trimestral </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6EDA892D"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 xml:space="preserve">GERAD </w:t>
            </w:r>
          </w:p>
        </w:tc>
      </w:tr>
      <w:tr w:rsidR="007148E7" w:rsidRPr="007148E7" w14:paraId="3E7CF66A" w14:textId="77777777" w:rsidTr="00A82A14">
        <w:trPr>
          <w:trHeight w:val="412"/>
        </w:trPr>
        <w:tc>
          <w:tcPr>
            <w:tcW w:w="5387" w:type="dxa"/>
            <w:vMerge/>
            <w:tcBorders>
              <w:top w:val="nil"/>
              <w:left w:val="single" w:sz="8" w:space="0" w:color="auto"/>
              <w:bottom w:val="single" w:sz="4" w:space="0" w:color="000000"/>
              <w:right w:val="single" w:sz="4" w:space="0" w:color="000000"/>
            </w:tcBorders>
            <w:vAlign w:val="center"/>
            <w:hideMark/>
          </w:tcPr>
          <w:p w14:paraId="7514A2CC"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33B66472"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 xml:space="preserve">Despesa total com pessoal do CAU do ano anterior </w:t>
            </w:r>
          </w:p>
        </w:tc>
        <w:tc>
          <w:tcPr>
            <w:tcW w:w="765" w:type="dxa"/>
            <w:vMerge/>
            <w:tcBorders>
              <w:top w:val="nil"/>
              <w:left w:val="nil"/>
              <w:bottom w:val="single" w:sz="4" w:space="0" w:color="000000"/>
              <w:right w:val="single" w:sz="4" w:space="0" w:color="auto"/>
            </w:tcBorders>
            <w:vAlign w:val="center"/>
            <w:hideMark/>
          </w:tcPr>
          <w:p w14:paraId="77383876"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42DAF8E9"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658BC7CD" w14:textId="77777777" w:rsidR="007148E7" w:rsidRPr="007148E7" w:rsidRDefault="007148E7" w:rsidP="007148E7">
            <w:pPr>
              <w:spacing w:after="0" w:line="240" w:lineRule="auto"/>
              <w:rPr>
                <w:rFonts w:ascii="Calibri" w:eastAsia="Times New Roman" w:hAnsi="Calibri" w:cs="Calibri"/>
                <w:color w:val="000000"/>
                <w:sz w:val="24"/>
                <w:szCs w:val="24"/>
                <w:lang w:eastAsia="pt-BR"/>
              </w:rPr>
            </w:pPr>
          </w:p>
        </w:tc>
      </w:tr>
      <w:tr w:rsidR="00AB51A9" w:rsidRPr="007148E7" w14:paraId="048D18CE" w14:textId="77777777" w:rsidTr="00A82A14">
        <w:trPr>
          <w:trHeight w:val="700"/>
        </w:trPr>
        <w:tc>
          <w:tcPr>
            <w:tcW w:w="5387"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5B060C69" w14:textId="77777777" w:rsidR="007148E7" w:rsidRPr="007148E7" w:rsidRDefault="007148E7" w:rsidP="007148E7">
            <w:pPr>
              <w:spacing w:after="0" w:line="240" w:lineRule="auto"/>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Índice de servidores efetivos ocupantes de cargos e funções comissionadas (DELIBERAÇÃO 73/2017)</w:t>
            </w:r>
          </w:p>
        </w:tc>
        <w:tc>
          <w:tcPr>
            <w:tcW w:w="5670" w:type="dxa"/>
            <w:tcBorders>
              <w:top w:val="nil"/>
              <w:left w:val="nil"/>
              <w:bottom w:val="single" w:sz="4" w:space="0" w:color="000000"/>
              <w:right w:val="nil"/>
            </w:tcBorders>
            <w:shd w:val="clear" w:color="000000" w:fill="FFFFFF"/>
            <w:vAlign w:val="bottom"/>
            <w:hideMark/>
          </w:tcPr>
          <w:p w14:paraId="1216F210" w14:textId="14C655C5"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Quantidade servidor efetivo ocupantes de cargo</w:t>
            </w:r>
            <w:r w:rsidR="00AB51A9">
              <w:rPr>
                <w:rFonts w:ascii="Calibri" w:eastAsia="Times New Roman" w:hAnsi="Calibri" w:cs="Calibri"/>
                <w:sz w:val="24"/>
                <w:szCs w:val="24"/>
                <w:lang w:eastAsia="pt-BR"/>
              </w:rPr>
              <w:t xml:space="preserve"> </w:t>
            </w:r>
            <w:r w:rsidRPr="007148E7">
              <w:rPr>
                <w:rFonts w:ascii="Calibri" w:eastAsia="Times New Roman" w:hAnsi="Calibri" w:cs="Calibri"/>
                <w:sz w:val="24"/>
                <w:szCs w:val="24"/>
                <w:lang w:eastAsia="pt-BR"/>
              </w:rPr>
              <w:t>correlacionado ao DAS 1, DAS 2 e DAS  3</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5510218"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5FCA019F"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 xml:space="preserve">Trimestral         </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63AD25B9"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 xml:space="preserve">GERAD </w:t>
            </w:r>
          </w:p>
        </w:tc>
      </w:tr>
      <w:tr w:rsidR="007148E7" w:rsidRPr="007148E7" w14:paraId="08921835" w14:textId="77777777" w:rsidTr="00A82A14">
        <w:trPr>
          <w:trHeight w:val="457"/>
        </w:trPr>
        <w:tc>
          <w:tcPr>
            <w:tcW w:w="5387" w:type="dxa"/>
            <w:vMerge/>
            <w:tcBorders>
              <w:top w:val="nil"/>
              <w:left w:val="single" w:sz="8" w:space="0" w:color="auto"/>
              <w:bottom w:val="single" w:sz="4" w:space="0" w:color="000000"/>
              <w:right w:val="single" w:sz="4" w:space="0" w:color="000000"/>
            </w:tcBorders>
            <w:vAlign w:val="center"/>
            <w:hideMark/>
          </w:tcPr>
          <w:p w14:paraId="33FD4E36"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17AE2A03"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Quantidade de servidores do CAU</w:t>
            </w:r>
          </w:p>
        </w:tc>
        <w:tc>
          <w:tcPr>
            <w:tcW w:w="765" w:type="dxa"/>
            <w:vMerge/>
            <w:tcBorders>
              <w:top w:val="nil"/>
              <w:left w:val="nil"/>
              <w:bottom w:val="single" w:sz="4" w:space="0" w:color="000000"/>
              <w:right w:val="single" w:sz="4" w:space="0" w:color="auto"/>
            </w:tcBorders>
            <w:vAlign w:val="center"/>
            <w:hideMark/>
          </w:tcPr>
          <w:p w14:paraId="0F8E7801"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679E79B4"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45AFE933" w14:textId="77777777" w:rsidR="007148E7" w:rsidRPr="007148E7" w:rsidRDefault="007148E7" w:rsidP="007148E7">
            <w:pPr>
              <w:spacing w:after="0" w:line="240" w:lineRule="auto"/>
              <w:rPr>
                <w:rFonts w:ascii="Calibri" w:eastAsia="Times New Roman" w:hAnsi="Calibri" w:cs="Calibri"/>
                <w:color w:val="000000"/>
                <w:sz w:val="24"/>
                <w:szCs w:val="24"/>
                <w:lang w:eastAsia="pt-BR"/>
              </w:rPr>
            </w:pPr>
          </w:p>
        </w:tc>
      </w:tr>
      <w:tr w:rsidR="007148E7" w:rsidRPr="007148E7" w14:paraId="6301A9D6" w14:textId="77777777" w:rsidTr="006A0960">
        <w:trPr>
          <w:trHeight w:val="1590"/>
        </w:trPr>
        <w:tc>
          <w:tcPr>
            <w:tcW w:w="5387" w:type="dxa"/>
            <w:tcBorders>
              <w:top w:val="nil"/>
              <w:left w:val="single" w:sz="8" w:space="0" w:color="auto"/>
              <w:bottom w:val="single" w:sz="4" w:space="0" w:color="000000"/>
              <w:right w:val="single" w:sz="4" w:space="0" w:color="auto"/>
            </w:tcBorders>
            <w:shd w:val="clear" w:color="auto" w:fill="ED7D31" w:themeFill="accent2"/>
            <w:vAlign w:val="center"/>
            <w:hideMark/>
          </w:tcPr>
          <w:p w14:paraId="67B75216" w14:textId="77777777" w:rsidR="007148E7" w:rsidRPr="007148E7" w:rsidRDefault="007148E7" w:rsidP="007148E7">
            <w:pPr>
              <w:spacing w:after="0" w:line="240" w:lineRule="auto"/>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Desenvolver competências de dirigentes e colaboradores</w:t>
            </w:r>
          </w:p>
        </w:tc>
        <w:tc>
          <w:tcPr>
            <w:tcW w:w="6435" w:type="dxa"/>
            <w:gridSpan w:val="2"/>
            <w:tcBorders>
              <w:top w:val="single" w:sz="4" w:space="0" w:color="000000"/>
              <w:left w:val="nil"/>
              <w:bottom w:val="single" w:sz="4" w:space="0" w:color="000000"/>
              <w:right w:val="single" w:sz="4" w:space="0" w:color="000000"/>
            </w:tcBorders>
            <w:shd w:val="clear" w:color="auto" w:fill="ED7D31" w:themeFill="accent2"/>
            <w:vAlign w:val="center"/>
            <w:hideMark/>
          </w:tcPr>
          <w:p w14:paraId="7ED515F7" w14:textId="77777777" w:rsidR="007148E7" w:rsidRPr="007148E7" w:rsidRDefault="007148E7" w:rsidP="007148E7">
            <w:pPr>
              <w:spacing w:after="0" w:line="240" w:lineRule="auto"/>
              <w:jc w:val="center"/>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 xml:space="preserve">Fórmula </w:t>
            </w:r>
          </w:p>
        </w:tc>
        <w:tc>
          <w:tcPr>
            <w:tcW w:w="1786" w:type="dxa"/>
            <w:tcBorders>
              <w:top w:val="nil"/>
              <w:left w:val="nil"/>
              <w:bottom w:val="single" w:sz="4" w:space="0" w:color="000000"/>
              <w:right w:val="single" w:sz="4" w:space="0" w:color="auto"/>
            </w:tcBorders>
            <w:shd w:val="clear" w:color="auto" w:fill="ED7D31" w:themeFill="accent2"/>
            <w:vAlign w:val="center"/>
            <w:hideMark/>
          </w:tcPr>
          <w:p w14:paraId="4FB8AE39" w14:textId="77777777" w:rsidR="007148E7" w:rsidRPr="007148E7" w:rsidRDefault="007148E7" w:rsidP="007148E7">
            <w:pPr>
              <w:spacing w:after="0" w:line="240" w:lineRule="auto"/>
              <w:jc w:val="center"/>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 xml:space="preserve">Periodicidade </w:t>
            </w:r>
          </w:p>
        </w:tc>
        <w:tc>
          <w:tcPr>
            <w:tcW w:w="1985" w:type="dxa"/>
            <w:tcBorders>
              <w:top w:val="nil"/>
              <w:left w:val="nil"/>
              <w:bottom w:val="single" w:sz="4" w:space="0" w:color="000000"/>
              <w:right w:val="single" w:sz="8" w:space="0" w:color="auto"/>
            </w:tcBorders>
            <w:shd w:val="clear" w:color="auto" w:fill="ED7D31" w:themeFill="accent2"/>
            <w:vAlign w:val="center"/>
            <w:hideMark/>
          </w:tcPr>
          <w:p w14:paraId="7B00A688" w14:textId="77777777" w:rsidR="007148E7" w:rsidRPr="007148E7" w:rsidRDefault="007148E7" w:rsidP="007148E7">
            <w:pPr>
              <w:spacing w:after="0" w:line="240" w:lineRule="auto"/>
              <w:jc w:val="center"/>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ÁREA</w:t>
            </w:r>
          </w:p>
        </w:tc>
      </w:tr>
      <w:tr w:rsidR="007148E7" w:rsidRPr="007148E7" w14:paraId="0169A760" w14:textId="77777777" w:rsidTr="00AB51A9">
        <w:trPr>
          <w:trHeight w:val="533"/>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51DD6F73" w14:textId="77777777" w:rsidR="007148E7" w:rsidRPr="007148E7" w:rsidRDefault="007148E7" w:rsidP="007148E7">
            <w:pPr>
              <w:spacing w:after="0" w:line="240" w:lineRule="auto"/>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 xml:space="preserve">Média de horas de treinamento por colaboradores e dirigentes </w:t>
            </w:r>
            <w:r w:rsidRPr="007148E7">
              <w:rPr>
                <w:rFonts w:ascii="Calibri" w:eastAsia="Times New Roman" w:hAnsi="Calibri" w:cs="Calibri"/>
                <w:b/>
                <w:bCs/>
                <w:sz w:val="24"/>
                <w:szCs w:val="24"/>
                <w:lang w:eastAsia="pt-BR"/>
              </w:rPr>
              <w:t xml:space="preserve"> </w:t>
            </w:r>
          </w:p>
        </w:tc>
        <w:tc>
          <w:tcPr>
            <w:tcW w:w="6435" w:type="dxa"/>
            <w:gridSpan w:val="2"/>
            <w:tcBorders>
              <w:top w:val="single" w:sz="4" w:space="0" w:color="000000"/>
              <w:left w:val="nil"/>
              <w:bottom w:val="single" w:sz="4" w:space="0" w:color="000000"/>
              <w:right w:val="single" w:sz="4" w:space="0" w:color="auto"/>
            </w:tcBorders>
            <w:shd w:val="clear" w:color="000000" w:fill="FFFFFF"/>
            <w:vAlign w:val="bottom"/>
            <w:hideMark/>
          </w:tcPr>
          <w:p w14:paraId="37098085"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horas totais de treinamento</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943DD2"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0C144A0E"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GERAD/RH</w:t>
            </w:r>
          </w:p>
        </w:tc>
      </w:tr>
      <w:tr w:rsidR="007148E7" w:rsidRPr="007148E7" w14:paraId="5FD77B2B" w14:textId="77777777" w:rsidTr="00A82A14">
        <w:trPr>
          <w:trHeight w:val="399"/>
        </w:trPr>
        <w:tc>
          <w:tcPr>
            <w:tcW w:w="5387" w:type="dxa"/>
            <w:vMerge/>
            <w:tcBorders>
              <w:top w:val="nil"/>
              <w:left w:val="single" w:sz="8" w:space="0" w:color="auto"/>
              <w:bottom w:val="single" w:sz="4" w:space="0" w:color="000000"/>
              <w:right w:val="single" w:sz="4" w:space="0" w:color="auto"/>
            </w:tcBorders>
            <w:vAlign w:val="center"/>
            <w:hideMark/>
          </w:tcPr>
          <w:p w14:paraId="4D46BF65"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6435" w:type="dxa"/>
            <w:gridSpan w:val="2"/>
            <w:tcBorders>
              <w:top w:val="single" w:sz="4" w:space="0" w:color="000000"/>
              <w:left w:val="nil"/>
              <w:bottom w:val="single" w:sz="4" w:space="0" w:color="000000"/>
              <w:right w:val="single" w:sz="4" w:space="0" w:color="auto"/>
            </w:tcBorders>
            <w:shd w:val="clear" w:color="000000" w:fill="FFFFFF"/>
            <w:hideMark/>
          </w:tcPr>
          <w:p w14:paraId="2E2952C0"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número total de colaboradores e dirigentes</w:t>
            </w:r>
          </w:p>
        </w:tc>
        <w:tc>
          <w:tcPr>
            <w:tcW w:w="1786" w:type="dxa"/>
            <w:vMerge/>
            <w:tcBorders>
              <w:top w:val="nil"/>
              <w:left w:val="single" w:sz="4" w:space="0" w:color="auto"/>
              <w:bottom w:val="single" w:sz="4" w:space="0" w:color="000000"/>
              <w:right w:val="single" w:sz="4" w:space="0" w:color="auto"/>
            </w:tcBorders>
            <w:vAlign w:val="center"/>
            <w:hideMark/>
          </w:tcPr>
          <w:p w14:paraId="02584B9F"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1059CB43" w14:textId="77777777" w:rsidR="007148E7" w:rsidRPr="007148E7" w:rsidRDefault="007148E7" w:rsidP="007148E7">
            <w:pPr>
              <w:spacing w:after="0" w:line="240" w:lineRule="auto"/>
              <w:rPr>
                <w:rFonts w:ascii="Calibri" w:eastAsia="Times New Roman" w:hAnsi="Calibri" w:cs="Calibri"/>
                <w:color w:val="000000"/>
                <w:sz w:val="24"/>
                <w:szCs w:val="24"/>
                <w:lang w:eastAsia="pt-BR"/>
              </w:rPr>
            </w:pPr>
          </w:p>
        </w:tc>
      </w:tr>
      <w:tr w:rsidR="00AB51A9" w:rsidRPr="007148E7" w14:paraId="2EFD2B6D" w14:textId="77777777" w:rsidTr="00A82A14">
        <w:trPr>
          <w:trHeight w:val="513"/>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89D0972" w14:textId="4AF80576" w:rsidR="007148E7" w:rsidRPr="007148E7" w:rsidRDefault="007148E7" w:rsidP="007148E7">
            <w:pPr>
              <w:spacing w:after="0" w:line="240" w:lineRule="auto"/>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 xml:space="preserve">Índice servidores capacitados com recursos do CAU por servidor </w:t>
            </w:r>
          </w:p>
        </w:tc>
        <w:tc>
          <w:tcPr>
            <w:tcW w:w="5670" w:type="dxa"/>
            <w:tcBorders>
              <w:top w:val="nil"/>
              <w:left w:val="nil"/>
              <w:bottom w:val="single" w:sz="4" w:space="0" w:color="000000"/>
              <w:right w:val="nil"/>
            </w:tcBorders>
            <w:shd w:val="clear" w:color="000000" w:fill="FFFFFF"/>
            <w:vAlign w:val="bottom"/>
            <w:hideMark/>
          </w:tcPr>
          <w:p w14:paraId="6B8038AC"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nº de servidores capacitados com recursos do CAU</w:t>
            </w:r>
          </w:p>
        </w:tc>
        <w:tc>
          <w:tcPr>
            <w:tcW w:w="765" w:type="dxa"/>
            <w:vMerge w:val="restart"/>
            <w:tcBorders>
              <w:top w:val="nil"/>
              <w:left w:val="nil"/>
              <w:bottom w:val="single" w:sz="4" w:space="0" w:color="000000"/>
              <w:right w:val="single" w:sz="4" w:space="0" w:color="auto"/>
            </w:tcBorders>
            <w:shd w:val="clear" w:color="000000" w:fill="FFFFFF"/>
            <w:noWrap/>
            <w:vAlign w:val="center"/>
            <w:hideMark/>
          </w:tcPr>
          <w:p w14:paraId="310B0BA8"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CAF889"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78AD64B3"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GERAD/RH</w:t>
            </w:r>
          </w:p>
        </w:tc>
      </w:tr>
      <w:tr w:rsidR="007148E7" w:rsidRPr="007148E7" w14:paraId="0D031891" w14:textId="77777777" w:rsidTr="00A82A14">
        <w:trPr>
          <w:trHeight w:val="351"/>
        </w:trPr>
        <w:tc>
          <w:tcPr>
            <w:tcW w:w="5387" w:type="dxa"/>
            <w:vMerge/>
            <w:tcBorders>
              <w:top w:val="nil"/>
              <w:left w:val="single" w:sz="8" w:space="0" w:color="auto"/>
              <w:bottom w:val="single" w:sz="4" w:space="0" w:color="000000"/>
              <w:right w:val="single" w:sz="4" w:space="0" w:color="auto"/>
            </w:tcBorders>
            <w:vAlign w:val="center"/>
            <w:hideMark/>
          </w:tcPr>
          <w:p w14:paraId="4177CCF0"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2BFDF2F3"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nº de servidores ativos</w:t>
            </w:r>
          </w:p>
        </w:tc>
        <w:tc>
          <w:tcPr>
            <w:tcW w:w="765" w:type="dxa"/>
            <w:vMerge/>
            <w:tcBorders>
              <w:top w:val="nil"/>
              <w:left w:val="nil"/>
              <w:bottom w:val="single" w:sz="4" w:space="0" w:color="000000"/>
              <w:right w:val="single" w:sz="4" w:space="0" w:color="auto"/>
            </w:tcBorders>
            <w:vAlign w:val="center"/>
            <w:hideMark/>
          </w:tcPr>
          <w:p w14:paraId="485E0CFF"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5B257FBB"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48A214C1" w14:textId="77777777" w:rsidR="007148E7" w:rsidRPr="007148E7" w:rsidRDefault="007148E7" w:rsidP="007148E7">
            <w:pPr>
              <w:spacing w:after="0" w:line="240" w:lineRule="auto"/>
              <w:rPr>
                <w:rFonts w:ascii="Calibri" w:eastAsia="Times New Roman" w:hAnsi="Calibri" w:cs="Calibri"/>
                <w:color w:val="000000"/>
                <w:sz w:val="24"/>
                <w:szCs w:val="24"/>
                <w:lang w:eastAsia="pt-BR"/>
              </w:rPr>
            </w:pPr>
          </w:p>
        </w:tc>
      </w:tr>
      <w:tr w:rsidR="00AB51A9" w:rsidRPr="007148E7" w14:paraId="340E0916" w14:textId="77777777" w:rsidTr="00A82A14">
        <w:trPr>
          <w:trHeight w:val="136"/>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AD22E18" w14:textId="77777777" w:rsidR="007148E7" w:rsidRPr="007148E7" w:rsidRDefault="007148E7" w:rsidP="007148E7">
            <w:pPr>
              <w:spacing w:after="0" w:line="240" w:lineRule="auto"/>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Índice de aproveitamento dos treinamentos</w:t>
            </w:r>
            <w:r w:rsidRPr="007148E7">
              <w:rPr>
                <w:rFonts w:ascii="Calibri" w:eastAsia="Times New Roman" w:hAnsi="Calibri" w:cs="Calibri"/>
                <w:sz w:val="24"/>
                <w:szCs w:val="24"/>
                <w:lang w:eastAsia="pt-BR"/>
              </w:rPr>
              <w:br/>
            </w:r>
            <w:r w:rsidRPr="007148E7">
              <w:rPr>
                <w:rFonts w:ascii="Calibri" w:eastAsia="Times New Roman" w:hAnsi="Calibri" w:cs="Calibri"/>
                <w:b/>
                <w:bCs/>
                <w:sz w:val="24"/>
                <w:szCs w:val="24"/>
                <w:lang w:eastAsia="pt-BR"/>
              </w:rPr>
              <w:t xml:space="preserve"> (CAU/BR)</w:t>
            </w:r>
          </w:p>
        </w:tc>
        <w:tc>
          <w:tcPr>
            <w:tcW w:w="5670" w:type="dxa"/>
            <w:tcBorders>
              <w:top w:val="nil"/>
              <w:left w:val="nil"/>
              <w:bottom w:val="single" w:sz="4" w:space="0" w:color="000000"/>
              <w:right w:val="nil"/>
            </w:tcBorders>
            <w:shd w:val="clear" w:color="000000" w:fill="FFFFFF"/>
            <w:vAlign w:val="bottom"/>
            <w:hideMark/>
          </w:tcPr>
          <w:p w14:paraId="7C3F2A21" w14:textId="10B595A9"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número de colaboradores satisfeitos com os</w:t>
            </w:r>
            <w:r w:rsidR="00A82A14">
              <w:rPr>
                <w:rFonts w:ascii="Calibri" w:eastAsia="Times New Roman" w:hAnsi="Calibri" w:cs="Calibri"/>
                <w:sz w:val="24"/>
                <w:szCs w:val="24"/>
                <w:lang w:eastAsia="pt-BR"/>
              </w:rPr>
              <w:t xml:space="preserve"> </w:t>
            </w:r>
            <w:r w:rsidRPr="007148E7">
              <w:rPr>
                <w:rFonts w:ascii="Calibri" w:eastAsia="Times New Roman" w:hAnsi="Calibri" w:cs="Calibri"/>
                <w:sz w:val="24"/>
                <w:szCs w:val="24"/>
                <w:lang w:eastAsia="pt-BR"/>
              </w:rPr>
              <w:t xml:space="preserve">treinamentos </w:t>
            </w:r>
            <w:r w:rsidRPr="007148E7">
              <w:rPr>
                <w:rFonts w:ascii="Calibri" w:eastAsia="Times New Roman" w:hAnsi="Calibri" w:cs="Calibri"/>
                <w:sz w:val="24"/>
                <w:szCs w:val="24"/>
                <w:lang w:eastAsia="pt-BR"/>
              </w:rPr>
              <w:br/>
              <w:t>(pontuação acima de 3 na Pesquisa de Satisfação)</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E4024E8"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D4A7EF"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023B3287"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GERAD/RH</w:t>
            </w:r>
          </w:p>
        </w:tc>
      </w:tr>
      <w:tr w:rsidR="007148E7" w:rsidRPr="007148E7" w14:paraId="566823C5" w14:textId="77777777" w:rsidTr="00A82A14">
        <w:trPr>
          <w:trHeight w:val="723"/>
        </w:trPr>
        <w:tc>
          <w:tcPr>
            <w:tcW w:w="5387" w:type="dxa"/>
            <w:vMerge/>
            <w:tcBorders>
              <w:top w:val="nil"/>
              <w:left w:val="single" w:sz="8" w:space="0" w:color="auto"/>
              <w:bottom w:val="single" w:sz="4" w:space="0" w:color="000000"/>
              <w:right w:val="single" w:sz="4" w:space="0" w:color="auto"/>
            </w:tcBorders>
            <w:vAlign w:val="center"/>
            <w:hideMark/>
          </w:tcPr>
          <w:p w14:paraId="197F52A2"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4491DFD3" w14:textId="213B23AD"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total de colaboradores e dirigentes participantes da avaliação</w:t>
            </w:r>
          </w:p>
        </w:tc>
        <w:tc>
          <w:tcPr>
            <w:tcW w:w="765" w:type="dxa"/>
            <w:vMerge/>
            <w:tcBorders>
              <w:top w:val="nil"/>
              <w:left w:val="nil"/>
              <w:bottom w:val="single" w:sz="4" w:space="0" w:color="000000"/>
              <w:right w:val="single" w:sz="4" w:space="0" w:color="auto"/>
            </w:tcBorders>
            <w:vAlign w:val="center"/>
            <w:hideMark/>
          </w:tcPr>
          <w:p w14:paraId="2B448CBA"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7FD784B2"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0A0AABA9" w14:textId="77777777" w:rsidR="007148E7" w:rsidRPr="007148E7" w:rsidRDefault="007148E7" w:rsidP="007148E7">
            <w:pPr>
              <w:spacing w:after="0" w:line="240" w:lineRule="auto"/>
              <w:rPr>
                <w:rFonts w:ascii="Calibri" w:eastAsia="Times New Roman" w:hAnsi="Calibri" w:cs="Calibri"/>
                <w:color w:val="000000"/>
                <w:sz w:val="24"/>
                <w:szCs w:val="24"/>
                <w:lang w:eastAsia="pt-BR"/>
              </w:rPr>
            </w:pPr>
          </w:p>
        </w:tc>
      </w:tr>
    </w:tbl>
    <w:p w14:paraId="7529E468" w14:textId="45FB3CDB" w:rsidR="00340B80" w:rsidRPr="004719E1" w:rsidRDefault="00340B80" w:rsidP="00340B80">
      <w:pPr>
        <w:spacing w:after="0" w:line="240" w:lineRule="auto"/>
        <w:ind w:left="-567"/>
        <w:jc w:val="both"/>
        <w:rPr>
          <w:b/>
        </w:rPr>
      </w:pPr>
      <w:r w:rsidRPr="004719E1">
        <w:rPr>
          <w:b/>
        </w:rPr>
        <w:t>ANEXO II</w:t>
      </w:r>
      <w:r w:rsidR="00600A7B" w:rsidRPr="004719E1">
        <w:rPr>
          <w:b/>
        </w:rPr>
        <w:t>.i</w:t>
      </w:r>
      <w:r w:rsidRPr="004719E1">
        <w:rPr>
          <w:b/>
        </w:rPr>
        <w:t xml:space="preserve"> – </w:t>
      </w:r>
      <w:r w:rsidRPr="004719E1">
        <w:rPr>
          <w:rFonts w:asciiTheme="majorHAnsi" w:eastAsia="Arial Unicode MS" w:hAnsiTheme="majorHAnsi" w:cstheme="majorBidi"/>
          <w:b/>
        </w:rPr>
        <w:t>Indicadores Institucionais e de Resultado- CAU</w:t>
      </w:r>
      <w:r w:rsidR="002636BB" w:rsidRPr="004719E1">
        <w:rPr>
          <w:rFonts w:asciiTheme="majorHAnsi" w:eastAsia="Arial Unicode MS" w:hAnsiTheme="majorHAnsi" w:cstheme="majorBidi"/>
          <w:b/>
        </w:rPr>
        <w:t>/</w:t>
      </w:r>
      <w:r w:rsidRPr="004719E1">
        <w:rPr>
          <w:rFonts w:asciiTheme="majorHAnsi" w:eastAsia="Arial Unicode MS" w:hAnsiTheme="majorHAnsi" w:cstheme="majorBidi"/>
          <w:b/>
        </w:rPr>
        <w:t>BR</w:t>
      </w:r>
    </w:p>
    <w:tbl>
      <w:tblPr>
        <w:tblW w:w="15469" w:type="dxa"/>
        <w:tblInd w:w="-577" w:type="dxa"/>
        <w:tblLayout w:type="fixed"/>
        <w:tblCellMar>
          <w:left w:w="70" w:type="dxa"/>
          <w:right w:w="70" w:type="dxa"/>
        </w:tblCellMar>
        <w:tblLook w:val="04A0" w:firstRow="1" w:lastRow="0" w:firstColumn="1" w:lastColumn="0" w:noHBand="0" w:noVBand="1"/>
      </w:tblPr>
      <w:tblGrid>
        <w:gridCol w:w="5372"/>
        <w:gridCol w:w="5538"/>
        <w:gridCol w:w="770"/>
        <w:gridCol w:w="1645"/>
        <w:gridCol w:w="2144"/>
      </w:tblGrid>
      <w:tr w:rsidR="00A30580" w:rsidRPr="00A30580" w14:paraId="7C14CA55" w14:textId="77777777" w:rsidTr="00123315">
        <w:trPr>
          <w:trHeight w:val="1590"/>
        </w:trPr>
        <w:tc>
          <w:tcPr>
            <w:tcW w:w="5372" w:type="dxa"/>
            <w:tcBorders>
              <w:top w:val="single" w:sz="4" w:space="0" w:color="000000"/>
              <w:left w:val="single" w:sz="8" w:space="0" w:color="auto"/>
              <w:bottom w:val="single" w:sz="4" w:space="0" w:color="000000"/>
              <w:right w:val="single" w:sz="4" w:space="0" w:color="auto"/>
            </w:tcBorders>
            <w:shd w:val="clear" w:color="auto" w:fill="ED7D31" w:themeFill="accent2"/>
            <w:vAlign w:val="center"/>
            <w:hideMark/>
          </w:tcPr>
          <w:p w14:paraId="2F863CE9" w14:textId="77777777" w:rsidR="00A30580" w:rsidRPr="00A30580" w:rsidRDefault="00A30580" w:rsidP="00A30580">
            <w:pPr>
              <w:spacing w:after="0" w:line="240" w:lineRule="auto"/>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Construir cultura organizacional adequada à estratégia</w:t>
            </w:r>
          </w:p>
        </w:tc>
        <w:tc>
          <w:tcPr>
            <w:tcW w:w="6308" w:type="dxa"/>
            <w:gridSpan w:val="2"/>
            <w:tcBorders>
              <w:top w:val="single" w:sz="4" w:space="0" w:color="000000"/>
              <w:left w:val="nil"/>
              <w:bottom w:val="single" w:sz="4" w:space="0" w:color="000000"/>
              <w:right w:val="single" w:sz="4" w:space="0" w:color="000000"/>
            </w:tcBorders>
            <w:shd w:val="clear" w:color="auto" w:fill="ED7D31" w:themeFill="accent2"/>
            <w:vAlign w:val="center"/>
            <w:hideMark/>
          </w:tcPr>
          <w:p w14:paraId="4BDB834C" w14:textId="77777777" w:rsidR="00A30580" w:rsidRPr="00A30580" w:rsidRDefault="00A30580" w:rsidP="00A30580">
            <w:pPr>
              <w:spacing w:after="0" w:line="240" w:lineRule="auto"/>
              <w:jc w:val="center"/>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 xml:space="preserve">Fórmula </w:t>
            </w:r>
          </w:p>
        </w:tc>
        <w:tc>
          <w:tcPr>
            <w:tcW w:w="1645" w:type="dxa"/>
            <w:tcBorders>
              <w:top w:val="single" w:sz="4" w:space="0" w:color="000000"/>
              <w:left w:val="nil"/>
              <w:bottom w:val="single" w:sz="4" w:space="0" w:color="000000"/>
              <w:right w:val="single" w:sz="4" w:space="0" w:color="auto"/>
            </w:tcBorders>
            <w:shd w:val="clear" w:color="auto" w:fill="ED7D31" w:themeFill="accent2"/>
            <w:vAlign w:val="center"/>
            <w:hideMark/>
          </w:tcPr>
          <w:p w14:paraId="3F48CD7B" w14:textId="77777777" w:rsidR="00A30580" w:rsidRPr="00A30580" w:rsidRDefault="00A30580" w:rsidP="00A30580">
            <w:pPr>
              <w:spacing w:after="0" w:line="240" w:lineRule="auto"/>
              <w:jc w:val="center"/>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 xml:space="preserve">Periodicidade </w:t>
            </w:r>
          </w:p>
        </w:tc>
        <w:tc>
          <w:tcPr>
            <w:tcW w:w="2144" w:type="dxa"/>
            <w:tcBorders>
              <w:top w:val="single" w:sz="4" w:space="0" w:color="000000"/>
              <w:left w:val="nil"/>
              <w:bottom w:val="single" w:sz="4" w:space="0" w:color="000000"/>
              <w:right w:val="single" w:sz="8" w:space="0" w:color="auto"/>
            </w:tcBorders>
            <w:shd w:val="clear" w:color="auto" w:fill="ED7D31" w:themeFill="accent2"/>
            <w:vAlign w:val="center"/>
            <w:hideMark/>
          </w:tcPr>
          <w:p w14:paraId="66FFBD79" w14:textId="77777777" w:rsidR="00A30580" w:rsidRPr="00A30580" w:rsidRDefault="00A30580" w:rsidP="00A30580">
            <w:pPr>
              <w:spacing w:after="0" w:line="240" w:lineRule="auto"/>
              <w:jc w:val="center"/>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ÁREA</w:t>
            </w:r>
          </w:p>
        </w:tc>
      </w:tr>
      <w:tr w:rsidR="00A30580" w:rsidRPr="00A30580" w14:paraId="67939631" w14:textId="77777777" w:rsidTr="00123315">
        <w:trPr>
          <w:trHeight w:val="1800"/>
        </w:trPr>
        <w:tc>
          <w:tcPr>
            <w:tcW w:w="5372" w:type="dxa"/>
            <w:tcBorders>
              <w:top w:val="nil"/>
              <w:left w:val="single" w:sz="8" w:space="0" w:color="auto"/>
              <w:bottom w:val="single" w:sz="4" w:space="0" w:color="000000"/>
              <w:right w:val="single" w:sz="4" w:space="0" w:color="000000"/>
            </w:tcBorders>
            <w:shd w:val="clear" w:color="000000" w:fill="FFFFFF"/>
            <w:vAlign w:val="center"/>
            <w:hideMark/>
          </w:tcPr>
          <w:p w14:paraId="44A316FD" w14:textId="77777777" w:rsidR="00A30580" w:rsidRPr="00A30580" w:rsidRDefault="00A30580" w:rsidP="00A30580">
            <w:pPr>
              <w:spacing w:after="0" w:line="240" w:lineRule="auto"/>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 xml:space="preserve">Número de ações executadas                               </w:t>
            </w:r>
          </w:p>
        </w:tc>
        <w:tc>
          <w:tcPr>
            <w:tcW w:w="6308" w:type="dxa"/>
            <w:gridSpan w:val="2"/>
            <w:tcBorders>
              <w:top w:val="single" w:sz="4" w:space="0" w:color="000000"/>
              <w:left w:val="nil"/>
              <w:bottom w:val="single" w:sz="4" w:space="0" w:color="auto"/>
              <w:right w:val="single" w:sz="4" w:space="0" w:color="000000"/>
            </w:tcBorders>
            <w:shd w:val="clear" w:color="000000" w:fill="FFFFFF"/>
            <w:vAlign w:val="center"/>
            <w:hideMark/>
          </w:tcPr>
          <w:p w14:paraId="3FB5C858"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 xml:space="preserve">quantidade de ações executadas voltadas à cultura organizacional e estratégia                                                                                                                  </w:t>
            </w:r>
          </w:p>
        </w:tc>
        <w:tc>
          <w:tcPr>
            <w:tcW w:w="1645" w:type="dxa"/>
            <w:tcBorders>
              <w:top w:val="nil"/>
              <w:left w:val="nil"/>
              <w:bottom w:val="single" w:sz="4" w:space="0" w:color="000000"/>
              <w:right w:val="single" w:sz="4" w:space="0" w:color="000000"/>
            </w:tcBorders>
            <w:shd w:val="clear" w:color="000000" w:fill="FFFFFF"/>
            <w:vAlign w:val="center"/>
            <w:hideMark/>
          </w:tcPr>
          <w:p w14:paraId="3BD3A90B"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Anual</w:t>
            </w:r>
          </w:p>
        </w:tc>
        <w:tc>
          <w:tcPr>
            <w:tcW w:w="2144" w:type="dxa"/>
            <w:tcBorders>
              <w:top w:val="nil"/>
              <w:left w:val="nil"/>
              <w:bottom w:val="single" w:sz="4" w:space="0" w:color="000000"/>
              <w:right w:val="single" w:sz="8" w:space="0" w:color="auto"/>
            </w:tcBorders>
            <w:shd w:val="clear" w:color="auto" w:fill="auto"/>
            <w:vAlign w:val="center"/>
            <w:hideMark/>
          </w:tcPr>
          <w:p w14:paraId="523F19C7" w14:textId="77777777" w:rsidR="00123315" w:rsidRDefault="00A30580" w:rsidP="00A30580">
            <w:pPr>
              <w:spacing w:after="0" w:line="240" w:lineRule="auto"/>
              <w:jc w:val="center"/>
              <w:rPr>
                <w:rFonts w:ascii="Calibri" w:eastAsia="Times New Roman" w:hAnsi="Calibri" w:cs="Calibri"/>
                <w:color w:val="000000"/>
                <w:sz w:val="24"/>
                <w:szCs w:val="24"/>
                <w:lang w:eastAsia="pt-BR"/>
              </w:rPr>
            </w:pPr>
            <w:r w:rsidRPr="00A30580">
              <w:rPr>
                <w:rFonts w:ascii="Calibri" w:eastAsia="Times New Roman" w:hAnsi="Calibri" w:cs="Calibri"/>
                <w:color w:val="000000"/>
                <w:sz w:val="24"/>
                <w:szCs w:val="24"/>
                <w:lang w:eastAsia="pt-BR"/>
              </w:rPr>
              <w:t>GERAD/RH/</w:t>
            </w:r>
          </w:p>
          <w:p w14:paraId="4208D301" w14:textId="1B48C876" w:rsidR="00A30580" w:rsidRPr="00A30580" w:rsidRDefault="00A30580" w:rsidP="00A30580">
            <w:pPr>
              <w:spacing w:after="0" w:line="240" w:lineRule="auto"/>
              <w:jc w:val="center"/>
              <w:rPr>
                <w:rFonts w:ascii="Calibri" w:eastAsia="Times New Roman" w:hAnsi="Calibri" w:cs="Calibri"/>
                <w:color w:val="000000"/>
                <w:sz w:val="24"/>
                <w:szCs w:val="24"/>
                <w:lang w:eastAsia="pt-BR"/>
              </w:rPr>
            </w:pPr>
            <w:r w:rsidRPr="00A30580">
              <w:rPr>
                <w:rFonts w:ascii="Calibri" w:eastAsia="Times New Roman" w:hAnsi="Calibri" w:cs="Calibri"/>
                <w:color w:val="000000"/>
                <w:sz w:val="24"/>
                <w:szCs w:val="24"/>
                <w:lang w:eastAsia="pt-BR"/>
              </w:rPr>
              <w:t>GERPLAN</w:t>
            </w:r>
          </w:p>
        </w:tc>
      </w:tr>
      <w:tr w:rsidR="00A30580" w:rsidRPr="00A30580" w14:paraId="6BB63942" w14:textId="77777777" w:rsidTr="00123315">
        <w:trPr>
          <w:trHeight w:val="900"/>
        </w:trPr>
        <w:tc>
          <w:tcPr>
            <w:tcW w:w="5372" w:type="dxa"/>
            <w:vMerge w:val="restart"/>
            <w:tcBorders>
              <w:top w:val="nil"/>
              <w:left w:val="single" w:sz="8" w:space="0" w:color="auto"/>
              <w:bottom w:val="single" w:sz="4" w:space="0" w:color="auto"/>
              <w:right w:val="single" w:sz="4" w:space="0" w:color="auto"/>
            </w:tcBorders>
            <w:shd w:val="clear" w:color="000000" w:fill="FFFFFF"/>
            <w:vAlign w:val="center"/>
            <w:hideMark/>
          </w:tcPr>
          <w:p w14:paraId="23F5C4EC" w14:textId="77777777" w:rsidR="00A30580" w:rsidRPr="00A30580" w:rsidRDefault="00A30580" w:rsidP="00A30580">
            <w:pPr>
              <w:spacing w:after="0" w:line="240" w:lineRule="auto"/>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 xml:space="preserve">Índice de cumprimento das metas do Plano de Ação (%) </w:t>
            </w:r>
          </w:p>
        </w:tc>
        <w:tc>
          <w:tcPr>
            <w:tcW w:w="5538" w:type="dxa"/>
            <w:tcBorders>
              <w:top w:val="nil"/>
              <w:left w:val="nil"/>
              <w:bottom w:val="single" w:sz="4" w:space="0" w:color="auto"/>
              <w:right w:val="nil"/>
            </w:tcBorders>
            <w:shd w:val="clear" w:color="000000" w:fill="FFFFFF"/>
            <w:vAlign w:val="bottom"/>
            <w:hideMark/>
          </w:tcPr>
          <w:p w14:paraId="26905386"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total de iniciativas executadas</w:t>
            </w:r>
            <w:r w:rsidRPr="00A30580">
              <w:rPr>
                <w:rFonts w:ascii="Calibri" w:eastAsia="Times New Roman" w:hAnsi="Calibri" w:cs="Calibri"/>
                <w:b/>
                <w:bCs/>
                <w:sz w:val="24"/>
                <w:szCs w:val="24"/>
                <w:lang w:eastAsia="pt-BR"/>
              </w:rPr>
              <w:t xml:space="preserve">                                                                       </w:t>
            </w:r>
          </w:p>
        </w:tc>
        <w:tc>
          <w:tcPr>
            <w:tcW w:w="770" w:type="dxa"/>
            <w:vMerge w:val="restart"/>
            <w:tcBorders>
              <w:top w:val="nil"/>
              <w:left w:val="nil"/>
              <w:bottom w:val="single" w:sz="4" w:space="0" w:color="000000"/>
              <w:right w:val="single" w:sz="4" w:space="0" w:color="auto"/>
            </w:tcBorders>
            <w:shd w:val="clear" w:color="auto" w:fill="auto"/>
            <w:vAlign w:val="center"/>
            <w:hideMark/>
          </w:tcPr>
          <w:p w14:paraId="09E10197"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x 100</w:t>
            </w:r>
          </w:p>
        </w:tc>
        <w:tc>
          <w:tcPr>
            <w:tcW w:w="164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806C364"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Anual</w:t>
            </w:r>
          </w:p>
        </w:tc>
        <w:tc>
          <w:tcPr>
            <w:tcW w:w="2144" w:type="dxa"/>
            <w:vMerge w:val="restart"/>
            <w:tcBorders>
              <w:top w:val="nil"/>
              <w:left w:val="single" w:sz="4" w:space="0" w:color="auto"/>
              <w:bottom w:val="single" w:sz="4" w:space="0" w:color="000000"/>
              <w:right w:val="single" w:sz="8" w:space="0" w:color="auto"/>
            </w:tcBorders>
            <w:shd w:val="clear" w:color="auto" w:fill="auto"/>
            <w:vAlign w:val="center"/>
            <w:hideMark/>
          </w:tcPr>
          <w:p w14:paraId="56829C62" w14:textId="77777777" w:rsidR="00A30580" w:rsidRPr="00A30580" w:rsidRDefault="00A30580" w:rsidP="00A30580">
            <w:pPr>
              <w:spacing w:after="0" w:line="240" w:lineRule="auto"/>
              <w:jc w:val="center"/>
              <w:rPr>
                <w:rFonts w:ascii="Calibri" w:eastAsia="Times New Roman" w:hAnsi="Calibri" w:cs="Calibri"/>
                <w:color w:val="000000"/>
                <w:sz w:val="24"/>
                <w:szCs w:val="24"/>
                <w:lang w:eastAsia="pt-BR"/>
              </w:rPr>
            </w:pPr>
            <w:r w:rsidRPr="00A30580">
              <w:rPr>
                <w:rFonts w:ascii="Calibri" w:eastAsia="Times New Roman" w:hAnsi="Calibri" w:cs="Calibri"/>
                <w:color w:val="000000"/>
                <w:sz w:val="24"/>
                <w:szCs w:val="24"/>
                <w:lang w:eastAsia="pt-BR"/>
              </w:rPr>
              <w:t>GERPLAN</w:t>
            </w:r>
          </w:p>
        </w:tc>
      </w:tr>
      <w:tr w:rsidR="00A30580" w:rsidRPr="00A30580" w14:paraId="17822F88" w14:textId="77777777" w:rsidTr="00123315">
        <w:trPr>
          <w:trHeight w:val="900"/>
        </w:trPr>
        <w:tc>
          <w:tcPr>
            <w:tcW w:w="5372" w:type="dxa"/>
            <w:vMerge/>
            <w:tcBorders>
              <w:top w:val="nil"/>
              <w:left w:val="single" w:sz="8" w:space="0" w:color="auto"/>
              <w:bottom w:val="single" w:sz="4" w:space="0" w:color="auto"/>
              <w:right w:val="single" w:sz="4" w:space="0" w:color="auto"/>
            </w:tcBorders>
            <w:vAlign w:val="center"/>
            <w:hideMark/>
          </w:tcPr>
          <w:p w14:paraId="48BF9B20" w14:textId="77777777" w:rsidR="00A30580" w:rsidRPr="00A30580" w:rsidRDefault="00A30580" w:rsidP="00A30580">
            <w:pPr>
              <w:spacing w:after="0" w:line="240" w:lineRule="auto"/>
              <w:rPr>
                <w:rFonts w:ascii="Calibri" w:eastAsia="Times New Roman" w:hAnsi="Calibri" w:cs="Calibri"/>
                <w:sz w:val="24"/>
                <w:szCs w:val="24"/>
                <w:lang w:eastAsia="pt-BR"/>
              </w:rPr>
            </w:pPr>
          </w:p>
        </w:tc>
        <w:tc>
          <w:tcPr>
            <w:tcW w:w="5538" w:type="dxa"/>
            <w:tcBorders>
              <w:top w:val="nil"/>
              <w:left w:val="nil"/>
              <w:bottom w:val="single" w:sz="4" w:space="0" w:color="auto"/>
              <w:right w:val="nil"/>
            </w:tcBorders>
            <w:shd w:val="clear" w:color="000000" w:fill="FFFFFF"/>
            <w:hideMark/>
          </w:tcPr>
          <w:p w14:paraId="79AF0818"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total de iniciativas planejadas</w:t>
            </w:r>
            <w:r w:rsidRPr="00A30580">
              <w:rPr>
                <w:rFonts w:ascii="Calibri" w:eastAsia="Times New Roman" w:hAnsi="Calibri" w:cs="Calibri"/>
                <w:b/>
                <w:bCs/>
                <w:sz w:val="24"/>
                <w:szCs w:val="24"/>
                <w:lang w:eastAsia="pt-BR"/>
              </w:rPr>
              <w:t xml:space="preserve">                                                                                  </w:t>
            </w:r>
          </w:p>
        </w:tc>
        <w:tc>
          <w:tcPr>
            <w:tcW w:w="770" w:type="dxa"/>
            <w:vMerge/>
            <w:tcBorders>
              <w:top w:val="nil"/>
              <w:left w:val="nil"/>
              <w:bottom w:val="single" w:sz="4" w:space="0" w:color="000000"/>
              <w:right w:val="single" w:sz="4" w:space="0" w:color="auto"/>
            </w:tcBorders>
            <w:vAlign w:val="center"/>
            <w:hideMark/>
          </w:tcPr>
          <w:p w14:paraId="4AD66905" w14:textId="77777777" w:rsidR="00A30580" w:rsidRPr="00A30580" w:rsidRDefault="00A30580" w:rsidP="00A30580">
            <w:pPr>
              <w:spacing w:after="0" w:line="240" w:lineRule="auto"/>
              <w:rPr>
                <w:rFonts w:ascii="Calibri" w:eastAsia="Times New Roman" w:hAnsi="Calibri" w:cs="Calibri"/>
                <w:sz w:val="24"/>
                <w:szCs w:val="24"/>
                <w:lang w:eastAsia="pt-BR"/>
              </w:rPr>
            </w:pPr>
          </w:p>
        </w:tc>
        <w:tc>
          <w:tcPr>
            <w:tcW w:w="1645" w:type="dxa"/>
            <w:vMerge/>
            <w:tcBorders>
              <w:top w:val="nil"/>
              <w:left w:val="single" w:sz="4" w:space="0" w:color="000000"/>
              <w:bottom w:val="single" w:sz="4" w:space="0" w:color="000000"/>
              <w:right w:val="single" w:sz="4" w:space="0" w:color="000000"/>
            </w:tcBorders>
            <w:vAlign w:val="center"/>
            <w:hideMark/>
          </w:tcPr>
          <w:p w14:paraId="1E87B8AA" w14:textId="77777777" w:rsidR="00A30580" w:rsidRPr="00A30580" w:rsidRDefault="00A30580" w:rsidP="00A30580">
            <w:pPr>
              <w:spacing w:after="0" w:line="240" w:lineRule="auto"/>
              <w:rPr>
                <w:rFonts w:ascii="Calibri" w:eastAsia="Times New Roman" w:hAnsi="Calibri" w:cs="Calibri"/>
                <w:sz w:val="24"/>
                <w:szCs w:val="24"/>
                <w:lang w:eastAsia="pt-BR"/>
              </w:rPr>
            </w:pPr>
          </w:p>
        </w:tc>
        <w:tc>
          <w:tcPr>
            <w:tcW w:w="2144" w:type="dxa"/>
            <w:vMerge/>
            <w:tcBorders>
              <w:top w:val="nil"/>
              <w:left w:val="single" w:sz="4" w:space="0" w:color="auto"/>
              <w:bottom w:val="single" w:sz="4" w:space="0" w:color="000000"/>
              <w:right w:val="single" w:sz="8" w:space="0" w:color="auto"/>
            </w:tcBorders>
            <w:vAlign w:val="center"/>
            <w:hideMark/>
          </w:tcPr>
          <w:p w14:paraId="57C40F0C" w14:textId="77777777" w:rsidR="00A30580" w:rsidRPr="00A30580" w:rsidRDefault="00A30580" w:rsidP="00A30580">
            <w:pPr>
              <w:spacing w:after="0" w:line="240" w:lineRule="auto"/>
              <w:rPr>
                <w:rFonts w:ascii="Calibri" w:eastAsia="Times New Roman" w:hAnsi="Calibri" w:cs="Calibri"/>
                <w:color w:val="000000"/>
                <w:sz w:val="24"/>
                <w:szCs w:val="24"/>
                <w:lang w:eastAsia="pt-BR"/>
              </w:rPr>
            </w:pPr>
          </w:p>
        </w:tc>
      </w:tr>
      <w:tr w:rsidR="00A30580" w:rsidRPr="00A30580" w14:paraId="744914C4" w14:textId="77777777" w:rsidTr="00123315">
        <w:trPr>
          <w:trHeight w:val="1590"/>
        </w:trPr>
        <w:tc>
          <w:tcPr>
            <w:tcW w:w="5372" w:type="dxa"/>
            <w:tcBorders>
              <w:top w:val="nil"/>
              <w:left w:val="single" w:sz="8" w:space="0" w:color="auto"/>
              <w:bottom w:val="single" w:sz="4" w:space="0" w:color="000000"/>
              <w:right w:val="single" w:sz="4" w:space="0" w:color="auto"/>
            </w:tcBorders>
            <w:shd w:val="clear" w:color="auto" w:fill="ED7D31" w:themeFill="accent2"/>
            <w:vAlign w:val="center"/>
            <w:hideMark/>
          </w:tcPr>
          <w:p w14:paraId="786624A8" w14:textId="77777777" w:rsidR="00A30580" w:rsidRPr="00A30580" w:rsidRDefault="00A30580" w:rsidP="00A30580">
            <w:pPr>
              <w:spacing w:after="0" w:line="240" w:lineRule="auto"/>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Ter sistemas de informação e infraestrutura que viabilizem a gestão e o atendimento dos arquitetos e urbanistas e a sociedade</w:t>
            </w:r>
          </w:p>
        </w:tc>
        <w:tc>
          <w:tcPr>
            <w:tcW w:w="6308" w:type="dxa"/>
            <w:gridSpan w:val="2"/>
            <w:tcBorders>
              <w:top w:val="single" w:sz="4" w:space="0" w:color="000000"/>
              <w:left w:val="nil"/>
              <w:bottom w:val="single" w:sz="4" w:space="0" w:color="000000"/>
              <w:right w:val="single" w:sz="4" w:space="0" w:color="000000"/>
            </w:tcBorders>
            <w:shd w:val="clear" w:color="auto" w:fill="ED7D31" w:themeFill="accent2"/>
            <w:vAlign w:val="center"/>
            <w:hideMark/>
          </w:tcPr>
          <w:p w14:paraId="01994057" w14:textId="77777777" w:rsidR="00A30580" w:rsidRPr="00A30580" w:rsidRDefault="00A30580" w:rsidP="00A30580">
            <w:pPr>
              <w:spacing w:after="0" w:line="240" w:lineRule="auto"/>
              <w:jc w:val="center"/>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 xml:space="preserve">Fórmula </w:t>
            </w:r>
          </w:p>
        </w:tc>
        <w:tc>
          <w:tcPr>
            <w:tcW w:w="1645" w:type="dxa"/>
            <w:tcBorders>
              <w:top w:val="nil"/>
              <w:left w:val="nil"/>
              <w:bottom w:val="single" w:sz="4" w:space="0" w:color="000000"/>
              <w:right w:val="single" w:sz="4" w:space="0" w:color="auto"/>
            </w:tcBorders>
            <w:shd w:val="clear" w:color="auto" w:fill="ED7D31" w:themeFill="accent2"/>
            <w:vAlign w:val="center"/>
            <w:hideMark/>
          </w:tcPr>
          <w:p w14:paraId="6F45EE18" w14:textId="77777777" w:rsidR="00A30580" w:rsidRPr="00A30580" w:rsidRDefault="00A30580" w:rsidP="00A30580">
            <w:pPr>
              <w:spacing w:after="0" w:line="240" w:lineRule="auto"/>
              <w:jc w:val="center"/>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 xml:space="preserve">Periodicidade </w:t>
            </w:r>
          </w:p>
        </w:tc>
        <w:tc>
          <w:tcPr>
            <w:tcW w:w="2144" w:type="dxa"/>
            <w:tcBorders>
              <w:top w:val="nil"/>
              <w:left w:val="nil"/>
              <w:bottom w:val="single" w:sz="4" w:space="0" w:color="000000"/>
              <w:right w:val="single" w:sz="8" w:space="0" w:color="auto"/>
            </w:tcBorders>
            <w:shd w:val="clear" w:color="auto" w:fill="ED7D31" w:themeFill="accent2"/>
            <w:vAlign w:val="center"/>
            <w:hideMark/>
          </w:tcPr>
          <w:p w14:paraId="68CBFA2A" w14:textId="77777777" w:rsidR="00A30580" w:rsidRPr="00A30580" w:rsidRDefault="00A30580" w:rsidP="00A30580">
            <w:pPr>
              <w:spacing w:after="0" w:line="240" w:lineRule="auto"/>
              <w:jc w:val="center"/>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ÁREA</w:t>
            </w:r>
          </w:p>
        </w:tc>
      </w:tr>
      <w:tr w:rsidR="00A30580" w:rsidRPr="00A30580" w14:paraId="699C395E" w14:textId="77777777" w:rsidTr="00123315">
        <w:trPr>
          <w:trHeight w:val="900"/>
        </w:trPr>
        <w:tc>
          <w:tcPr>
            <w:tcW w:w="5372"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32AE988B" w14:textId="77777777" w:rsidR="00A30580" w:rsidRPr="00A30580" w:rsidRDefault="00A30580" w:rsidP="00A30580">
            <w:pPr>
              <w:spacing w:after="0" w:line="240" w:lineRule="auto"/>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Resolubilidade operacional do SICCAU (%)</w:t>
            </w:r>
            <w:r w:rsidRPr="00A30580">
              <w:rPr>
                <w:rFonts w:ascii="Calibri" w:eastAsia="Times New Roman" w:hAnsi="Calibri" w:cs="Calibri"/>
                <w:sz w:val="24"/>
                <w:szCs w:val="24"/>
                <w:lang w:eastAsia="pt-BR"/>
              </w:rPr>
              <w:br/>
            </w:r>
            <w:r w:rsidRPr="00A30580">
              <w:rPr>
                <w:rFonts w:ascii="Calibri" w:eastAsia="Times New Roman" w:hAnsi="Calibri" w:cs="Calibri"/>
                <w:b/>
                <w:bCs/>
                <w:sz w:val="24"/>
                <w:szCs w:val="24"/>
                <w:lang w:eastAsia="pt-BR"/>
              </w:rPr>
              <w:t>(CAU/BR)</w:t>
            </w:r>
          </w:p>
        </w:tc>
        <w:tc>
          <w:tcPr>
            <w:tcW w:w="5538" w:type="dxa"/>
            <w:tcBorders>
              <w:top w:val="nil"/>
              <w:left w:val="nil"/>
              <w:bottom w:val="single" w:sz="4" w:space="0" w:color="auto"/>
              <w:right w:val="nil"/>
            </w:tcBorders>
            <w:shd w:val="clear" w:color="000000" w:fill="FFFFFF"/>
            <w:vAlign w:val="bottom"/>
            <w:hideMark/>
          </w:tcPr>
          <w:p w14:paraId="6F1ED15A"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número de atividades executadas</w:t>
            </w:r>
          </w:p>
        </w:tc>
        <w:tc>
          <w:tcPr>
            <w:tcW w:w="770" w:type="dxa"/>
            <w:vMerge w:val="restart"/>
            <w:tcBorders>
              <w:top w:val="nil"/>
              <w:left w:val="nil"/>
              <w:bottom w:val="single" w:sz="8" w:space="0" w:color="000000"/>
              <w:right w:val="single" w:sz="4" w:space="0" w:color="auto"/>
            </w:tcBorders>
            <w:shd w:val="clear" w:color="000000" w:fill="FFFFFF"/>
            <w:noWrap/>
            <w:vAlign w:val="center"/>
            <w:hideMark/>
          </w:tcPr>
          <w:p w14:paraId="0C526721"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x 100</w:t>
            </w:r>
          </w:p>
        </w:tc>
        <w:tc>
          <w:tcPr>
            <w:tcW w:w="1645" w:type="dxa"/>
            <w:vMerge w:val="restart"/>
            <w:tcBorders>
              <w:top w:val="nil"/>
              <w:left w:val="single" w:sz="4" w:space="0" w:color="000000"/>
              <w:bottom w:val="single" w:sz="8" w:space="0" w:color="000000"/>
              <w:right w:val="single" w:sz="4" w:space="0" w:color="000000"/>
            </w:tcBorders>
            <w:shd w:val="clear" w:color="000000" w:fill="FFFFFF"/>
            <w:vAlign w:val="center"/>
            <w:hideMark/>
          </w:tcPr>
          <w:p w14:paraId="504B1329" w14:textId="6807FA79"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 xml:space="preserve">Semestral e </w:t>
            </w:r>
            <w:r w:rsidR="00A65319">
              <w:rPr>
                <w:rFonts w:ascii="Calibri" w:eastAsia="Times New Roman" w:hAnsi="Calibri" w:cs="Calibri"/>
                <w:sz w:val="24"/>
                <w:szCs w:val="24"/>
                <w:lang w:eastAsia="pt-BR"/>
              </w:rPr>
              <w:t>A</w:t>
            </w:r>
            <w:r w:rsidRPr="00A30580">
              <w:rPr>
                <w:rFonts w:ascii="Calibri" w:eastAsia="Times New Roman" w:hAnsi="Calibri" w:cs="Calibri"/>
                <w:sz w:val="24"/>
                <w:szCs w:val="24"/>
                <w:lang w:eastAsia="pt-BR"/>
              </w:rPr>
              <w:t>nual</w:t>
            </w:r>
          </w:p>
        </w:tc>
        <w:tc>
          <w:tcPr>
            <w:tcW w:w="2144" w:type="dxa"/>
            <w:vMerge w:val="restart"/>
            <w:tcBorders>
              <w:top w:val="nil"/>
              <w:left w:val="single" w:sz="4" w:space="0" w:color="000000"/>
              <w:bottom w:val="single" w:sz="8" w:space="0" w:color="000000"/>
              <w:right w:val="single" w:sz="8" w:space="0" w:color="auto"/>
            </w:tcBorders>
            <w:shd w:val="clear" w:color="000000" w:fill="FFFFFF"/>
            <w:vAlign w:val="center"/>
            <w:hideMark/>
          </w:tcPr>
          <w:p w14:paraId="6B2AF23F"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CSC</w:t>
            </w:r>
          </w:p>
        </w:tc>
      </w:tr>
      <w:tr w:rsidR="00A30580" w:rsidRPr="00A30580" w14:paraId="1AFA1AE5" w14:textId="77777777" w:rsidTr="00123315">
        <w:trPr>
          <w:trHeight w:val="900"/>
        </w:trPr>
        <w:tc>
          <w:tcPr>
            <w:tcW w:w="5372" w:type="dxa"/>
            <w:vMerge/>
            <w:tcBorders>
              <w:top w:val="nil"/>
              <w:left w:val="single" w:sz="8" w:space="0" w:color="auto"/>
              <w:bottom w:val="single" w:sz="8" w:space="0" w:color="000000"/>
              <w:right w:val="single" w:sz="4" w:space="0" w:color="auto"/>
            </w:tcBorders>
            <w:vAlign w:val="center"/>
            <w:hideMark/>
          </w:tcPr>
          <w:p w14:paraId="2951CD4D" w14:textId="77777777" w:rsidR="00A30580" w:rsidRPr="00A30580" w:rsidRDefault="00A30580" w:rsidP="00A30580">
            <w:pPr>
              <w:spacing w:after="0" w:line="240" w:lineRule="auto"/>
              <w:rPr>
                <w:rFonts w:ascii="Calibri" w:eastAsia="Times New Roman" w:hAnsi="Calibri" w:cs="Calibri"/>
                <w:sz w:val="24"/>
                <w:szCs w:val="24"/>
                <w:lang w:eastAsia="pt-BR"/>
              </w:rPr>
            </w:pPr>
          </w:p>
        </w:tc>
        <w:tc>
          <w:tcPr>
            <w:tcW w:w="5538" w:type="dxa"/>
            <w:tcBorders>
              <w:top w:val="nil"/>
              <w:left w:val="nil"/>
              <w:bottom w:val="single" w:sz="8" w:space="0" w:color="auto"/>
              <w:right w:val="nil"/>
            </w:tcBorders>
            <w:shd w:val="clear" w:color="auto" w:fill="auto"/>
            <w:noWrap/>
            <w:hideMark/>
          </w:tcPr>
          <w:p w14:paraId="423DCA01" w14:textId="77777777" w:rsidR="00A30580" w:rsidRPr="00A30580" w:rsidRDefault="00A30580" w:rsidP="00A30580">
            <w:pPr>
              <w:spacing w:after="0" w:line="240" w:lineRule="auto"/>
              <w:jc w:val="center"/>
              <w:rPr>
                <w:rFonts w:ascii="Calibri" w:eastAsia="Times New Roman" w:hAnsi="Calibri" w:cs="Calibri"/>
                <w:color w:val="000000"/>
                <w:sz w:val="24"/>
                <w:szCs w:val="24"/>
                <w:lang w:eastAsia="pt-BR"/>
              </w:rPr>
            </w:pPr>
            <w:r w:rsidRPr="00A30580">
              <w:rPr>
                <w:rFonts w:ascii="Calibri" w:eastAsia="Times New Roman" w:hAnsi="Calibri" w:cs="Calibri"/>
                <w:color w:val="000000"/>
                <w:sz w:val="24"/>
                <w:szCs w:val="24"/>
                <w:lang w:eastAsia="pt-BR"/>
              </w:rPr>
              <w:t>número de atividades demandadas</w:t>
            </w:r>
          </w:p>
        </w:tc>
        <w:tc>
          <w:tcPr>
            <w:tcW w:w="770" w:type="dxa"/>
            <w:vMerge/>
            <w:tcBorders>
              <w:top w:val="nil"/>
              <w:left w:val="nil"/>
              <w:bottom w:val="single" w:sz="8" w:space="0" w:color="000000"/>
              <w:right w:val="single" w:sz="4" w:space="0" w:color="auto"/>
            </w:tcBorders>
            <w:vAlign w:val="center"/>
            <w:hideMark/>
          </w:tcPr>
          <w:p w14:paraId="577B69B2" w14:textId="77777777" w:rsidR="00A30580" w:rsidRPr="00A30580" w:rsidRDefault="00A30580" w:rsidP="00A30580">
            <w:pPr>
              <w:spacing w:after="0" w:line="240" w:lineRule="auto"/>
              <w:rPr>
                <w:rFonts w:ascii="Calibri" w:eastAsia="Times New Roman" w:hAnsi="Calibri" w:cs="Calibri"/>
                <w:sz w:val="24"/>
                <w:szCs w:val="24"/>
                <w:lang w:eastAsia="pt-BR"/>
              </w:rPr>
            </w:pPr>
          </w:p>
        </w:tc>
        <w:tc>
          <w:tcPr>
            <w:tcW w:w="1645" w:type="dxa"/>
            <w:vMerge/>
            <w:tcBorders>
              <w:top w:val="nil"/>
              <w:left w:val="single" w:sz="4" w:space="0" w:color="000000"/>
              <w:bottom w:val="single" w:sz="8" w:space="0" w:color="000000"/>
              <w:right w:val="single" w:sz="4" w:space="0" w:color="000000"/>
            </w:tcBorders>
            <w:vAlign w:val="center"/>
            <w:hideMark/>
          </w:tcPr>
          <w:p w14:paraId="3492A9A2" w14:textId="77777777" w:rsidR="00A30580" w:rsidRPr="00A30580" w:rsidRDefault="00A30580" w:rsidP="00A30580">
            <w:pPr>
              <w:spacing w:after="0" w:line="240" w:lineRule="auto"/>
              <w:rPr>
                <w:rFonts w:ascii="Calibri" w:eastAsia="Times New Roman" w:hAnsi="Calibri" w:cs="Calibri"/>
                <w:sz w:val="24"/>
                <w:szCs w:val="24"/>
                <w:lang w:eastAsia="pt-BR"/>
              </w:rPr>
            </w:pPr>
          </w:p>
        </w:tc>
        <w:tc>
          <w:tcPr>
            <w:tcW w:w="2144" w:type="dxa"/>
            <w:vMerge/>
            <w:tcBorders>
              <w:top w:val="nil"/>
              <w:left w:val="single" w:sz="4" w:space="0" w:color="000000"/>
              <w:bottom w:val="single" w:sz="8" w:space="0" w:color="000000"/>
              <w:right w:val="single" w:sz="8" w:space="0" w:color="auto"/>
            </w:tcBorders>
            <w:vAlign w:val="center"/>
            <w:hideMark/>
          </w:tcPr>
          <w:p w14:paraId="798268C4" w14:textId="77777777" w:rsidR="00A30580" w:rsidRPr="00A30580" w:rsidRDefault="00A30580" w:rsidP="00A30580">
            <w:pPr>
              <w:spacing w:after="0" w:line="240" w:lineRule="auto"/>
              <w:rPr>
                <w:rFonts w:ascii="Calibri" w:eastAsia="Times New Roman" w:hAnsi="Calibri" w:cs="Calibri"/>
                <w:sz w:val="24"/>
                <w:szCs w:val="24"/>
                <w:lang w:eastAsia="pt-BR"/>
              </w:rPr>
            </w:pPr>
          </w:p>
        </w:tc>
      </w:tr>
    </w:tbl>
    <w:p w14:paraId="7DC853B2" w14:textId="4972D619" w:rsidR="00DB4A22" w:rsidRPr="00DB4A22" w:rsidRDefault="00DB4A22" w:rsidP="00DB4A22">
      <w:pPr>
        <w:tabs>
          <w:tab w:val="left" w:pos="10575"/>
        </w:tabs>
        <w:rPr>
          <w:rFonts w:eastAsia="Arial Unicode MS" w:cs="Calibri"/>
          <w:sz w:val="24"/>
          <w:szCs w:val="24"/>
        </w:rPr>
        <w:sectPr w:rsidR="00DB4A22" w:rsidRPr="00DB4A22" w:rsidSect="00A524B7">
          <w:pgSz w:w="16838" w:h="11906" w:orient="landscape"/>
          <w:pgMar w:top="1701" w:right="1701" w:bottom="1134" w:left="1134" w:header="709" w:footer="153" w:gutter="0"/>
          <w:cols w:space="708"/>
          <w:docGrid w:linePitch="360"/>
        </w:sectPr>
      </w:pPr>
    </w:p>
    <w:p w14:paraId="7DC853B3" w14:textId="77777777" w:rsidR="00D80A3A" w:rsidRDefault="00D80A3A" w:rsidP="00D80A3A">
      <w:pPr>
        <w:spacing w:line="360" w:lineRule="auto"/>
        <w:ind w:firstLine="851"/>
        <w:jc w:val="both"/>
        <w:rPr>
          <w:rFonts w:eastAsia="Arial Unicode MS" w:cs="Calibri"/>
          <w:sz w:val="24"/>
          <w:szCs w:val="24"/>
        </w:rPr>
      </w:pPr>
    </w:p>
    <w:p w14:paraId="7DC853B4" w14:textId="7E52380A" w:rsidR="00D80A3A" w:rsidRDefault="00D80A3A" w:rsidP="00D80A3A">
      <w:pPr>
        <w:spacing w:line="360" w:lineRule="auto"/>
        <w:ind w:firstLine="851"/>
        <w:jc w:val="both"/>
        <w:rPr>
          <w:rFonts w:eastAsia="Arial Unicode MS" w:cs="Calibri"/>
          <w:sz w:val="24"/>
          <w:szCs w:val="24"/>
        </w:rPr>
      </w:pPr>
    </w:p>
    <w:p w14:paraId="333CDA75" w14:textId="40959A0A" w:rsidR="00715300" w:rsidRDefault="00715300" w:rsidP="00D80A3A">
      <w:pPr>
        <w:spacing w:line="360" w:lineRule="auto"/>
        <w:ind w:firstLine="851"/>
        <w:jc w:val="both"/>
        <w:rPr>
          <w:rFonts w:eastAsia="Arial Unicode MS" w:cs="Calibri"/>
          <w:sz w:val="24"/>
          <w:szCs w:val="24"/>
        </w:rPr>
      </w:pPr>
    </w:p>
    <w:p w14:paraId="46433BD0" w14:textId="77777777" w:rsidR="00715300" w:rsidRDefault="00715300" w:rsidP="00D80A3A">
      <w:pPr>
        <w:spacing w:line="360" w:lineRule="auto"/>
        <w:ind w:firstLine="851"/>
        <w:jc w:val="both"/>
        <w:rPr>
          <w:rFonts w:eastAsia="Arial Unicode MS" w:cs="Calibri"/>
          <w:sz w:val="24"/>
          <w:szCs w:val="24"/>
        </w:rPr>
      </w:pPr>
    </w:p>
    <w:p w14:paraId="7DC853B5" w14:textId="77777777" w:rsidR="00D80A3A" w:rsidRDefault="00D80A3A" w:rsidP="00D80A3A">
      <w:pPr>
        <w:spacing w:line="360" w:lineRule="auto"/>
        <w:ind w:firstLine="851"/>
        <w:jc w:val="both"/>
        <w:rPr>
          <w:rFonts w:eastAsia="Arial Unicode MS" w:cs="Calibri"/>
          <w:sz w:val="24"/>
          <w:szCs w:val="24"/>
        </w:rPr>
      </w:pPr>
    </w:p>
    <w:p w14:paraId="7DC853B6" w14:textId="77777777" w:rsidR="00D80A3A" w:rsidRDefault="00D80A3A" w:rsidP="00D80A3A">
      <w:pPr>
        <w:spacing w:line="360" w:lineRule="auto"/>
        <w:ind w:firstLine="851"/>
        <w:jc w:val="both"/>
        <w:rPr>
          <w:rFonts w:eastAsia="Arial Unicode MS" w:cs="Calibri"/>
          <w:sz w:val="24"/>
          <w:szCs w:val="24"/>
        </w:rPr>
      </w:pPr>
    </w:p>
    <w:p w14:paraId="7DC853B7" w14:textId="77777777" w:rsidR="00D80A3A" w:rsidRDefault="00D80A3A" w:rsidP="00D80A3A">
      <w:pPr>
        <w:spacing w:line="360" w:lineRule="auto"/>
        <w:ind w:firstLine="851"/>
        <w:jc w:val="both"/>
        <w:rPr>
          <w:rFonts w:eastAsia="Arial Unicode MS" w:cs="Calibri"/>
          <w:sz w:val="24"/>
          <w:szCs w:val="24"/>
        </w:rPr>
      </w:pPr>
    </w:p>
    <w:p w14:paraId="7DC853B8" w14:textId="77777777" w:rsidR="00D80A3A" w:rsidRDefault="00D80A3A" w:rsidP="00D80A3A">
      <w:pPr>
        <w:spacing w:line="360" w:lineRule="auto"/>
        <w:ind w:firstLine="851"/>
        <w:jc w:val="both"/>
        <w:rPr>
          <w:rFonts w:eastAsia="Arial Unicode MS" w:cs="Calibri"/>
          <w:sz w:val="24"/>
          <w:szCs w:val="24"/>
        </w:rPr>
      </w:pPr>
    </w:p>
    <w:p w14:paraId="7DC853B9" w14:textId="77777777" w:rsidR="00837BE6" w:rsidRDefault="00837BE6" w:rsidP="00D80A3A">
      <w:pPr>
        <w:spacing w:line="360" w:lineRule="auto"/>
        <w:ind w:firstLine="851"/>
        <w:jc w:val="both"/>
        <w:rPr>
          <w:rFonts w:eastAsia="Arial Unicode MS" w:cs="Calibri"/>
          <w:sz w:val="24"/>
          <w:szCs w:val="24"/>
        </w:rPr>
      </w:pPr>
    </w:p>
    <w:p w14:paraId="7DC853BA" w14:textId="77777777" w:rsidR="00837BE6" w:rsidRDefault="00837BE6" w:rsidP="00D80A3A">
      <w:pPr>
        <w:spacing w:line="360" w:lineRule="auto"/>
        <w:ind w:firstLine="851"/>
        <w:jc w:val="both"/>
        <w:rPr>
          <w:rFonts w:eastAsia="Arial Unicode MS" w:cs="Calibri"/>
          <w:sz w:val="24"/>
          <w:szCs w:val="24"/>
        </w:rPr>
      </w:pPr>
    </w:p>
    <w:p w14:paraId="7DC853BB" w14:textId="77777777" w:rsidR="00D80A3A" w:rsidRPr="003B0CCD" w:rsidRDefault="00D80A3A" w:rsidP="00372BF3">
      <w:pPr>
        <w:pStyle w:val="Ttulo4"/>
        <w:jc w:val="center"/>
        <w:rPr>
          <w:rFonts w:eastAsia="Arial Unicode MS"/>
          <w:color w:val="612141"/>
        </w:rPr>
      </w:pPr>
      <w:bookmarkStart w:id="90" w:name="_ANEXO_III_–"/>
      <w:bookmarkStart w:id="91" w:name="_Toc424658691"/>
      <w:bookmarkStart w:id="92" w:name="_Toc487547248"/>
      <w:bookmarkEnd w:id="90"/>
      <w:r w:rsidRPr="003B0CCD">
        <w:rPr>
          <w:rFonts w:eastAsia="Arial Unicode MS"/>
          <w:color w:val="612141"/>
        </w:rPr>
        <w:t>ANEXO III – CAU/UF – Posição de Arquitetos e Urbanistas, Empresas e RRT</w:t>
      </w:r>
      <w:bookmarkEnd w:id="91"/>
      <w:bookmarkEnd w:id="92"/>
    </w:p>
    <w:p w14:paraId="7DC853BC" w14:textId="77777777" w:rsidR="00D80A3A" w:rsidRPr="00E80703" w:rsidRDefault="00D80A3A" w:rsidP="00D80A3A">
      <w:pPr>
        <w:spacing w:line="360" w:lineRule="auto"/>
        <w:ind w:firstLine="851"/>
        <w:jc w:val="both"/>
        <w:rPr>
          <w:rFonts w:eastAsia="Arial Unicode MS" w:cs="Calibri"/>
          <w:sz w:val="24"/>
          <w:szCs w:val="24"/>
        </w:rPr>
      </w:pPr>
    </w:p>
    <w:p w14:paraId="7DC853BD" w14:textId="77777777" w:rsidR="00D80A3A" w:rsidRPr="00E80703" w:rsidRDefault="00D80A3A" w:rsidP="00D80A3A">
      <w:pPr>
        <w:spacing w:line="360" w:lineRule="auto"/>
        <w:ind w:firstLine="851"/>
        <w:jc w:val="both"/>
        <w:rPr>
          <w:rFonts w:eastAsia="Arial Unicode MS" w:cs="Calibri"/>
          <w:sz w:val="24"/>
          <w:szCs w:val="24"/>
        </w:rPr>
      </w:pPr>
    </w:p>
    <w:p w14:paraId="7DC853BE" w14:textId="77777777" w:rsidR="00D80A3A" w:rsidRPr="00E80703" w:rsidRDefault="00D80A3A" w:rsidP="00D80A3A">
      <w:pPr>
        <w:rPr>
          <w:rFonts w:eastAsia="Arial Unicode MS" w:cs="Calibri"/>
          <w:sz w:val="24"/>
          <w:szCs w:val="24"/>
        </w:rPr>
      </w:pPr>
      <w:r w:rsidRPr="00E80703">
        <w:rPr>
          <w:rFonts w:eastAsia="Arial Unicode MS" w:cs="Calibri"/>
          <w:sz w:val="24"/>
          <w:szCs w:val="24"/>
        </w:rPr>
        <w:br w:type="page"/>
      </w:r>
    </w:p>
    <w:p w14:paraId="7DC853BF" w14:textId="77777777" w:rsidR="00D80A3A" w:rsidRPr="00E80703" w:rsidRDefault="00D80A3A" w:rsidP="00D80A3A">
      <w:pPr>
        <w:spacing w:line="360" w:lineRule="auto"/>
        <w:ind w:firstLine="851"/>
        <w:jc w:val="both"/>
        <w:rPr>
          <w:rFonts w:eastAsia="Arial Unicode MS" w:cs="Calibri"/>
          <w:sz w:val="24"/>
          <w:szCs w:val="24"/>
        </w:rPr>
        <w:sectPr w:rsidR="00D80A3A" w:rsidRPr="00E80703" w:rsidSect="00A524B7">
          <w:pgSz w:w="11906" w:h="16838"/>
          <w:pgMar w:top="1701" w:right="1134" w:bottom="1134" w:left="1701" w:header="709" w:footer="153" w:gutter="0"/>
          <w:cols w:space="708"/>
          <w:docGrid w:linePitch="360"/>
        </w:sectPr>
      </w:pPr>
    </w:p>
    <w:p w14:paraId="7DC853C0" w14:textId="240D83BA" w:rsidR="009C5F6F" w:rsidRDefault="00D80A3A" w:rsidP="006D637A">
      <w:pPr>
        <w:rPr>
          <w:rFonts w:eastAsia="Arial Unicode MS"/>
        </w:rPr>
      </w:pPr>
      <w:bookmarkStart w:id="93" w:name="_ANEXO_III_–_1"/>
      <w:bookmarkEnd w:id="93"/>
      <w:r w:rsidRPr="004719E1">
        <w:rPr>
          <w:rFonts w:eastAsia="Arial Unicode MS"/>
        </w:rPr>
        <w:t>ANEXO III – CAU/UF – Posição de arquitetos e urbanistas, empresas e RRT</w:t>
      </w:r>
      <w:r w:rsidR="0081173E">
        <w:rPr>
          <w:rFonts w:eastAsia="Arial Unicode MS"/>
        </w:rPr>
        <w:t xml:space="preserve"> </w:t>
      </w:r>
      <w:r w:rsidR="0082436B" w:rsidRPr="0082436B">
        <w:rPr>
          <w:noProof/>
          <w:lang w:eastAsia="pt-BR"/>
        </w:rPr>
        <w:drawing>
          <wp:inline distT="0" distB="0" distL="0" distR="0" wp14:anchorId="35833776" wp14:editId="34540F1D">
            <wp:extent cx="9444271" cy="5461000"/>
            <wp:effectExtent l="0" t="0" r="508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15739" cy="5502325"/>
                    </a:xfrm>
                    <a:prstGeom prst="rect">
                      <a:avLst/>
                    </a:prstGeom>
                  </pic:spPr>
                </pic:pic>
              </a:graphicData>
            </a:graphic>
          </wp:inline>
        </w:drawing>
      </w:r>
    </w:p>
    <w:p w14:paraId="7DC853C1" w14:textId="3BEA4659" w:rsidR="009C7342" w:rsidRDefault="009C7342" w:rsidP="00766141">
      <w:pPr>
        <w:ind w:left="-567"/>
        <w:rPr>
          <w:rFonts w:eastAsia="Arial Unicode MS" w:cs="Calibri"/>
          <w:sz w:val="24"/>
          <w:szCs w:val="24"/>
        </w:rPr>
        <w:sectPr w:rsidR="009C7342" w:rsidSect="00A524B7">
          <w:pgSz w:w="16838" w:h="11906" w:orient="landscape"/>
          <w:pgMar w:top="1701" w:right="1701" w:bottom="1134" w:left="1134" w:header="709" w:footer="153" w:gutter="0"/>
          <w:cols w:space="708"/>
          <w:docGrid w:linePitch="360"/>
        </w:sectPr>
      </w:pPr>
    </w:p>
    <w:p w14:paraId="7DC853C2" w14:textId="77777777" w:rsidR="00D80A3A" w:rsidRDefault="00D80A3A" w:rsidP="005332DD"/>
    <w:p w14:paraId="7DC853C3" w14:textId="77777777" w:rsidR="00D80A3A" w:rsidRDefault="00D80A3A" w:rsidP="005332DD"/>
    <w:p w14:paraId="7DC853C4" w14:textId="77777777" w:rsidR="00D80A3A" w:rsidRDefault="00D80A3A" w:rsidP="005332DD"/>
    <w:p w14:paraId="7DC853C5" w14:textId="77777777" w:rsidR="00D80A3A" w:rsidRDefault="00D80A3A" w:rsidP="005332DD"/>
    <w:p w14:paraId="7DC853C6" w14:textId="77777777" w:rsidR="00D80A3A" w:rsidRDefault="00D80A3A" w:rsidP="005332DD"/>
    <w:p w14:paraId="7DC853C7" w14:textId="1C5A6DA9" w:rsidR="00D80A3A" w:rsidRDefault="00D80A3A" w:rsidP="005332DD"/>
    <w:p w14:paraId="542DB0BA" w14:textId="77E1C295" w:rsidR="00715300" w:rsidRDefault="00715300" w:rsidP="005332DD"/>
    <w:p w14:paraId="2AF2C75D" w14:textId="77777777" w:rsidR="00715300" w:rsidRDefault="00715300" w:rsidP="005332DD"/>
    <w:p w14:paraId="7DC853C8" w14:textId="77777777" w:rsidR="00D80A3A" w:rsidRDefault="00D80A3A" w:rsidP="005332DD"/>
    <w:p w14:paraId="7DC853C9" w14:textId="77777777" w:rsidR="00D80A3A" w:rsidRDefault="00D80A3A" w:rsidP="005332DD"/>
    <w:p w14:paraId="7DC853CA" w14:textId="77777777" w:rsidR="00D80A3A" w:rsidRDefault="00D80A3A" w:rsidP="005332DD"/>
    <w:p w14:paraId="7DC853CC" w14:textId="77777777" w:rsidR="00BC30E0" w:rsidRDefault="00BC30E0" w:rsidP="00BC30E0"/>
    <w:p w14:paraId="7DC853CD" w14:textId="77777777" w:rsidR="00BC30E0" w:rsidRPr="00BC30E0" w:rsidRDefault="00BC30E0" w:rsidP="00BC30E0"/>
    <w:p w14:paraId="7DC853CE" w14:textId="7F119AC0" w:rsidR="008D7E64" w:rsidRPr="003B0CCD" w:rsidRDefault="008D7E64" w:rsidP="00901446">
      <w:pPr>
        <w:pStyle w:val="Ttulo4"/>
        <w:jc w:val="center"/>
        <w:rPr>
          <w:rFonts w:eastAsia="Arial Unicode MS"/>
          <w:color w:val="612141"/>
        </w:rPr>
      </w:pPr>
      <w:bookmarkStart w:id="94" w:name="_Anexo_IV.II_–"/>
      <w:bookmarkStart w:id="95" w:name="_Toc487547250"/>
      <w:bookmarkEnd w:id="94"/>
      <w:r w:rsidRPr="003B0CCD">
        <w:rPr>
          <w:rFonts w:eastAsia="Arial Unicode MS"/>
          <w:color w:val="612141"/>
        </w:rPr>
        <w:t>Anexo IV – Projeção da Quantidade de Pagantes x Rece</w:t>
      </w:r>
      <w:r w:rsidR="005B2C8E" w:rsidRPr="003B0CCD">
        <w:rPr>
          <w:rFonts w:eastAsia="Arial Unicode MS"/>
          <w:color w:val="612141"/>
        </w:rPr>
        <w:t xml:space="preserve">ita Total do CAU- </w:t>
      </w:r>
      <w:r w:rsidR="00C04400" w:rsidRPr="003B0CCD">
        <w:rPr>
          <w:rFonts w:eastAsia="Arial Unicode MS"/>
          <w:color w:val="612141"/>
        </w:rPr>
        <w:t>Exercício 20</w:t>
      </w:r>
      <w:bookmarkEnd w:id="95"/>
      <w:r w:rsidR="004E28D9" w:rsidRPr="003B0CCD">
        <w:rPr>
          <w:rFonts w:eastAsia="Arial Unicode MS"/>
          <w:color w:val="612141"/>
        </w:rPr>
        <w:t>2</w:t>
      </w:r>
      <w:r w:rsidR="00833D91">
        <w:rPr>
          <w:rFonts w:eastAsia="Arial Unicode MS"/>
          <w:color w:val="612141"/>
        </w:rPr>
        <w:t>4</w:t>
      </w:r>
      <w:r w:rsidR="00593DE7">
        <w:rPr>
          <w:rFonts w:eastAsia="Arial Unicode MS"/>
          <w:color w:val="612141"/>
        </w:rPr>
        <w:t xml:space="preserve"> – (100%)</w:t>
      </w:r>
    </w:p>
    <w:p w14:paraId="7DC853CF" w14:textId="77777777" w:rsidR="008D7E64" w:rsidRDefault="008D7E64" w:rsidP="00BC30E0">
      <w:pPr>
        <w:jc w:val="both"/>
      </w:pPr>
    </w:p>
    <w:p w14:paraId="7DC853D0" w14:textId="77777777" w:rsidR="00892957" w:rsidRPr="00892957" w:rsidRDefault="00892957" w:rsidP="00BC30E0">
      <w:pPr>
        <w:jc w:val="both"/>
        <w:sectPr w:rsidR="00892957" w:rsidRPr="00892957" w:rsidSect="00A524B7">
          <w:pgSz w:w="11906" w:h="16838"/>
          <w:pgMar w:top="1701" w:right="1134" w:bottom="1134" w:left="1701" w:header="709" w:footer="153" w:gutter="0"/>
          <w:cols w:space="708"/>
          <w:docGrid w:linePitch="360"/>
        </w:sectPr>
      </w:pPr>
    </w:p>
    <w:p w14:paraId="23FF4D18" w14:textId="5799BABD" w:rsidR="009F1C0B" w:rsidRPr="00690410" w:rsidRDefault="00116727" w:rsidP="009F1C0B">
      <w:pPr>
        <w:pStyle w:val="Ttulo5"/>
        <w:ind w:left="-567"/>
        <w:jc w:val="left"/>
        <w:rPr>
          <w:rFonts w:eastAsia="Arial Unicode MS"/>
          <w:color w:val="auto"/>
          <w:sz w:val="24"/>
          <w:szCs w:val="24"/>
        </w:rPr>
      </w:pPr>
      <w:bookmarkStart w:id="96" w:name="_ANEXO_IV.II_–_1"/>
      <w:bookmarkStart w:id="97" w:name="_Toc83716315"/>
      <w:bookmarkEnd w:id="96"/>
      <w:r w:rsidRPr="00690410">
        <w:rPr>
          <w:rFonts w:eastAsia="Arial Unicode MS"/>
          <w:color w:val="auto"/>
        </w:rPr>
        <w:t>ANEXO IV – Projeção da Quantidade de Pagantes x Receita Total do CAU</w:t>
      </w:r>
      <w:r w:rsidR="00D21438" w:rsidRPr="00690410">
        <w:rPr>
          <w:rFonts w:eastAsia="Arial Unicode MS"/>
          <w:color w:val="auto"/>
        </w:rPr>
        <w:t xml:space="preserve"> </w:t>
      </w:r>
      <w:r w:rsidRPr="00690410">
        <w:rPr>
          <w:rFonts w:eastAsia="Arial Unicode MS"/>
          <w:color w:val="auto"/>
        </w:rPr>
        <w:t xml:space="preserve">- </w:t>
      </w:r>
      <w:r w:rsidRPr="00690410">
        <w:rPr>
          <w:rFonts w:eastAsia="Arial Unicode MS"/>
          <w:color w:val="auto"/>
          <w:sz w:val="24"/>
          <w:szCs w:val="24"/>
        </w:rPr>
        <w:t>Exercício 20</w:t>
      </w:r>
      <w:r w:rsidR="004E28D9" w:rsidRPr="00690410">
        <w:rPr>
          <w:rFonts w:eastAsia="Arial Unicode MS"/>
          <w:color w:val="auto"/>
          <w:sz w:val="24"/>
          <w:szCs w:val="24"/>
        </w:rPr>
        <w:t>2</w:t>
      </w:r>
      <w:r w:rsidR="00833D91">
        <w:rPr>
          <w:rFonts w:eastAsia="Arial Unicode MS"/>
          <w:color w:val="auto"/>
          <w:sz w:val="24"/>
          <w:szCs w:val="24"/>
        </w:rPr>
        <w:t>4</w:t>
      </w:r>
      <w:r w:rsidR="00A658AF" w:rsidRPr="00690410">
        <w:rPr>
          <w:rFonts w:eastAsia="Arial Unicode MS"/>
          <w:color w:val="auto"/>
          <w:sz w:val="24"/>
          <w:szCs w:val="24"/>
        </w:rPr>
        <w:t xml:space="preserve"> (100%)</w:t>
      </w:r>
      <w:bookmarkEnd w:id="97"/>
      <w:r w:rsidR="00605BFC" w:rsidRPr="00690410">
        <w:rPr>
          <w:rFonts w:eastAsia="Arial Unicode MS"/>
          <w:color w:val="auto"/>
          <w:sz w:val="24"/>
          <w:szCs w:val="24"/>
        </w:rPr>
        <w:t xml:space="preserve"> </w:t>
      </w:r>
    </w:p>
    <w:p w14:paraId="7C31A9A9" w14:textId="76C6814D" w:rsidR="00926FD8" w:rsidRPr="00926FD8" w:rsidRDefault="00833D91" w:rsidP="00926FD8">
      <w:pPr>
        <w:jc w:val="center"/>
      </w:pPr>
      <w:r w:rsidRPr="00833D91">
        <w:rPr>
          <w:noProof/>
          <w:lang w:eastAsia="pt-BR"/>
        </w:rPr>
        <w:drawing>
          <wp:inline distT="0" distB="0" distL="0" distR="0" wp14:anchorId="385B7124" wp14:editId="52513A45">
            <wp:extent cx="9439342" cy="5427133"/>
            <wp:effectExtent l="0" t="0" r="0"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49497" cy="5432971"/>
                    </a:xfrm>
                    <a:prstGeom prst="rect">
                      <a:avLst/>
                    </a:prstGeom>
                  </pic:spPr>
                </pic:pic>
              </a:graphicData>
            </a:graphic>
          </wp:inline>
        </w:drawing>
      </w:r>
    </w:p>
    <w:p w14:paraId="7DC853D7" w14:textId="3BAC921D" w:rsidR="00926FD8" w:rsidRPr="005128E6" w:rsidRDefault="00926FD8" w:rsidP="00926FD8">
      <w:pPr>
        <w:ind w:hanging="567"/>
        <w:jc w:val="center"/>
        <w:sectPr w:rsidR="00926FD8" w:rsidRPr="005128E6" w:rsidSect="00A524B7">
          <w:pgSz w:w="16838" w:h="11906" w:orient="landscape"/>
          <w:pgMar w:top="1701" w:right="1701" w:bottom="1134" w:left="1134" w:header="709" w:footer="153" w:gutter="0"/>
          <w:cols w:space="708"/>
          <w:docGrid w:linePitch="360"/>
        </w:sectPr>
      </w:pPr>
    </w:p>
    <w:tbl>
      <w:tblPr>
        <w:tblW w:w="21256" w:type="dxa"/>
        <w:tblCellMar>
          <w:left w:w="70" w:type="dxa"/>
          <w:right w:w="70" w:type="dxa"/>
        </w:tblCellMar>
        <w:tblLook w:val="04A0" w:firstRow="1" w:lastRow="0" w:firstColumn="1" w:lastColumn="0" w:noHBand="0" w:noVBand="1"/>
      </w:tblPr>
      <w:tblGrid>
        <w:gridCol w:w="18682"/>
        <w:gridCol w:w="234"/>
        <w:gridCol w:w="234"/>
        <w:gridCol w:w="234"/>
        <w:gridCol w:w="234"/>
        <w:gridCol w:w="234"/>
        <w:gridCol w:w="234"/>
        <w:gridCol w:w="234"/>
        <w:gridCol w:w="234"/>
        <w:gridCol w:w="234"/>
        <w:gridCol w:w="234"/>
        <w:gridCol w:w="234"/>
      </w:tblGrid>
      <w:tr w:rsidR="00944E71" w:rsidRPr="00D1035B" w14:paraId="7DC85414" w14:textId="77777777" w:rsidTr="002F30F2">
        <w:trPr>
          <w:trHeight w:val="300"/>
        </w:trPr>
        <w:tc>
          <w:tcPr>
            <w:tcW w:w="18682" w:type="dxa"/>
            <w:tcBorders>
              <w:top w:val="nil"/>
              <w:left w:val="nil"/>
              <w:bottom w:val="nil"/>
              <w:right w:val="nil"/>
            </w:tcBorders>
            <w:shd w:val="clear" w:color="000000" w:fill="FFFFFF"/>
            <w:noWrap/>
            <w:vAlign w:val="center"/>
            <w:hideMark/>
          </w:tcPr>
          <w:p w14:paraId="7DC85408" w14:textId="7A2DC992" w:rsidR="00944E71" w:rsidRPr="00D1035B" w:rsidRDefault="00944E71" w:rsidP="00A05B9A">
            <w:pPr>
              <w:spacing w:after="0" w:line="240" w:lineRule="auto"/>
              <w:rPr>
                <w:noProof/>
                <w:sz w:val="16"/>
                <w:szCs w:val="16"/>
              </w:rPr>
            </w:pPr>
          </w:p>
        </w:tc>
        <w:tc>
          <w:tcPr>
            <w:tcW w:w="234" w:type="dxa"/>
            <w:tcBorders>
              <w:top w:val="nil"/>
              <w:left w:val="nil"/>
              <w:bottom w:val="nil"/>
              <w:right w:val="nil"/>
            </w:tcBorders>
            <w:shd w:val="clear" w:color="000000" w:fill="FFFFFF"/>
            <w:noWrap/>
            <w:vAlign w:val="center"/>
            <w:hideMark/>
          </w:tcPr>
          <w:p w14:paraId="7DC85409"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0A"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0B"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0C"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0D"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0E"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0F"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10"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11"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12"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13" w14:textId="77777777" w:rsidR="00944E71" w:rsidRPr="00D1035B" w:rsidRDefault="00944E71" w:rsidP="002F30F2">
            <w:pPr>
              <w:spacing w:after="0" w:line="240" w:lineRule="auto"/>
              <w:rPr>
                <w:noProof/>
                <w:sz w:val="16"/>
                <w:szCs w:val="16"/>
              </w:rPr>
            </w:pPr>
            <w:r w:rsidRPr="00D1035B">
              <w:rPr>
                <w:noProof/>
                <w:sz w:val="16"/>
                <w:szCs w:val="16"/>
              </w:rPr>
              <w:t> </w:t>
            </w:r>
          </w:p>
        </w:tc>
      </w:tr>
    </w:tbl>
    <w:p w14:paraId="7DC85464" w14:textId="45A893D2" w:rsidR="00596576" w:rsidRDefault="00596576" w:rsidP="002D75E1">
      <w:pPr>
        <w:spacing w:line="360" w:lineRule="auto"/>
        <w:ind w:left="709"/>
        <w:rPr>
          <w:rFonts w:eastAsia="Arial Unicode MS" w:cs="Calibri"/>
          <w:sz w:val="24"/>
          <w:szCs w:val="20"/>
        </w:rPr>
      </w:pPr>
    </w:p>
    <w:p w14:paraId="6F3BAE90" w14:textId="5FA4AAE5" w:rsidR="00D50315" w:rsidRDefault="00D50315" w:rsidP="002D75E1">
      <w:pPr>
        <w:spacing w:line="360" w:lineRule="auto"/>
        <w:ind w:left="709"/>
        <w:rPr>
          <w:rFonts w:eastAsia="Arial Unicode MS" w:cs="Calibri"/>
          <w:sz w:val="24"/>
          <w:szCs w:val="20"/>
        </w:rPr>
      </w:pPr>
    </w:p>
    <w:p w14:paraId="4B3CF246" w14:textId="7C275486" w:rsidR="00D50315" w:rsidRDefault="00D50315" w:rsidP="002D75E1">
      <w:pPr>
        <w:spacing w:line="360" w:lineRule="auto"/>
        <w:ind w:left="709"/>
        <w:rPr>
          <w:rFonts w:eastAsia="Arial Unicode MS" w:cs="Calibri"/>
          <w:sz w:val="24"/>
          <w:szCs w:val="20"/>
        </w:rPr>
      </w:pPr>
    </w:p>
    <w:p w14:paraId="0BE28481" w14:textId="77777777" w:rsidR="00D50315" w:rsidRPr="000A6B2B" w:rsidRDefault="00D50315" w:rsidP="002D75E1">
      <w:pPr>
        <w:spacing w:line="360" w:lineRule="auto"/>
        <w:ind w:left="709"/>
        <w:rPr>
          <w:rFonts w:eastAsia="Arial Unicode MS" w:cs="Calibri"/>
          <w:sz w:val="24"/>
          <w:szCs w:val="20"/>
        </w:rPr>
      </w:pPr>
    </w:p>
    <w:p w14:paraId="7DC8546A" w14:textId="0DE569F9" w:rsidR="00D80A3A" w:rsidRDefault="00D80A3A" w:rsidP="008D59FD"/>
    <w:p w14:paraId="351F2DE1" w14:textId="082FE1F7" w:rsidR="0068237C" w:rsidRDefault="0068237C" w:rsidP="008D59FD"/>
    <w:p w14:paraId="2FFC7050" w14:textId="77777777" w:rsidR="0068237C" w:rsidRDefault="0068237C" w:rsidP="008D59FD"/>
    <w:p w14:paraId="7DC8546B" w14:textId="635381BA" w:rsidR="00D80A3A" w:rsidRDefault="00D80A3A" w:rsidP="008D59FD"/>
    <w:p w14:paraId="15A498E3" w14:textId="6689E78C" w:rsidR="00AC2CF4" w:rsidRDefault="00AC2CF4" w:rsidP="008D59FD"/>
    <w:p w14:paraId="7DC8546C" w14:textId="77777777" w:rsidR="00D80A3A" w:rsidRDefault="00D80A3A" w:rsidP="008D59FD"/>
    <w:p w14:paraId="7DC8546D" w14:textId="77777777" w:rsidR="00D80A3A" w:rsidRDefault="00D80A3A" w:rsidP="008D59FD"/>
    <w:p w14:paraId="7DC8546E" w14:textId="77777777" w:rsidR="00D80A3A" w:rsidRDefault="00D80A3A" w:rsidP="008D59FD"/>
    <w:p w14:paraId="7DC8546F" w14:textId="4BBD7575" w:rsidR="00D80A3A" w:rsidRPr="003B0CCD" w:rsidRDefault="00D80A3A" w:rsidP="00EF1FD6">
      <w:pPr>
        <w:pStyle w:val="Ttulo4"/>
        <w:jc w:val="center"/>
        <w:rPr>
          <w:rFonts w:eastAsia="Arial Unicode MS"/>
          <w:color w:val="612141"/>
        </w:rPr>
      </w:pPr>
      <w:bookmarkStart w:id="98" w:name="_ANEXO_IX_–"/>
      <w:bookmarkStart w:id="99" w:name="_Toc424658702"/>
      <w:bookmarkStart w:id="100" w:name="_Toc487547258"/>
      <w:bookmarkEnd w:id="98"/>
      <w:r w:rsidRPr="003B0CCD">
        <w:rPr>
          <w:rFonts w:eastAsia="Arial Unicode MS"/>
          <w:color w:val="612141"/>
        </w:rPr>
        <w:t>ANEXO</w:t>
      </w:r>
      <w:r w:rsidR="009806E3" w:rsidRPr="003B0CCD">
        <w:rPr>
          <w:rFonts w:eastAsia="Arial Unicode MS"/>
          <w:color w:val="612141"/>
        </w:rPr>
        <w:t xml:space="preserve"> V</w:t>
      </w:r>
      <w:r w:rsidRPr="003B0CCD">
        <w:rPr>
          <w:rFonts w:eastAsia="Arial Unicode MS"/>
          <w:color w:val="612141"/>
        </w:rPr>
        <w:t xml:space="preserve"> – Projeção da Receita dos CAU/UF – </w:t>
      </w:r>
      <w:bookmarkEnd w:id="99"/>
      <w:r w:rsidR="00C04400" w:rsidRPr="003B0CCD">
        <w:rPr>
          <w:rFonts w:eastAsia="Arial Unicode MS"/>
          <w:color w:val="612141"/>
        </w:rPr>
        <w:t>Exercício 20</w:t>
      </w:r>
      <w:bookmarkEnd w:id="100"/>
      <w:r w:rsidR="00F8173E" w:rsidRPr="003B0CCD">
        <w:rPr>
          <w:rFonts w:eastAsia="Arial Unicode MS"/>
          <w:color w:val="612141"/>
        </w:rPr>
        <w:t>2</w:t>
      </w:r>
      <w:r w:rsidR="00833D91">
        <w:rPr>
          <w:rFonts w:eastAsia="Arial Unicode MS"/>
          <w:color w:val="612141"/>
        </w:rPr>
        <w:t>4</w:t>
      </w:r>
      <w:r w:rsidR="00593DE7">
        <w:rPr>
          <w:rFonts w:eastAsia="Arial Unicode MS"/>
          <w:color w:val="612141"/>
        </w:rPr>
        <w:t xml:space="preserve"> – (80%)</w:t>
      </w:r>
    </w:p>
    <w:p w14:paraId="7DC85470" w14:textId="77777777" w:rsidR="00D80A3A" w:rsidRDefault="00D80A3A" w:rsidP="00D80A3A">
      <w:pPr>
        <w:spacing w:line="360" w:lineRule="auto"/>
        <w:ind w:firstLine="851"/>
        <w:jc w:val="both"/>
        <w:rPr>
          <w:rFonts w:eastAsia="Arial Unicode MS" w:cs="Calibri"/>
          <w:sz w:val="24"/>
          <w:szCs w:val="24"/>
        </w:rPr>
      </w:pPr>
    </w:p>
    <w:p w14:paraId="7DC85471" w14:textId="77777777" w:rsidR="00D80A3A" w:rsidRDefault="00D80A3A" w:rsidP="00D80A3A">
      <w:pPr>
        <w:spacing w:line="360" w:lineRule="auto"/>
        <w:ind w:firstLine="851"/>
        <w:jc w:val="both"/>
        <w:rPr>
          <w:rFonts w:eastAsia="Arial Unicode MS" w:cs="Calibri"/>
          <w:sz w:val="24"/>
          <w:szCs w:val="24"/>
        </w:rPr>
      </w:pPr>
    </w:p>
    <w:p w14:paraId="7DC85472" w14:textId="77777777" w:rsidR="00D80A3A" w:rsidRDefault="00D80A3A" w:rsidP="00E17E5D">
      <w:pPr>
        <w:rPr>
          <w:rFonts w:eastAsia="Arial Unicode MS" w:cs="Calibri"/>
          <w:b/>
          <w:sz w:val="20"/>
          <w:szCs w:val="20"/>
        </w:rPr>
      </w:pPr>
      <w:r>
        <w:rPr>
          <w:rFonts w:eastAsia="Arial Unicode MS" w:cs="Calibri"/>
          <w:sz w:val="24"/>
          <w:szCs w:val="24"/>
        </w:rPr>
        <w:br w:type="page"/>
      </w:r>
    </w:p>
    <w:p w14:paraId="7DC85473" w14:textId="77777777" w:rsidR="00E17E5D" w:rsidRDefault="00E17E5D" w:rsidP="00D80A3A">
      <w:pPr>
        <w:spacing w:line="360" w:lineRule="auto"/>
        <w:ind w:firstLine="851"/>
        <w:jc w:val="both"/>
        <w:rPr>
          <w:rFonts w:eastAsia="Arial Unicode MS" w:cs="Calibri"/>
          <w:b/>
          <w:sz w:val="20"/>
          <w:szCs w:val="20"/>
        </w:rPr>
        <w:sectPr w:rsidR="00E17E5D" w:rsidSect="00A524B7">
          <w:pgSz w:w="11906" w:h="16838"/>
          <w:pgMar w:top="1701" w:right="1134" w:bottom="1134" w:left="1701" w:header="709" w:footer="153" w:gutter="0"/>
          <w:cols w:space="708"/>
          <w:docGrid w:linePitch="360"/>
        </w:sectPr>
      </w:pPr>
    </w:p>
    <w:p w14:paraId="7DC8547A" w14:textId="30234935" w:rsidR="00056EEF" w:rsidRPr="00CB4F43" w:rsidRDefault="00D80A3A" w:rsidP="00DA6E7D">
      <w:pPr>
        <w:pStyle w:val="Ttulo5"/>
        <w:ind w:left="-851"/>
        <w:jc w:val="left"/>
        <w:rPr>
          <w:noProof/>
          <w:color w:val="auto"/>
        </w:rPr>
      </w:pPr>
      <w:bookmarkStart w:id="101" w:name="_ANEXO_IX_–_1"/>
      <w:bookmarkStart w:id="102" w:name="_Toc83716316"/>
      <w:bookmarkEnd w:id="101"/>
      <w:r w:rsidRPr="00CB4F43">
        <w:rPr>
          <w:rFonts w:eastAsia="Arial Unicode MS"/>
          <w:color w:val="auto"/>
        </w:rPr>
        <w:t xml:space="preserve">ANEXO </w:t>
      </w:r>
      <w:r w:rsidR="009806E3" w:rsidRPr="00CB4F43">
        <w:rPr>
          <w:rFonts w:eastAsia="Arial Unicode MS"/>
          <w:color w:val="auto"/>
        </w:rPr>
        <w:t>V</w:t>
      </w:r>
      <w:r w:rsidRPr="00CB4F43">
        <w:rPr>
          <w:rFonts w:eastAsia="Arial Unicode MS"/>
          <w:color w:val="auto"/>
        </w:rPr>
        <w:t xml:space="preserve"> – Projeção da Rec</w:t>
      </w:r>
      <w:r w:rsidR="0098214D" w:rsidRPr="00CB4F43">
        <w:rPr>
          <w:rFonts w:eastAsia="Arial Unicode MS"/>
          <w:color w:val="auto"/>
        </w:rPr>
        <w:t xml:space="preserve">eita dos CAU/UF – </w:t>
      </w:r>
      <w:r w:rsidR="00C04400" w:rsidRPr="00CB4F43">
        <w:rPr>
          <w:rFonts w:eastAsia="Arial Unicode MS"/>
          <w:color w:val="auto"/>
        </w:rPr>
        <w:t>Exercício 20</w:t>
      </w:r>
      <w:r w:rsidR="005E0AFC" w:rsidRPr="00CB4F43">
        <w:rPr>
          <w:rFonts w:eastAsia="Arial Unicode MS"/>
          <w:color w:val="auto"/>
        </w:rPr>
        <w:t>2</w:t>
      </w:r>
      <w:r w:rsidR="00833D91">
        <w:rPr>
          <w:rFonts w:eastAsia="Arial Unicode MS"/>
          <w:color w:val="auto"/>
        </w:rPr>
        <w:t>4</w:t>
      </w:r>
      <w:r w:rsidRPr="00CB4F43">
        <w:rPr>
          <w:rFonts w:eastAsia="Arial Unicode MS"/>
          <w:color w:val="auto"/>
        </w:rPr>
        <w:t xml:space="preserve"> </w:t>
      </w:r>
      <w:r w:rsidR="006F07D6" w:rsidRPr="00CB4F43">
        <w:rPr>
          <w:rFonts w:eastAsia="Arial Unicode MS"/>
          <w:color w:val="auto"/>
        </w:rPr>
        <w:t>(80%)</w:t>
      </w:r>
      <w:bookmarkEnd w:id="102"/>
      <w:r w:rsidR="00B77DB5" w:rsidRPr="00CB4F43">
        <w:rPr>
          <w:rFonts w:eastAsia="Arial Unicode MS"/>
          <w:b w:val="0"/>
          <w:color w:val="auto"/>
        </w:rPr>
        <w:t xml:space="preserve"> </w:t>
      </w:r>
    </w:p>
    <w:p w14:paraId="1AD0BF61" w14:textId="6C9496F8" w:rsidR="002330C2" w:rsidRPr="002330C2" w:rsidRDefault="00FB0B6A" w:rsidP="00C4031A">
      <w:pPr>
        <w:ind w:left="-426" w:hanging="426"/>
        <w:jc w:val="center"/>
      </w:pPr>
      <w:r w:rsidRPr="00FB0B6A">
        <w:rPr>
          <w:noProof/>
          <w:lang w:eastAsia="pt-BR"/>
        </w:rPr>
        <w:drawing>
          <wp:inline distT="0" distB="0" distL="0" distR="0" wp14:anchorId="1B708887" wp14:editId="42602DD6">
            <wp:extent cx="10056495" cy="5493195"/>
            <wp:effectExtent l="0" t="0" r="190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100601" cy="5517287"/>
                    </a:xfrm>
                    <a:prstGeom prst="rect">
                      <a:avLst/>
                    </a:prstGeom>
                  </pic:spPr>
                </pic:pic>
              </a:graphicData>
            </a:graphic>
          </wp:inline>
        </w:drawing>
      </w:r>
    </w:p>
    <w:p w14:paraId="7DC8547B" w14:textId="77777777" w:rsidR="00913B9B" w:rsidRPr="007B0AC8" w:rsidRDefault="00913B9B" w:rsidP="007B0AC8">
      <w:pPr>
        <w:rPr>
          <w:rFonts w:asciiTheme="majorHAnsi" w:eastAsia="Arial Unicode MS" w:hAnsiTheme="majorHAnsi" w:cstheme="majorBidi"/>
          <w:b/>
          <w:color w:val="000000" w:themeColor="text1"/>
        </w:rPr>
        <w:sectPr w:rsidR="00913B9B" w:rsidRPr="007B0AC8" w:rsidSect="002D75E1">
          <w:pgSz w:w="16838" w:h="11906" w:orient="landscape"/>
          <w:pgMar w:top="1701" w:right="1701" w:bottom="1134" w:left="1418" w:header="709" w:footer="153" w:gutter="0"/>
          <w:cols w:space="708"/>
          <w:docGrid w:linePitch="360"/>
        </w:sectPr>
      </w:pPr>
    </w:p>
    <w:p w14:paraId="7DC8547C" w14:textId="77777777" w:rsidR="00D80A3A" w:rsidRDefault="00D80A3A" w:rsidP="00D80A3A">
      <w:pPr>
        <w:spacing w:line="360" w:lineRule="auto"/>
        <w:ind w:firstLine="851"/>
        <w:jc w:val="both"/>
        <w:rPr>
          <w:rFonts w:eastAsia="Arial Unicode MS" w:cs="Calibri"/>
          <w:sz w:val="24"/>
          <w:szCs w:val="24"/>
        </w:rPr>
      </w:pPr>
    </w:p>
    <w:p w14:paraId="7DC8547D" w14:textId="77777777" w:rsidR="00D80A3A" w:rsidRDefault="00D80A3A" w:rsidP="00D80A3A">
      <w:pPr>
        <w:spacing w:line="360" w:lineRule="auto"/>
        <w:ind w:firstLine="851"/>
        <w:jc w:val="both"/>
        <w:rPr>
          <w:rFonts w:eastAsia="Arial Unicode MS" w:cs="Calibri"/>
          <w:sz w:val="24"/>
          <w:szCs w:val="24"/>
        </w:rPr>
      </w:pPr>
    </w:p>
    <w:p w14:paraId="7DC8547E" w14:textId="77777777" w:rsidR="00D80A3A" w:rsidRDefault="00D80A3A" w:rsidP="00D80A3A">
      <w:pPr>
        <w:spacing w:line="360" w:lineRule="auto"/>
        <w:ind w:firstLine="851"/>
        <w:jc w:val="both"/>
        <w:rPr>
          <w:rFonts w:eastAsia="Arial Unicode MS" w:cs="Calibri"/>
          <w:sz w:val="24"/>
          <w:szCs w:val="24"/>
        </w:rPr>
      </w:pPr>
    </w:p>
    <w:p w14:paraId="7DC8547F" w14:textId="74FE8182" w:rsidR="00D80A3A" w:rsidRDefault="00D80A3A" w:rsidP="00D80A3A">
      <w:pPr>
        <w:spacing w:line="360" w:lineRule="auto"/>
        <w:ind w:firstLine="851"/>
        <w:jc w:val="both"/>
        <w:rPr>
          <w:rFonts w:eastAsia="Arial Unicode MS" w:cs="Calibri"/>
          <w:sz w:val="24"/>
          <w:szCs w:val="24"/>
        </w:rPr>
      </w:pPr>
    </w:p>
    <w:p w14:paraId="62BB5535" w14:textId="77777777" w:rsidR="00766500" w:rsidRDefault="00766500" w:rsidP="00D80A3A">
      <w:pPr>
        <w:spacing w:line="360" w:lineRule="auto"/>
        <w:ind w:firstLine="851"/>
        <w:jc w:val="both"/>
        <w:rPr>
          <w:rFonts w:eastAsia="Arial Unicode MS" w:cs="Calibri"/>
          <w:sz w:val="24"/>
          <w:szCs w:val="24"/>
        </w:rPr>
      </w:pPr>
    </w:p>
    <w:p w14:paraId="469FC3A2" w14:textId="77777777" w:rsidR="00C30668" w:rsidRDefault="00C30668" w:rsidP="00D80A3A">
      <w:pPr>
        <w:spacing w:line="360" w:lineRule="auto"/>
        <w:ind w:firstLine="851"/>
        <w:jc w:val="both"/>
        <w:rPr>
          <w:rFonts w:eastAsia="Arial Unicode MS" w:cs="Calibri"/>
          <w:sz w:val="24"/>
          <w:szCs w:val="24"/>
        </w:rPr>
      </w:pPr>
    </w:p>
    <w:p w14:paraId="7DC85480" w14:textId="77777777" w:rsidR="00D80A3A" w:rsidRDefault="00D80A3A" w:rsidP="00D80A3A">
      <w:pPr>
        <w:spacing w:line="360" w:lineRule="auto"/>
        <w:ind w:firstLine="851"/>
        <w:jc w:val="both"/>
        <w:rPr>
          <w:rFonts w:eastAsia="Arial Unicode MS" w:cs="Calibri"/>
          <w:sz w:val="24"/>
          <w:szCs w:val="24"/>
        </w:rPr>
      </w:pPr>
    </w:p>
    <w:p w14:paraId="7DC85481" w14:textId="77777777" w:rsidR="00D80A3A" w:rsidRDefault="00D80A3A" w:rsidP="00D80A3A">
      <w:pPr>
        <w:spacing w:line="360" w:lineRule="auto"/>
        <w:ind w:firstLine="851"/>
        <w:jc w:val="both"/>
        <w:rPr>
          <w:rFonts w:eastAsia="Arial Unicode MS" w:cs="Calibri"/>
          <w:sz w:val="24"/>
          <w:szCs w:val="24"/>
        </w:rPr>
      </w:pPr>
    </w:p>
    <w:p w14:paraId="7DC85482" w14:textId="318458CF" w:rsidR="00D80A3A" w:rsidRPr="003B0CCD" w:rsidRDefault="00D80A3A" w:rsidP="00F755A3">
      <w:pPr>
        <w:pStyle w:val="Ttulo4"/>
        <w:jc w:val="both"/>
        <w:rPr>
          <w:rFonts w:eastAsia="Arial Unicode MS"/>
          <w:color w:val="612141"/>
        </w:rPr>
      </w:pPr>
      <w:bookmarkStart w:id="103" w:name="_ANEXO_X_–"/>
      <w:bookmarkStart w:id="104" w:name="_Toc424658703"/>
      <w:bookmarkStart w:id="105" w:name="_Toc487547259"/>
      <w:bookmarkEnd w:id="103"/>
      <w:r w:rsidRPr="003B0CCD">
        <w:rPr>
          <w:rFonts w:eastAsia="Arial Unicode MS"/>
          <w:color w:val="612141"/>
        </w:rPr>
        <w:t xml:space="preserve">ANEXO </w:t>
      </w:r>
      <w:r w:rsidR="00922284" w:rsidRPr="003B0CCD">
        <w:rPr>
          <w:rFonts w:eastAsia="Arial Unicode MS"/>
          <w:color w:val="612141"/>
        </w:rPr>
        <w:t>VI</w:t>
      </w:r>
      <w:r w:rsidRPr="003B0CCD">
        <w:rPr>
          <w:rFonts w:eastAsia="Arial Unicode MS"/>
          <w:color w:val="612141"/>
        </w:rPr>
        <w:t xml:space="preserve"> – Fundo de Apoio Financeiro aos CAU/UF</w:t>
      </w:r>
      <w:r w:rsidR="0098214D" w:rsidRPr="003B0CCD">
        <w:rPr>
          <w:rFonts w:eastAsia="Arial Unicode MS"/>
          <w:color w:val="612141"/>
        </w:rPr>
        <w:t xml:space="preserve"> – </w:t>
      </w:r>
      <w:r w:rsidR="00C04400" w:rsidRPr="003B0CCD">
        <w:rPr>
          <w:rFonts w:eastAsia="Arial Unicode MS"/>
          <w:color w:val="612141"/>
        </w:rPr>
        <w:t>Exercício 20</w:t>
      </w:r>
      <w:r w:rsidR="00F8173E" w:rsidRPr="003B0CCD">
        <w:rPr>
          <w:rFonts w:eastAsia="Arial Unicode MS"/>
          <w:color w:val="612141"/>
        </w:rPr>
        <w:t>2</w:t>
      </w:r>
      <w:r w:rsidR="00FB0B6A">
        <w:rPr>
          <w:rFonts w:eastAsia="Arial Unicode MS"/>
          <w:color w:val="612141"/>
        </w:rPr>
        <w:t>4</w:t>
      </w:r>
      <w:r w:rsidRPr="003B0CCD">
        <w:rPr>
          <w:rFonts w:eastAsia="Arial Unicode MS"/>
          <w:color w:val="612141"/>
        </w:rPr>
        <w:t xml:space="preserve"> – Destinação dos Recursos por CAU/Básico</w:t>
      </w:r>
      <w:bookmarkEnd w:id="104"/>
      <w:bookmarkEnd w:id="105"/>
    </w:p>
    <w:p w14:paraId="7DC85483" w14:textId="2FF6408C" w:rsidR="00D80A3A" w:rsidRDefault="00D80A3A" w:rsidP="00F755A3">
      <w:pPr>
        <w:spacing w:line="360" w:lineRule="auto"/>
        <w:ind w:firstLine="851"/>
        <w:jc w:val="both"/>
        <w:rPr>
          <w:rFonts w:eastAsia="Arial Unicode MS" w:cs="Calibri"/>
          <w:color w:val="741053"/>
          <w:sz w:val="24"/>
          <w:szCs w:val="24"/>
        </w:rPr>
      </w:pPr>
    </w:p>
    <w:p w14:paraId="15171A65" w14:textId="77777777" w:rsidR="00B96D9C" w:rsidRPr="00B96D9C" w:rsidRDefault="00B96D9C" w:rsidP="00F755A3">
      <w:pPr>
        <w:spacing w:line="360" w:lineRule="auto"/>
        <w:ind w:firstLine="851"/>
        <w:jc w:val="both"/>
        <w:rPr>
          <w:rFonts w:eastAsia="Arial Unicode MS" w:cs="Calibri"/>
          <w:color w:val="741053"/>
          <w:sz w:val="24"/>
          <w:szCs w:val="24"/>
        </w:rPr>
      </w:pPr>
    </w:p>
    <w:p w14:paraId="7DC85484" w14:textId="3AD40DFD" w:rsidR="00D80A3A" w:rsidRPr="003B0CCD" w:rsidRDefault="00D80A3A" w:rsidP="00F755A3">
      <w:pPr>
        <w:pStyle w:val="Ttulo4"/>
        <w:jc w:val="both"/>
        <w:rPr>
          <w:rFonts w:eastAsia="Arial Unicode MS"/>
          <w:color w:val="612141"/>
        </w:rPr>
      </w:pPr>
      <w:bookmarkStart w:id="106" w:name="_Toc424658704"/>
      <w:bookmarkStart w:id="107" w:name="_Toc487547260"/>
      <w:r w:rsidRPr="003B0CCD">
        <w:rPr>
          <w:rFonts w:eastAsia="Arial Unicode MS"/>
          <w:color w:val="612141"/>
        </w:rPr>
        <w:t xml:space="preserve">ANEXO </w:t>
      </w:r>
      <w:r w:rsidR="00922284" w:rsidRPr="003B0CCD">
        <w:rPr>
          <w:rFonts w:eastAsia="Arial Unicode MS"/>
          <w:color w:val="612141"/>
        </w:rPr>
        <w:t>VI.I</w:t>
      </w:r>
      <w:r w:rsidRPr="003B0CCD">
        <w:rPr>
          <w:rFonts w:eastAsia="Arial Unicode MS"/>
          <w:color w:val="612141"/>
        </w:rPr>
        <w:t xml:space="preserve"> – Fundo de Apoio Financeiro aos CAU/UF – </w:t>
      </w:r>
      <w:r w:rsidR="00C04400" w:rsidRPr="003B0CCD">
        <w:rPr>
          <w:rFonts w:eastAsia="Arial Unicode MS"/>
          <w:color w:val="612141"/>
        </w:rPr>
        <w:t>Exercício 20</w:t>
      </w:r>
      <w:r w:rsidR="00F8173E" w:rsidRPr="003B0CCD">
        <w:rPr>
          <w:rFonts w:eastAsia="Arial Unicode MS"/>
          <w:color w:val="612141"/>
        </w:rPr>
        <w:t>2</w:t>
      </w:r>
      <w:r w:rsidR="00FB0B6A">
        <w:rPr>
          <w:rFonts w:eastAsia="Arial Unicode MS"/>
          <w:color w:val="612141"/>
        </w:rPr>
        <w:t>4</w:t>
      </w:r>
      <w:r w:rsidRPr="003B0CCD">
        <w:rPr>
          <w:rFonts w:eastAsia="Arial Unicode MS"/>
          <w:color w:val="612141"/>
        </w:rPr>
        <w:t xml:space="preserve"> – Participação dos CAU/UF e CAU/BR</w:t>
      </w:r>
      <w:bookmarkEnd w:id="106"/>
      <w:bookmarkEnd w:id="107"/>
    </w:p>
    <w:p w14:paraId="7DC85485" w14:textId="77777777" w:rsidR="00D80A3A" w:rsidRDefault="00D80A3A" w:rsidP="00D80A3A">
      <w:pPr>
        <w:spacing w:line="360" w:lineRule="auto"/>
        <w:ind w:firstLine="851"/>
        <w:jc w:val="both"/>
        <w:rPr>
          <w:rFonts w:eastAsia="Arial Unicode MS" w:cs="Calibri"/>
          <w:sz w:val="24"/>
          <w:szCs w:val="24"/>
        </w:rPr>
      </w:pPr>
    </w:p>
    <w:p w14:paraId="7DC85486" w14:textId="77777777" w:rsidR="00D80A3A" w:rsidRDefault="00D80A3A" w:rsidP="00D80A3A">
      <w:pPr>
        <w:spacing w:line="360" w:lineRule="auto"/>
        <w:ind w:firstLine="851"/>
        <w:jc w:val="both"/>
        <w:rPr>
          <w:rFonts w:eastAsia="Arial Unicode MS" w:cs="Calibri"/>
          <w:sz w:val="24"/>
          <w:szCs w:val="24"/>
        </w:rPr>
      </w:pPr>
    </w:p>
    <w:p w14:paraId="7DC85487" w14:textId="77777777" w:rsidR="00D80A3A" w:rsidRDefault="00D80A3A" w:rsidP="00D80A3A">
      <w:pPr>
        <w:spacing w:line="360" w:lineRule="auto"/>
        <w:ind w:firstLine="851"/>
        <w:jc w:val="both"/>
        <w:rPr>
          <w:rFonts w:eastAsia="Arial Unicode MS" w:cs="Calibri"/>
          <w:sz w:val="24"/>
          <w:szCs w:val="24"/>
        </w:rPr>
      </w:pPr>
    </w:p>
    <w:p w14:paraId="7DC85488" w14:textId="77777777" w:rsidR="00D80A3A" w:rsidRDefault="00D80A3A" w:rsidP="00D80A3A">
      <w:pPr>
        <w:rPr>
          <w:rFonts w:eastAsia="Arial Unicode MS" w:cs="Calibri"/>
          <w:b/>
          <w:sz w:val="20"/>
          <w:szCs w:val="20"/>
        </w:rPr>
      </w:pPr>
      <w:r>
        <w:rPr>
          <w:rFonts w:eastAsia="Arial Unicode MS" w:cs="Calibri"/>
          <w:b/>
          <w:sz w:val="20"/>
          <w:szCs w:val="20"/>
        </w:rPr>
        <w:br w:type="page"/>
      </w:r>
    </w:p>
    <w:p w14:paraId="7DC85489" w14:textId="77777777" w:rsidR="000A6B2B" w:rsidRDefault="000A6B2B" w:rsidP="00D80A3A">
      <w:pPr>
        <w:spacing w:line="360" w:lineRule="auto"/>
        <w:ind w:left="-709"/>
        <w:jc w:val="both"/>
        <w:rPr>
          <w:rFonts w:eastAsia="Arial Unicode MS" w:cs="Calibri"/>
          <w:b/>
          <w:sz w:val="20"/>
          <w:szCs w:val="20"/>
        </w:rPr>
        <w:sectPr w:rsidR="000A6B2B" w:rsidSect="00A524B7">
          <w:pgSz w:w="11906" w:h="16838"/>
          <w:pgMar w:top="1701" w:right="1134" w:bottom="1134" w:left="1701" w:header="709" w:footer="153" w:gutter="0"/>
          <w:cols w:space="708"/>
          <w:docGrid w:linePitch="360"/>
        </w:sectPr>
      </w:pPr>
    </w:p>
    <w:p w14:paraId="7D28967A" w14:textId="731A2C28" w:rsidR="000E36AD" w:rsidRPr="000E2929" w:rsidRDefault="00D80A3A" w:rsidP="00563EC6">
      <w:pPr>
        <w:pStyle w:val="Ttulo5"/>
        <w:ind w:left="-567"/>
        <w:jc w:val="left"/>
        <w:rPr>
          <w:rFonts w:eastAsia="Arial Unicode MS"/>
          <w:color w:val="auto"/>
        </w:rPr>
      </w:pPr>
      <w:bookmarkStart w:id="108" w:name="_ANEXO_X_–_1"/>
      <w:bookmarkStart w:id="109" w:name="_Toc83716317"/>
      <w:bookmarkEnd w:id="108"/>
      <w:r w:rsidRPr="000E2929">
        <w:rPr>
          <w:rFonts w:eastAsia="Arial Unicode MS"/>
          <w:color w:val="auto"/>
        </w:rPr>
        <w:t xml:space="preserve">ANEXO </w:t>
      </w:r>
      <w:r w:rsidR="00922284" w:rsidRPr="000E2929">
        <w:rPr>
          <w:rFonts w:eastAsia="Arial Unicode MS"/>
          <w:color w:val="auto"/>
        </w:rPr>
        <w:t>VI</w:t>
      </w:r>
      <w:r w:rsidRPr="000E2929">
        <w:rPr>
          <w:rFonts w:eastAsia="Arial Unicode MS"/>
          <w:color w:val="auto"/>
        </w:rPr>
        <w:t xml:space="preserve"> – Fundo de Apoio Financ</w:t>
      </w:r>
      <w:r w:rsidR="0098214D" w:rsidRPr="000E2929">
        <w:rPr>
          <w:rFonts w:eastAsia="Arial Unicode MS"/>
          <w:color w:val="auto"/>
        </w:rPr>
        <w:t xml:space="preserve">eiro aos CAU/UF – </w:t>
      </w:r>
      <w:r w:rsidR="00D56F83" w:rsidRPr="000E2929">
        <w:rPr>
          <w:rFonts w:eastAsia="Arial Unicode MS"/>
          <w:color w:val="auto"/>
        </w:rPr>
        <w:t>Exercício 202</w:t>
      </w:r>
      <w:r w:rsidR="00FB0B6A">
        <w:rPr>
          <w:rFonts w:eastAsia="Arial Unicode MS"/>
          <w:color w:val="auto"/>
        </w:rPr>
        <w:t>4</w:t>
      </w:r>
      <w:r w:rsidRPr="000E2929">
        <w:rPr>
          <w:rFonts w:eastAsia="Arial Unicode MS"/>
          <w:color w:val="auto"/>
        </w:rPr>
        <w:t xml:space="preserve"> – Destinação dos Recursos por CAU/Básico</w:t>
      </w:r>
      <w:r w:rsidR="005B1C29" w:rsidRPr="000E2929">
        <w:rPr>
          <w:rFonts w:eastAsia="Arial Unicode MS"/>
          <w:color w:val="auto"/>
        </w:rPr>
        <w:t xml:space="preserve"> (Repasse)</w:t>
      </w:r>
      <w:bookmarkEnd w:id="109"/>
    </w:p>
    <w:p w14:paraId="71EF3FB5" w14:textId="415E4088" w:rsidR="000A6B2B" w:rsidRDefault="007C6D2A" w:rsidP="000E2929">
      <w:pPr>
        <w:ind w:left="-567"/>
        <w:jc w:val="center"/>
        <w:rPr>
          <w:rFonts w:eastAsia="Arial Unicode MS" w:cs="Calibri"/>
          <w:sz w:val="24"/>
          <w:szCs w:val="24"/>
        </w:rPr>
      </w:pPr>
      <w:r w:rsidRPr="007C6D2A">
        <w:rPr>
          <w:noProof/>
          <w:lang w:eastAsia="pt-BR"/>
        </w:rPr>
        <w:drawing>
          <wp:inline distT="0" distB="0" distL="0" distR="0" wp14:anchorId="57DE7F24" wp14:editId="2076CCDD">
            <wp:extent cx="9775190" cy="421005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775190" cy="4210050"/>
                    </a:xfrm>
                    <a:prstGeom prst="rect">
                      <a:avLst/>
                    </a:prstGeom>
                  </pic:spPr>
                </pic:pic>
              </a:graphicData>
            </a:graphic>
          </wp:inline>
        </w:drawing>
      </w:r>
    </w:p>
    <w:p w14:paraId="178C3DE6" w14:textId="77777777" w:rsidR="00C4031A" w:rsidRPr="00C4031A" w:rsidRDefault="00C4031A" w:rsidP="00C4031A">
      <w:pPr>
        <w:spacing w:after="0" w:line="240" w:lineRule="auto"/>
        <w:ind w:left="-567"/>
        <w:jc w:val="both"/>
        <w:rPr>
          <w:rFonts w:eastAsia="Arial Unicode MS" w:cs="Calibri"/>
          <w:sz w:val="18"/>
          <w:szCs w:val="18"/>
        </w:rPr>
      </w:pPr>
      <w:r w:rsidRPr="00C4031A">
        <w:rPr>
          <w:rFonts w:eastAsia="Arial Unicode MS" w:cs="Calibri"/>
          <w:sz w:val="18"/>
          <w:szCs w:val="18"/>
        </w:rPr>
        <w:t>*Arrecadação para os Aportes (Do Exercício + 10% Ex.Ant)</w:t>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p>
    <w:p w14:paraId="3DDC2293" w14:textId="2C05DBC7" w:rsidR="00C4031A" w:rsidRDefault="00C4031A" w:rsidP="00C4031A">
      <w:pPr>
        <w:spacing w:after="0" w:line="240" w:lineRule="auto"/>
        <w:ind w:left="-567"/>
        <w:jc w:val="both"/>
        <w:rPr>
          <w:rFonts w:eastAsia="Arial Unicode MS" w:cs="Calibri"/>
          <w:sz w:val="18"/>
          <w:szCs w:val="18"/>
        </w:rPr>
      </w:pPr>
      <w:r w:rsidRPr="00C4031A">
        <w:rPr>
          <w:rFonts w:eastAsia="Arial Unicode MS" w:cs="Calibri"/>
          <w:sz w:val="18"/>
          <w:szCs w:val="18"/>
        </w:rPr>
        <w:t>¹ Está incluso o valor do  CSC  em conformidade com a Res. 126,  2°, § 1°, inciso III, alínea “b”, alterada pela Res. 183.) e o plano de ação do CSC 2024.</w:t>
      </w:r>
      <w:r w:rsidRPr="00C4031A">
        <w:rPr>
          <w:rFonts w:eastAsia="Arial Unicode MS" w:cs="Calibri"/>
          <w:sz w:val="18"/>
          <w:szCs w:val="18"/>
        </w:rPr>
        <w:tab/>
      </w:r>
    </w:p>
    <w:p w14:paraId="5BB9F27D" w14:textId="77777777" w:rsidR="00C4031A" w:rsidRDefault="00C4031A" w:rsidP="00C4031A">
      <w:pPr>
        <w:spacing w:after="0" w:line="240" w:lineRule="auto"/>
        <w:ind w:left="-567"/>
        <w:jc w:val="both"/>
        <w:rPr>
          <w:rFonts w:eastAsia="Arial Unicode MS" w:cs="Calibri"/>
          <w:sz w:val="18"/>
          <w:szCs w:val="18"/>
        </w:rPr>
      </w:pPr>
      <w:r w:rsidRPr="00C4031A">
        <w:rPr>
          <w:rFonts w:eastAsia="Arial Unicode MS" w:cs="Calibri"/>
          <w:sz w:val="18"/>
          <w:szCs w:val="18"/>
        </w:rPr>
        <w:tab/>
        <w:t>2 Participação nas Plenárias Ampliadas - custo da participação do Presidente do CAU Básico nas Plenárias Ampliadas (4 eventos de 1 dia cada). Proposta CGFA 001/2017.</w:t>
      </w:r>
      <w:r w:rsidRPr="00C4031A">
        <w:rPr>
          <w:rFonts w:eastAsia="Arial Unicode MS" w:cs="Calibri"/>
          <w:sz w:val="18"/>
          <w:szCs w:val="18"/>
        </w:rPr>
        <w:tab/>
      </w:r>
    </w:p>
    <w:p w14:paraId="393F1882" w14:textId="18B10FDB" w:rsidR="00C4031A" w:rsidRDefault="00C4031A" w:rsidP="00C4031A">
      <w:pPr>
        <w:spacing w:after="0" w:line="240" w:lineRule="auto"/>
        <w:ind w:left="-567"/>
        <w:jc w:val="both"/>
        <w:rPr>
          <w:rFonts w:eastAsia="Arial Unicode MS" w:cs="Calibri"/>
          <w:sz w:val="18"/>
          <w:szCs w:val="18"/>
        </w:rPr>
      </w:pP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t>³ Participação no Fórum de Presidentes (diárias e passagens). Proposta nº 5/2023 - CG-FA.</w:t>
      </w:r>
      <w:r w:rsidRPr="00C4031A">
        <w:rPr>
          <w:rFonts w:eastAsia="Arial Unicode MS" w:cs="Calibri"/>
          <w:sz w:val="18"/>
          <w:szCs w:val="18"/>
        </w:rPr>
        <w:tab/>
      </w:r>
    </w:p>
    <w:p w14:paraId="08DCB330" w14:textId="5839B770" w:rsidR="00C4031A" w:rsidRPr="00C4031A" w:rsidRDefault="00C4031A" w:rsidP="00C4031A">
      <w:pPr>
        <w:spacing w:after="0" w:line="240" w:lineRule="auto"/>
        <w:ind w:left="-567"/>
        <w:jc w:val="both"/>
        <w:rPr>
          <w:rFonts w:eastAsia="Arial Unicode MS" w:cs="Calibri"/>
          <w:sz w:val="18"/>
          <w:szCs w:val="18"/>
        </w:rPr>
      </w:pPr>
      <w:r w:rsidRPr="00C4031A">
        <w:rPr>
          <w:rFonts w:eastAsia="Arial Unicode MS" w:cs="Calibri"/>
          <w:sz w:val="18"/>
          <w:szCs w:val="18"/>
        </w:rPr>
        <w:t>⁴ Participação em eventos nacionais a critério do CAU/UF, dentre aqueles promovidos pelas Comissões do CAU/BR, com custeio por aporte adicional pelo CAU/BR (dez participações, com uma diária e uma passagem). Proposta nº 5/2023 - CG - FA.</w:t>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p>
    <w:p w14:paraId="15D2F85B" w14:textId="07988C84" w:rsidR="00C4031A" w:rsidRPr="00C4031A" w:rsidRDefault="00C4031A" w:rsidP="00C4031A">
      <w:pPr>
        <w:spacing w:after="0" w:line="240" w:lineRule="auto"/>
        <w:ind w:left="-567"/>
        <w:jc w:val="both"/>
        <w:rPr>
          <w:rFonts w:eastAsia="Arial Unicode MS" w:cs="Calibri"/>
          <w:sz w:val="18"/>
          <w:szCs w:val="18"/>
        </w:rPr>
      </w:pPr>
      <w:r w:rsidRPr="00C4031A">
        <w:rPr>
          <w:rFonts w:eastAsia="Arial Unicode MS" w:cs="Calibri"/>
          <w:sz w:val="18"/>
          <w:szCs w:val="18"/>
        </w:rPr>
        <w:t>⁵  10% (dez por cento) de todos os aportes de recursos ao Fundo serão reservados, RESOLUÇÃO N° 119, Art. 7º, II, DE 19 DE AGOSTO DE 2016.</w:t>
      </w:r>
      <w:r w:rsidRPr="00C4031A">
        <w:rPr>
          <w:rFonts w:eastAsia="Arial Unicode MS" w:cs="Calibri"/>
          <w:sz w:val="18"/>
          <w:szCs w:val="18"/>
        </w:rPr>
        <w:tab/>
      </w:r>
      <w:r w:rsidRPr="00C4031A">
        <w:rPr>
          <w:rFonts w:eastAsia="Arial Unicode MS" w:cs="Calibri"/>
          <w:sz w:val="18"/>
          <w:szCs w:val="18"/>
        </w:rPr>
        <w:tab/>
      </w:r>
      <w:r w:rsidRPr="00C4031A">
        <w:rPr>
          <w:rFonts w:eastAsia="Arial Unicode MS" w:cs="Calibri"/>
          <w:sz w:val="18"/>
          <w:szCs w:val="18"/>
        </w:rPr>
        <w:tab/>
      </w:r>
    </w:p>
    <w:p w14:paraId="781B1FE3" w14:textId="089E0AB0" w:rsidR="00C4031A" w:rsidRDefault="00C4031A" w:rsidP="00C4031A">
      <w:pPr>
        <w:spacing w:after="0" w:line="240" w:lineRule="auto"/>
        <w:ind w:left="-567"/>
        <w:jc w:val="both"/>
        <w:rPr>
          <w:rFonts w:eastAsia="Arial Unicode MS" w:cs="Calibri"/>
          <w:sz w:val="24"/>
          <w:szCs w:val="24"/>
        </w:rPr>
      </w:pPr>
      <w:r w:rsidRPr="00C4031A">
        <w:rPr>
          <w:rFonts w:eastAsia="Arial Unicode MS" w:cs="Calibri"/>
          <w:sz w:val="18"/>
          <w:szCs w:val="18"/>
        </w:rPr>
        <w:t>⁶ Utilização do Saldo do Fundo de apoio no valor de R$ 200,</w:t>
      </w:r>
      <w:r>
        <w:rPr>
          <w:rFonts w:eastAsia="Arial Unicode MS" w:cs="Calibri"/>
          <w:sz w:val="18"/>
          <w:szCs w:val="18"/>
        </w:rPr>
        <w:t>0</w:t>
      </w:r>
      <w:r w:rsidRPr="00C4031A">
        <w:rPr>
          <w:rFonts w:eastAsia="Arial Unicode MS" w:cs="Calibri"/>
          <w:sz w:val="18"/>
          <w:szCs w:val="18"/>
        </w:rPr>
        <w:t>0 mil para redução nos aportes dos CAU/UF e CAU/BR. Proposta nº 5/2023 - CG-FA.</w:t>
      </w:r>
      <w:r w:rsidRPr="00C4031A">
        <w:rPr>
          <w:rFonts w:eastAsia="Arial Unicode MS" w:cs="Calibri"/>
          <w:sz w:val="18"/>
          <w:szCs w:val="18"/>
        </w:rPr>
        <w:tab/>
      </w:r>
    </w:p>
    <w:p w14:paraId="7DC8548D" w14:textId="0C714EF8" w:rsidR="000E397A" w:rsidRDefault="000E397A" w:rsidP="00C4031A">
      <w:pPr>
        <w:spacing w:after="0" w:line="240" w:lineRule="auto"/>
        <w:ind w:left="-567"/>
        <w:jc w:val="both"/>
        <w:rPr>
          <w:rFonts w:eastAsia="Arial Unicode MS" w:cs="Calibri"/>
          <w:sz w:val="24"/>
          <w:szCs w:val="24"/>
        </w:rPr>
        <w:sectPr w:rsidR="000E397A" w:rsidSect="00EF1FD6">
          <w:pgSz w:w="16838" w:h="11906" w:orient="landscape"/>
          <w:pgMar w:top="1701" w:right="820" w:bottom="1134" w:left="1134" w:header="709" w:footer="153" w:gutter="0"/>
          <w:cols w:space="708"/>
          <w:docGrid w:linePitch="360"/>
        </w:sectPr>
      </w:pPr>
    </w:p>
    <w:p w14:paraId="7DC8548E" w14:textId="40A2496E" w:rsidR="00D80A3A" w:rsidRPr="00DE1834" w:rsidRDefault="00D80A3A" w:rsidP="00FE080E">
      <w:pPr>
        <w:pStyle w:val="Ttulo5"/>
        <w:rPr>
          <w:rFonts w:eastAsia="Arial Unicode MS"/>
          <w:color w:val="auto"/>
        </w:rPr>
      </w:pPr>
      <w:bookmarkStart w:id="110" w:name="_ANEXO_X.I_–"/>
      <w:bookmarkStart w:id="111" w:name="_Toc83716318"/>
      <w:bookmarkEnd w:id="110"/>
      <w:r w:rsidRPr="00DE1834">
        <w:rPr>
          <w:rFonts w:eastAsia="Arial Unicode MS"/>
          <w:color w:val="auto"/>
        </w:rPr>
        <w:t xml:space="preserve">ANEXO </w:t>
      </w:r>
      <w:r w:rsidR="00D43348" w:rsidRPr="00DE1834">
        <w:rPr>
          <w:rFonts w:eastAsia="Arial Unicode MS"/>
          <w:color w:val="auto"/>
        </w:rPr>
        <w:t>VI.I</w:t>
      </w:r>
      <w:r w:rsidRPr="00DE1834">
        <w:rPr>
          <w:rFonts w:eastAsia="Arial Unicode MS"/>
          <w:color w:val="auto"/>
        </w:rPr>
        <w:t xml:space="preserve"> – Fundo de Apoio Financ</w:t>
      </w:r>
      <w:r w:rsidR="0098214D" w:rsidRPr="00DE1834">
        <w:rPr>
          <w:rFonts w:eastAsia="Arial Unicode MS"/>
          <w:color w:val="auto"/>
        </w:rPr>
        <w:t xml:space="preserve">eiro aos CAU/UF – </w:t>
      </w:r>
      <w:r w:rsidR="00C04400" w:rsidRPr="00DE1834">
        <w:rPr>
          <w:rFonts w:eastAsia="Arial Unicode MS"/>
          <w:color w:val="auto"/>
        </w:rPr>
        <w:t>Exercício 20</w:t>
      </w:r>
      <w:r w:rsidR="00D56F83" w:rsidRPr="00DE1834">
        <w:rPr>
          <w:rFonts w:eastAsia="Arial Unicode MS"/>
          <w:color w:val="auto"/>
        </w:rPr>
        <w:t>2</w:t>
      </w:r>
      <w:r w:rsidR="007C6D2A">
        <w:rPr>
          <w:rFonts w:eastAsia="Arial Unicode MS"/>
          <w:color w:val="auto"/>
        </w:rPr>
        <w:t>4</w:t>
      </w:r>
      <w:r w:rsidR="0098214D" w:rsidRPr="00DE1834">
        <w:rPr>
          <w:rFonts w:eastAsia="Arial Unicode MS"/>
          <w:color w:val="auto"/>
        </w:rPr>
        <w:t xml:space="preserve"> </w:t>
      </w:r>
      <w:r w:rsidRPr="00DE1834">
        <w:rPr>
          <w:rFonts w:eastAsia="Arial Unicode MS"/>
          <w:color w:val="auto"/>
        </w:rPr>
        <w:t xml:space="preserve">– Participação dos CAU/UF e CAU/BR </w:t>
      </w:r>
      <w:r w:rsidR="005B1C29" w:rsidRPr="00DE1834">
        <w:rPr>
          <w:rFonts w:eastAsia="Arial Unicode MS"/>
          <w:color w:val="auto"/>
        </w:rPr>
        <w:t>(Aporte)</w:t>
      </w:r>
      <w:bookmarkEnd w:id="111"/>
    </w:p>
    <w:p w14:paraId="7DC8549A" w14:textId="4FF5BA7E" w:rsidR="00A05B9A" w:rsidRPr="00F91533" w:rsidRDefault="007C6D2A" w:rsidP="00F91533">
      <w:pPr>
        <w:spacing w:line="360" w:lineRule="auto"/>
        <w:jc w:val="center"/>
        <w:rPr>
          <w:rFonts w:eastAsia="Arial Unicode MS" w:cs="Calibri"/>
          <w:sz w:val="24"/>
          <w:szCs w:val="24"/>
        </w:rPr>
      </w:pPr>
      <w:bookmarkStart w:id="112" w:name="_Toc424658705"/>
      <w:bookmarkStart w:id="113" w:name="_Toc487547261"/>
      <w:r w:rsidRPr="007C6D2A">
        <w:rPr>
          <w:noProof/>
          <w:lang w:eastAsia="pt-BR"/>
        </w:rPr>
        <w:drawing>
          <wp:inline distT="0" distB="0" distL="0" distR="0" wp14:anchorId="210040BA" wp14:editId="620DADEC">
            <wp:extent cx="6181725" cy="6429348"/>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98827" cy="6447135"/>
                    </a:xfrm>
                    <a:prstGeom prst="rect">
                      <a:avLst/>
                    </a:prstGeom>
                  </pic:spPr>
                </pic:pic>
              </a:graphicData>
            </a:graphic>
          </wp:inline>
        </w:drawing>
      </w:r>
    </w:p>
    <w:p w14:paraId="4A366F56" w14:textId="255A249D" w:rsidR="00F755A3" w:rsidRDefault="00F755A3" w:rsidP="00F755A3"/>
    <w:p w14:paraId="0E3B63DE" w14:textId="2F9DC132" w:rsidR="001B22E7" w:rsidRDefault="001B22E7">
      <w:r>
        <w:br w:type="page"/>
      </w:r>
    </w:p>
    <w:p w14:paraId="52095635" w14:textId="77777777" w:rsidR="00F755A3" w:rsidRPr="00F755A3" w:rsidRDefault="00F755A3" w:rsidP="00F755A3"/>
    <w:p w14:paraId="66C38AAF" w14:textId="77777777" w:rsidR="002A4C28" w:rsidRDefault="002A4C28" w:rsidP="00B824B6">
      <w:pPr>
        <w:pStyle w:val="Ttulo4"/>
        <w:jc w:val="both"/>
        <w:rPr>
          <w:rFonts w:eastAsia="Arial Unicode MS"/>
          <w:iCs w:val="0"/>
        </w:rPr>
      </w:pPr>
      <w:bookmarkStart w:id="114" w:name="_Toc78546327"/>
    </w:p>
    <w:p w14:paraId="13DAAC50" w14:textId="501A96C0" w:rsidR="002A4C28" w:rsidRDefault="002A4C28" w:rsidP="00B824B6">
      <w:pPr>
        <w:pStyle w:val="Ttulo4"/>
        <w:jc w:val="both"/>
        <w:rPr>
          <w:rFonts w:eastAsia="Arial Unicode MS"/>
          <w:iCs w:val="0"/>
        </w:rPr>
      </w:pPr>
    </w:p>
    <w:p w14:paraId="271616D9" w14:textId="1577472B" w:rsidR="00532F78" w:rsidRDefault="00532F78" w:rsidP="00532F78"/>
    <w:p w14:paraId="1BF20946" w14:textId="2F5A954D" w:rsidR="00532F78" w:rsidRDefault="00532F78" w:rsidP="00532F78"/>
    <w:p w14:paraId="5E4FA25B" w14:textId="30146416" w:rsidR="00532F78" w:rsidRDefault="00532F78" w:rsidP="00532F78"/>
    <w:p w14:paraId="19507078" w14:textId="3DF76238" w:rsidR="00532F78" w:rsidRDefault="00532F78" w:rsidP="00532F78"/>
    <w:p w14:paraId="567FC1C7" w14:textId="7E39DB69" w:rsidR="00532F78" w:rsidRDefault="00532F78" w:rsidP="00532F78"/>
    <w:p w14:paraId="0CA34F79" w14:textId="702C800A" w:rsidR="00532F78" w:rsidRDefault="00532F78" w:rsidP="00532F78"/>
    <w:p w14:paraId="7638EA7A" w14:textId="00884B6D" w:rsidR="00532F78" w:rsidRDefault="00532F78" w:rsidP="00532F78"/>
    <w:p w14:paraId="07C246E1" w14:textId="4325D4A5" w:rsidR="00532F78" w:rsidRDefault="00532F78" w:rsidP="00532F78"/>
    <w:p w14:paraId="1D5B980C" w14:textId="5DE4B4E9" w:rsidR="00532F78" w:rsidRDefault="00532F78" w:rsidP="00532F78"/>
    <w:p w14:paraId="29FD4376" w14:textId="7411C029" w:rsidR="00532F78" w:rsidRDefault="00532F78" w:rsidP="00532F78"/>
    <w:p w14:paraId="6805CADF" w14:textId="77777777" w:rsidR="00532F78" w:rsidRPr="00532F78" w:rsidRDefault="00532F78" w:rsidP="00532F78"/>
    <w:p w14:paraId="7BCC1A6F" w14:textId="77777777" w:rsidR="002A4C28" w:rsidRPr="002A4C28" w:rsidRDefault="002A4C28" w:rsidP="002A4C28"/>
    <w:p w14:paraId="0DDE0A5C" w14:textId="2E3C15E6" w:rsidR="00B824B6" w:rsidRPr="003B0CCD" w:rsidRDefault="00B824B6" w:rsidP="00B824B6">
      <w:pPr>
        <w:pStyle w:val="Ttulo4"/>
        <w:jc w:val="both"/>
        <w:rPr>
          <w:rFonts w:eastAsia="Arial Unicode MS"/>
          <w:color w:val="612141"/>
        </w:rPr>
      </w:pPr>
      <w:bookmarkStart w:id="115" w:name="_Hlk114401409"/>
      <w:r w:rsidRPr="003B0CCD">
        <w:rPr>
          <w:rFonts w:eastAsia="Arial Unicode MS"/>
          <w:iCs w:val="0"/>
          <w:color w:val="612141"/>
        </w:rPr>
        <w:t>ANEXO VII</w:t>
      </w:r>
      <w:r w:rsidR="007C6D2A">
        <w:rPr>
          <w:rFonts w:eastAsia="Arial Unicode MS"/>
          <w:iCs w:val="0"/>
          <w:color w:val="612141"/>
        </w:rPr>
        <w:t xml:space="preserve"> </w:t>
      </w:r>
      <w:r w:rsidRPr="003B0CCD">
        <w:rPr>
          <w:rFonts w:eastAsia="Arial Unicode MS"/>
          <w:color w:val="612141"/>
        </w:rPr>
        <w:t>– Demonstrativo da Participação dos CAU/UF e do CAU/BR nas Despesas do Centro de Serviços Compartilhados</w:t>
      </w:r>
      <w:bookmarkEnd w:id="114"/>
      <w:r w:rsidRPr="003B0CCD">
        <w:rPr>
          <w:rFonts w:eastAsia="Arial Unicode MS"/>
          <w:iCs w:val="0"/>
          <w:color w:val="612141"/>
        </w:rPr>
        <w:t xml:space="preserve"> </w:t>
      </w:r>
      <w:r w:rsidRPr="003B0CCD">
        <w:rPr>
          <w:rFonts w:eastAsia="Arial Unicode MS"/>
          <w:color w:val="612141"/>
        </w:rPr>
        <w:t>(Serviços Totais)</w:t>
      </w:r>
    </w:p>
    <w:p w14:paraId="44AE5201" w14:textId="2C3F2A33" w:rsidR="00B824B6" w:rsidRPr="003B0CCD" w:rsidRDefault="00B824B6" w:rsidP="00B824B6">
      <w:pPr>
        <w:rPr>
          <w:rFonts w:asciiTheme="majorHAnsi" w:eastAsia="Arial Unicode MS" w:hAnsiTheme="majorHAnsi" w:cstheme="majorBidi"/>
          <w:b/>
          <w:iCs/>
          <w:color w:val="612141"/>
          <w:sz w:val="44"/>
        </w:rPr>
      </w:pPr>
    </w:p>
    <w:p w14:paraId="0E429E21" w14:textId="77777777" w:rsidR="00B73CD8" w:rsidRPr="003B0CCD" w:rsidRDefault="00B73CD8" w:rsidP="00B824B6">
      <w:pPr>
        <w:rPr>
          <w:rFonts w:asciiTheme="majorHAnsi" w:eastAsia="Arial Unicode MS" w:hAnsiTheme="majorHAnsi" w:cstheme="majorBidi"/>
          <w:b/>
          <w:iCs/>
          <w:color w:val="612141"/>
          <w:sz w:val="44"/>
        </w:rPr>
      </w:pPr>
    </w:p>
    <w:bookmarkEnd w:id="115"/>
    <w:p w14:paraId="600AA34B" w14:textId="77777777" w:rsidR="00B824B6" w:rsidRPr="003B0CCD" w:rsidRDefault="00B824B6" w:rsidP="00B824B6">
      <w:pPr>
        <w:rPr>
          <w:rFonts w:eastAsia="Arial Unicode MS"/>
          <w:color w:val="612141"/>
        </w:rPr>
      </w:pPr>
    </w:p>
    <w:p w14:paraId="0056269A" w14:textId="04138949" w:rsidR="001B22E7" w:rsidRPr="003B0CCD" w:rsidRDefault="001B22E7" w:rsidP="001B22E7">
      <w:pPr>
        <w:rPr>
          <w:color w:val="612141"/>
        </w:rPr>
      </w:pPr>
    </w:p>
    <w:p w14:paraId="7DC854A5" w14:textId="77777777" w:rsidR="00F47F89" w:rsidRDefault="00F47F89" w:rsidP="00D80A3A">
      <w:pPr>
        <w:rPr>
          <w:rFonts w:eastAsia="Arial Unicode MS" w:cs="Calibri"/>
          <w:sz w:val="24"/>
          <w:szCs w:val="24"/>
        </w:rPr>
      </w:pPr>
      <w:bookmarkStart w:id="116" w:name="_ANEXO_XI_–"/>
      <w:bookmarkStart w:id="117" w:name="_ANEXO_XII_–Despesas"/>
      <w:bookmarkEnd w:id="112"/>
      <w:bookmarkEnd w:id="113"/>
      <w:bookmarkEnd w:id="116"/>
      <w:bookmarkEnd w:id="117"/>
    </w:p>
    <w:p w14:paraId="113D1F50" w14:textId="601F1F04" w:rsidR="002A4C28" w:rsidRDefault="002A4C28" w:rsidP="007F5C98">
      <w:pPr>
        <w:pStyle w:val="Ttulo5"/>
        <w:rPr>
          <w:rFonts w:eastAsia="Arial Unicode MS"/>
          <w:color w:val="auto"/>
        </w:rPr>
      </w:pPr>
      <w:bookmarkStart w:id="118" w:name="_ANEXO_XI_–_1"/>
      <w:bookmarkStart w:id="119" w:name="_Toc83716319"/>
      <w:bookmarkEnd w:id="118"/>
    </w:p>
    <w:p w14:paraId="24F5BEB0" w14:textId="02A11E70" w:rsidR="002A4C28" w:rsidRDefault="002A4C28" w:rsidP="002A4C28"/>
    <w:p w14:paraId="7A196083" w14:textId="3A9879C7" w:rsidR="002A4C28" w:rsidRDefault="002A4C28" w:rsidP="002A4C28"/>
    <w:p w14:paraId="06849F56" w14:textId="28E16A21" w:rsidR="002A4C28" w:rsidRDefault="002A4C28" w:rsidP="002A4C28"/>
    <w:p w14:paraId="7E6E90A6" w14:textId="18946D98" w:rsidR="007F5C98" w:rsidRPr="00DE1834" w:rsidRDefault="007F5C98" w:rsidP="007F5C98">
      <w:pPr>
        <w:pStyle w:val="Ttulo5"/>
        <w:rPr>
          <w:rFonts w:eastAsia="Arial Unicode MS"/>
          <w:color w:val="auto"/>
        </w:rPr>
      </w:pPr>
      <w:r w:rsidRPr="00DE1834">
        <w:rPr>
          <w:rFonts w:eastAsia="Arial Unicode MS"/>
          <w:color w:val="auto"/>
        </w:rPr>
        <w:t>ANEXO VII</w:t>
      </w:r>
      <w:r w:rsidR="001171DB" w:rsidRPr="00DE1834">
        <w:rPr>
          <w:rFonts w:eastAsia="Arial Unicode MS"/>
          <w:color w:val="auto"/>
        </w:rPr>
        <w:t xml:space="preserve"> </w:t>
      </w:r>
      <w:r w:rsidRPr="00DE1834">
        <w:rPr>
          <w:rFonts w:eastAsia="Arial Unicode MS"/>
          <w:color w:val="auto"/>
        </w:rPr>
        <w:t>– Demonstrativo da Participação dos CAU/UF e do CAU/BR nas Despesas do Centro de Serviços Compartilhados (Serviços Totais)</w:t>
      </w:r>
      <w:bookmarkEnd w:id="119"/>
    </w:p>
    <w:p w14:paraId="4D9D25DA" w14:textId="7D16A4C5" w:rsidR="00C754F0" w:rsidRDefault="00C754F0" w:rsidP="007D66D2">
      <w:pPr>
        <w:jc w:val="right"/>
      </w:pPr>
    </w:p>
    <w:p w14:paraId="720975EE" w14:textId="3C24AD57" w:rsidR="000865E4" w:rsidRDefault="00593DE7" w:rsidP="007D66D2">
      <w:pPr>
        <w:jc w:val="right"/>
      </w:pPr>
      <w:r w:rsidRPr="00593DE7">
        <w:rPr>
          <w:noProof/>
          <w:lang w:eastAsia="pt-BR"/>
        </w:rPr>
        <w:drawing>
          <wp:inline distT="0" distB="0" distL="0" distR="0" wp14:anchorId="661AB7CC" wp14:editId="53599BE4">
            <wp:extent cx="6196330" cy="6400314"/>
            <wp:effectExtent l="0" t="0" r="0" b="635"/>
            <wp:docPr id="608648630"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48630" name="Imagem 1" descr="Tabela&#10;&#10;Descrição gerada automaticamente"/>
                    <pic:cNvPicPr/>
                  </pic:nvPicPr>
                  <pic:blipFill>
                    <a:blip r:embed="rId36"/>
                    <a:stretch>
                      <a:fillRect/>
                    </a:stretch>
                  </pic:blipFill>
                  <pic:spPr>
                    <a:xfrm>
                      <a:off x="0" y="0"/>
                      <a:ext cx="6211748" cy="6416239"/>
                    </a:xfrm>
                    <a:prstGeom prst="rect">
                      <a:avLst/>
                    </a:prstGeom>
                  </pic:spPr>
                </pic:pic>
              </a:graphicData>
            </a:graphic>
          </wp:inline>
        </w:drawing>
      </w:r>
    </w:p>
    <w:p w14:paraId="57F0EC12" w14:textId="509D4BD3" w:rsidR="000865E4" w:rsidRDefault="000865E4" w:rsidP="007D66D2">
      <w:pPr>
        <w:jc w:val="right"/>
      </w:pPr>
    </w:p>
    <w:p w14:paraId="3D72BCF6" w14:textId="3E622003" w:rsidR="000865E4" w:rsidRDefault="000865E4" w:rsidP="007D66D2">
      <w:pPr>
        <w:jc w:val="right"/>
      </w:pPr>
    </w:p>
    <w:p w14:paraId="5572F83E" w14:textId="2CB31ADE" w:rsidR="000865E4" w:rsidRDefault="000865E4" w:rsidP="007D66D2">
      <w:pPr>
        <w:jc w:val="right"/>
      </w:pPr>
    </w:p>
    <w:p w14:paraId="6E1A87B8" w14:textId="2EBCEE31" w:rsidR="000865E4" w:rsidRDefault="000865E4" w:rsidP="007D66D2">
      <w:pPr>
        <w:jc w:val="right"/>
      </w:pPr>
    </w:p>
    <w:p w14:paraId="210A8B78" w14:textId="5270D590" w:rsidR="000865E4" w:rsidRDefault="000865E4" w:rsidP="007D66D2">
      <w:pPr>
        <w:jc w:val="right"/>
      </w:pPr>
    </w:p>
    <w:p w14:paraId="4DBDD4D8" w14:textId="77777777" w:rsidR="000865E4" w:rsidRDefault="000865E4" w:rsidP="007D66D2">
      <w:pPr>
        <w:jc w:val="right"/>
      </w:pPr>
    </w:p>
    <w:p w14:paraId="75DF6ED5" w14:textId="417592EF" w:rsidR="00E42970" w:rsidRPr="00E42970" w:rsidRDefault="00E42970" w:rsidP="00E42970"/>
    <w:p w14:paraId="05A70643" w14:textId="57ED7C46" w:rsidR="007F5C98" w:rsidRDefault="007F5C98" w:rsidP="006D637A">
      <w:pPr>
        <w:rPr>
          <w:rFonts w:eastAsia="Arial Unicode MS"/>
        </w:rPr>
      </w:pPr>
    </w:p>
    <w:p w14:paraId="4CC575C7" w14:textId="48167608" w:rsidR="00DE1834" w:rsidRDefault="00DE1834" w:rsidP="006D637A">
      <w:pPr>
        <w:rPr>
          <w:rFonts w:eastAsia="Arial Unicode MS"/>
        </w:rPr>
      </w:pPr>
    </w:p>
    <w:p w14:paraId="20BAE92D" w14:textId="77777777" w:rsidR="00DE1834" w:rsidRDefault="00DE1834" w:rsidP="006D637A">
      <w:pPr>
        <w:rPr>
          <w:rFonts w:eastAsia="Arial Unicode MS"/>
        </w:rPr>
      </w:pPr>
    </w:p>
    <w:p w14:paraId="3A7DB9C2" w14:textId="3257C768" w:rsidR="00332DD3" w:rsidRDefault="0093678C" w:rsidP="00C60C80">
      <w:r>
        <w:rPr>
          <w:noProof/>
          <w:lang w:eastAsia="pt-BR"/>
        </w:rPr>
        <mc:AlternateContent>
          <mc:Choice Requires="wps">
            <w:drawing>
              <wp:anchor distT="0" distB="0" distL="114300" distR="114300" simplePos="0" relativeHeight="251685888" behindDoc="0" locked="0" layoutInCell="1" allowOverlap="1" wp14:anchorId="113C0743" wp14:editId="49719615">
                <wp:simplePos x="0" y="0"/>
                <wp:positionH relativeFrom="margin">
                  <wp:align>left</wp:align>
                </wp:positionH>
                <wp:positionV relativeFrom="paragraph">
                  <wp:posOffset>7368540</wp:posOffset>
                </wp:positionV>
                <wp:extent cx="5454650" cy="311150"/>
                <wp:effectExtent l="0" t="0" r="0" b="0"/>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0" cy="311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E25F9B" id="Retângulo 10" o:spid="_x0000_s1026" style="position:absolute;margin-left:0;margin-top:580.2pt;width:429.5pt;height:24.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" fillcolor="white [3201]" strokecolor="white [3212]" strokeweight="1pt">
                <v:path arrowok="t"/>
                <w10:wrap anchorx="margin"/>
              </v:rect>
            </w:pict>
          </mc:Fallback>
        </mc:AlternateContent>
      </w:r>
      <w:r w:rsidR="00502409" w:rsidRPr="00502409">
        <w:rPr>
          <w:noProof/>
        </w:rPr>
        <w:t xml:space="preserve"> </w:t>
      </w:r>
    </w:p>
    <w:p w14:paraId="7DC854C6" w14:textId="77777777" w:rsidR="00290E01" w:rsidRDefault="00290E01" w:rsidP="00C60C80"/>
    <w:p w14:paraId="7DC854C7" w14:textId="6200D94A" w:rsidR="00290E01" w:rsidRDefault="00290E01" w:rsidP="00C60C80"/>
    <w:p w14:paraId="559CC62C" w14:textId="77777777" w:rsidR="008A4546" w:rsidRPr="008A4546" w:rsidRDefault="008A4546" w:rsidP="00C60C80">
      <w:pPr>
        <w:rPr>
          <w:color w:val="741053"/>
        </w:rPr>
      </w:pPr>
    </w:p>
    <w:p w14:paraId="7DC854C8" w14:textId="77777777" w:rsidR="00C60C80" w:rsidRPr="008A4546" w:rsidRDefault="00C60C80" w:rsidP="00C60C80">
      <w:pPr>
        <w:rPr>
          <w:color w:val="741053"/>
        </w:rPr>
      </w:pPr>
    </w:p>
    <w:p w14:paraId="7DC854C9" w14:textId="2696B93F" w:rsidR="00C60C80" w:rsidRPr="003B0CCD" w:rsidRDefault="00C60C80" w:rsidP="00963D5D">
      <w:pPr>
        <w:pStyle w:val="Ttulo4"/>
        <w:ind w:left="567"/>
        <w:jc w:val="center"/>
        <w:rPr>
          <w:rFonts w:eastAsia="Arial Unicode MS"/>
          <w:b w:val="0"/>
          <w:i/>
          <w:color w:val="612141"/>
        </w:rPr>
      </w:pPr>
      <w:bookmarkStart w:id="120" w:name="_ANEXO_XIII_–"/>
      <w:bookmarkEnd w:id="120"/>
      <w:r w:rsidRPr="003B0CCD">
        <w:rPr>
          <w:rFonts w:eastAsia="Arial Unicode MS"/>
          <w:color w:val="612141"/>
        </w:rPr>
        <w:t xml:space="preserve">ANEXO </w:t>
      </w:r>
      <w:r w:rsidR="00AB2077" w:rsidRPr="003B0CCD">
        <w:rPr>
          <w:rFonts w:eastAsia="Arial Unicode MS"/>
          <w:color w:val="612141"/>
        </w:rPr>
        <w:t>VIII</w:t>
      </w:r>
      <w:r w:rsidR="00085400" w:rsidRPr="003B0CCD">
        <w:rPr>
          <w:rFonts w:eastAsia="Arial Unicode MS"/>
          <w:color w:val="612141"/>
        </w:rPr>
        <w:t xml:space="preserve"> </w:t>
      </w:r>
      <w:r w:rsidRPr="003B0CCD">
        <w:rPr>
          <w:rFonts w:eastAsia="Arial Unicode MS"/>
          <w:color w:val="612141"/>
        </w:rPr>
        <w:t>– RESSARCIMENTO DE TA</w:t>
      </w:r>
      <w:r w:rsidR="008A7B05" w:rsidRPr="003B0CCD">
        <w:rPr>
          <w:rFonts w:eastAsia="Arial Unicode MS"/>
          <w:color w:val="612141"/>
        </w:rPr>
        <w:t>RIFAS</w:t>
      </w:r>
      <w:r w:rsidRPr="003B0CCD">
        <w:rPr>
          <w:rFonts w:eastAsia="Arial Unicode MS"/>
          <w:color w:val="612141"/>
        </w:rPr>
        <w:t xml:space="preserve"> BANCÁRIAS AOS CAU/UF</w:t>
      </w:r>
    </w:p>
    <w:p w14:paraId="7DC854CA" w14:textId="77777777" w:rsidR="00E43470" w:rsidRDefault="00E43470" w:rsidP="001C27A1">
      <w:pPr>
        <w:spacing w:line="360" w:lineRule="auto"/>
        <w:ind w:hanging="709"/>
        <w:jc w:val="both"/>
        <w:rPr>
          <w:noProof/>
          <w:lang w:eastAsia="pt-BR"/>
        </w:rPr>
      </w:pPr>
    </w:p>
    <w:p w14:paraId="7DC854CB" w14:textId="77777777" w:rsidR="006B012F" w:rsidRDefault="006B012F" w:rsidP="001C27A1">
      <w:pPr>
        <w:spacing w:line="360" w:lineRule="auto"/>
        <w:ind w:hanging="709"/>
        <w:jc w:val="both"/>
        <w:rPr>
          <w:noProof/>
          <w:lang w:eastAsia="pt-BR"/>
        </w:rPr>
      </w:pPr>
    </w:p>
    <w:p w14:paraId="7DC854CC" w14:textId="77777777" w:rsidR="006B012F" w:rsidRDefault="006B012F" w:rsidP="001C27A1">
      <w:pPr>
        <w:spacing w:line="360" w:lineRule="auto"/>
        <w:ind w:hanging="709"/>
        <w:jc w:val="both"/>
        <w:rPr>
          <w:noProof/>
          <w:lang w:eastAsia="pt-BR"/>
        </w:rPr>
      </w:pPr>
    </w:p>
    <w:p w14:paraId="7DC854CD" w14:textId="647DD6E4" w:rsidR="006B012F" w:rsidRDefault="006B012F" w:rsidP="001C27A1">
      <w:pPr>
        <w:spacing w:line="360" w:lineRule="auto"/>
        <w:ind w:hanging="709"/>
        <w:jc w:val="both"/>
        <w:rPr>
          <w:noProof/>
          <w:lang w:eastAsia="pt-BR"/>
        </w:rPr>
      </w:pPr>
    </w:p>
    <w:p w14:paraId="7DC854CE" w14:textId="77777777" w:rsidR="00C60C80" w:rsidRDefault="00C60C80">
      <w:pPr>
        <w:rPr>
          <w:noProof/>
          <w:lang w:eastAsia="pt-BR"/>
        </w:rPr>
      </w:pPr>
      <w:r>
        <w:rPr>
          <w:noProof/>
          <w:lang w:eastAsia="pt-BR"/>
        </w:rPr>
        <w:br w:type="page"/>
      </w:r>
    </w:p>
    <w:p w14:paraId="7DC854CF" w14:textId="1F78FD6B" w:rsidR="00C60C80" w:rsidRDefault="00C60C80" w:rsidP="00593DE7">
      <w:pPr>
        <w:pStyle w:val="Ttulo5"/>
        <w:ind w:left="426"/>
        <w:jc w:val="center"/>
        <w:rPr>
          <w:rFonts w:eastAsia="Arial Unicode MS"/>
          <w:color w:val="auto"/>
        </w:rPr>
      </w:pPr>
      <w:bookmarkStart w:id="121" w:name="_Toc83716323"/>
      <w:r w:rsidRPr="009E6415">
        <w:rPr>
          <w:rFonts w:eastAsia="Arial Unicode MS"/>
          <w:color w:val="auto"/>
        </w:rPr>
        <w:t xml:space="preserve">ANEXO </w:t>
      </w:r>
      <w:r w:rsidR="00736C34" w:rsidRPr="009E6415">
        <w:rPr>
          <w:rFonts w:eastAsia="Arial Unicode MS"/>
          <w:color w:val="auto"/>
        </w:rPr>
        <w:t>VIII</w:t>
      </w:r>
      <w:r w:rsidRPr="009E6415">
        <w:rPr>
          <w:rFonts w:eastAsia="Arial Unicode MS"/>
          <w:color w:val="auto"/>
        </w:rPr>
        <w:t xml:space="preserve"> – RESSARCIMENTO DE T</w:t>
      </w:r>
      <w:r w:rsidR="008A7B05" w:rsidRPr="009E6415">
        <w:rPr>
          <w:rFonts w:eastAsia="Arial Unicode MS"/>
          <w:color w:val="auto"/>
        </w:rPr>
        <w:t>ARIFAS</w:t>
      </w:r>
      <w:r w:rsidRPr="009E6415">
        <w:rPr>
          <w:rFonts w:eastAsia="Arial Unicode MS"/>
          <w:color w:val="auto"/>
        </w:rPr>
        <w:t xml:space="preserve"> BANCÁRIAS AOS CAU/UF</w:t>
      </w:r>
      <w:bookmarkEnd w:id="121"/>
    </w:p>
    <w:p w14:paraId="193D4092" w14:textId="77777777" w:rsidR="00593DE7" w:rsidRPr="00593DE7" w:rsidRDefault="00593DE7" w:rsidP="00593DE7"/>
    <w:p w14:paraId="7DC854D2" w14:textId="4FDE6559" w:rsidR="00C60C80" w:rsidRDefault="006B6C2C" w:rsidP="00A5059C">
      <w:pPr>
        <w:ind w:firstLine="284"/>
        <w:jc w:val="center"/>
        <w:rPr>
          <w:noProof/>
          <w:lang w:eastAsia="pt-BR"/>
        </w:rPr>
      </w:pPr>
      <w:r w:rsidRPr="006B6C2C">
        <w:rPr>
          <w:noProof/>
          <w:lang w:eastAsia="pt-BR"/>
        </w:rPr>
        <w:drawing>
          <wp:inline distT="0" distB="0" distL="0" distR="0" wp14:anchorId="21E2EE96" wp14:editId="0547A3A2">
            <wp:extent cx="4932654" cy="6419922"/>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7341" cy="6465068"/>
                    </a:xfrm>
                    <a:prstGeom prst="rect">
                      <a:avLst/>
                    </a:prstGeom>
                  </pic:spPr>
                </pic:pic>
              </a:graphicData>
            </a:graphic>
          </wp:inline>
        </w:drawing>
      </w:r>
      <w:r w:rsidR="00137785" w:rsidRPr="00137785">
        <w:t xml:space="preserve"> </w:t>
      </w:r>
      <w:r w:rsidR="00C60C80">
        <w:rPr>
          <w:noProof/>
          <w:lang w:eastAsia="pt-BR"/>
        </w:rPr>
        <w:br w:type="page"/>
      </w:r>
    </w:p>
    <w:p w14:paraId="7DC854D3" w14:textId="77777777" w:rsidR="00E43470" w:rsidRDefault="00E43470" w:rsidP="001C27A1">
      <w:pPr>
        <w:spacing w:line="360" w:lineRule="auto"/>
        <w:ind w:hanging="709"/>
        <w:jc w:val="both"/>
        <w:rPr>
          <w:noProof/>
          <w:lang w:eastAsia="pt-BR"/>
        </w:rPr>
      </w:pPr>
    </w:p>
    <w:p w14:paraId="7DC854D4" w14:textId="77777777" w:rsidR="00C60C80" w:rsidRDefault="00C60C80" w:rsidP="001C27A1">
      <w:pPr>
        <w:spacing w:line="360" w:lineRule="auto"/>
        <w:ind w:hanging="709"/>
        <w:jc w:val="both"/>
        <w:rPr>
          <w:noProof/>
          <w:lang w:eastAsia="pt-BR"/>
        </w:rPr>
      </w:pPr>
    </w:p>
    <w:p w14:paraId="7DC854D5" w14:textId="77777777" w:rsidR="00C60C80" w:rsidRDefault="00C60C80" w:rsidP="001C27A1">
      <w:pPr>
        <w:spacing w:line="360" w:lineRule="auto"/>
        <w:ind w:hanging="709"/>
        <w:jc w:val="both"/>
        <w:rPr>
          <w:noProof/>
          <w:lang w:eastAsia="pt-BR"/>
        </w:rPr>
      </w:pPr>
    </w:p>
    <w:p w14:paraId="7DC854D6" w14:textId="18E0A661" w:rsidR="00C60C80" w:rsidRDefault="00C60C80" w:rsidP="001C27A1">
      <w:pPr>
        <w:spacing w:line="360" w:lineRule="auto"/>
        <w:ind w:hanging="709"/>
        <w:jc w:val="both"/>
        <w:rPr>
          <w:noProof/>
          <w:lang w:eastAsia="pt-BR"/>
        </w:rPr>
      </w:pPr>
    </w:p>
    <w:p w14:paraId="7D5B9114" w14:textId="61BD2FA8" w:rsidR="008E1876" w:rsidRDefault="008E1876" w:rsidP="001C27A1">
      <w:pPr>
        <w:spacing w:line="360" w:lineRule="auto"/>
        <w:ind w:hanging="709"/>
        <w:jc w:val="both"/>
        <w:rPr>
          <w:noProof/>
          <w:lang w:eastAsia="pt-BR"/>
        </w:rPr>
      </w:pPr>
    </w:p>
    <w:p w14:paraId="31DA37EB" w14:textId="77777777" w:rsidR="00085400" w:rsidRDefault="00085400" w:rsidP="001C27A1">
      <w:pPr>
        <w:spacing w:line="360" w:lineRule="auto"/>
        <w:ind w:hanging="709"/>
        <w:jc w:val="both"/>
        <w:rPr>
          <w:noProof/>
          <w:lang w:eastAsia="pt-BR"/>
        </w:rPr>
      </w:pPr>
    </w:p>
    <w:p w14:paraId="0707BA58" w14:textId="4E846A48" w:rsidR="008E1876" w:rsidRDefault="008E1876" w:rsidP="001C27A1">
      <w:pPr>
        <w:spacing w:line="360" w:lineRule="auto"/>
        <w:ind w:hanging="709"/>
        <w:jc w:val="both"/>
        <w:rPr>
          <w:noProof/>
          <w:lang w:eastAsia="pt-BR"/>
        </w:rPr>
      </w:pPr>
    </w:p>
    <w:p w14:paraId="7DC854D7" w14:textId="77777777" w:rsidR="00C60C80" w:rsidRDefault="00C60C80" w:rsidP="001C27A1">
      <w:pPr>
        <w:spacing w:line="360" w:lineRule="auto"/>
        <w:ind w:hanging="709"/>
        <w:jc w:val="both"/>
        <w:rPr>
          <w:noProof/>
          <w:lang w:eastAsia="pt-BR"/>
        </w:rPr>
      </w:pPr>
    </w:p>
    <w:p w14:paraId="7DC854D8" w14:textId="77777777" w:rsidR="00C60C80" w:rsidRDefault="00C60C80" w:rsidP="001C27A1">
      <w:pPr>
        <w:spacing w:line="360" w:lineRule="auto"/>
        <w:ind w:hanging="709"/>
        <w:jc w:val="both"/>
        <w:rPr>
          <w:noProof/>
          <w:lang w:eastAsia="pt-BR"/>
        </w:rPr>
      </w:pPr>
    </w:p>
    <w:p w14:paraId="7DC854D9" w14:textId="77777777" w:rsidR="00C60C80" w:rsidRDefault="00C60C80" w:rsidP="001C27A1">
      <w:pPr>
        <w:spacing w:line="360" w:lineRule="auto"/>
        <w:ind w:hanging="709"/>
        <w:jc w:val="both"/>
        <w:rPr>
          <w:noProof/>
          <w:lang w:eastAsia="pt-BR"/>
        </w:rPr>
      </w:pPr>
    </w:p>
    <w:p w14:paraId="7DC854FA" w14:textId="54B9D7A9" w:rsidR="00EA4292" w:rsidRPr="003B0CCD" w:rsidRDefault="005E2826" w:rsidP="007C5B32">
      <w:pPr>
        <w:pStyle w:val="Ttulo4"/>
        <w:ind w:left="567"/>
        <w:jc w:val="center"/>
        <w:rPr>
          <w:rFonts w:eastAsia="Arial Unicode MS" w:cs="Calibri"/>
          <w:b w:val="0"/>
          <w:color w:val="612141"/>
          <w:sz w:val="20"/>
          <w:szCs w:val="20"/>
        </w:rPr>
        <w:sectPr w:rsidR="00EA4292" w:rsidRPr="003B0CCD" w:rsidSect="005C67E0">
          <w:pgSz w:w="11906" w:h="16838"/>
          <w:pgMar w:top="1134" w:right="1134" w:bottom="1134" w:left="1134" w:header="709" w:footer="153" w:gutter="0"/>
          <w:cols w:space="708"/>
          <w:docGrid w:linePitch="360"/>
        </w:sectPr>
      </w:pPr>
      <w:bookmarkStart w:id="122" w:name="_Toc424658706"/>
      <w:bookmarkStart w:id="123" w:name="_Toc487547265"/>
      <w:bookmarkStart w:id="124" w:name="_Hlk51509638"/>
      <w:r w:rsidRPr="003B0CCD">
        <w:rPr>
          <w:rFonts w:eastAsia="Arial Unicode MS"/>
          <w:color w:val="612141"/>
        </w:rPr>
        <w:t xml:space="preserve">ANEXO </w:t>
      </w:r>
      <w:r w:rsidR="00736C34" w:rsidRPr="003B0CCD">
        <w:rPr>
          <w:rFonts w:eastAsia="Arial Unicode MS"/>
          <w:color w:val="612141"/>
        </w:rPr>
        <w:t>I</w:t>
      </w:r>
      <w:r w:rsidRPr="003B0CCD">
        <w:rPr>
          <w:rFonts w:eastAsia="Arial Unicode MS"/>
          <w:color w:val="612141"/>
        </w:rPr>
        <w:t>X</w:t>
      </w:r>
      <w:r w:rsidR="00D80A3A" w:rsidRPr="003B0CCD">
        <w:rPr>
          <w:rFonts w:eastAsia="Arial Unicode MS"/>
          <w:color w:val="612141"/>
        </w:rPr>
        <w:t xml:space="preserve"> – Modelo</w:t>
      </w:r>
      <w:r w:rsidR="000838C9">
        <w:rPr>
          <w:rFonts w:eastAsia="Arial Unicode MS"/>
          <w:color w:val="612141"/>
        </w:rPr>
        <w:t>s</w:t>
      </w:r>
      <w:r w:rsidR="00D80A3A" w:rsidRPr="003B0CCD">
        <w:rPr>
          <w:rFonts w:eastAsia="Arial Unicode MS"/>
          <w:color w:val="612141"/>
        </w:rPr>
        <w:t xml:space="preserve"> para Elaboração da Programação do Plano de Ação e Orçamento – </w:t>
      </w:r>
      <w:bookmarkEnd w:id="122"/>
      <w:r w:rsidR="00C04400" w:rsidRPr="003B0CCD">
        <w:rPr>
          <w:rFonts w:eastAsia="Arial Unicode MS"/>
          <w:color w:val="612141"/>
        </w:rPr>
        <w:t>Exercício 20</w:t>
      </w:r>
      <w:bookmarkEnd w:id="123"/>
      <w:r w:rsidR="00C90F7C" w:rsidRPr="003B0CCD">
        <w:rPr>
          <w:rFonts w:eastAsia="Arial Unicode MS"/>
          <w:color w:val="612141"/>
        </w:rPr>
        <w:t>2</w:t>
      </w:r>
      <w:r w:rsidR="00502409">
        <w:rPr>
          <w:rFonts w:eastAsia="Arial Unicode MS"/>
          <w:color w:val="612141"/>
        </w:rPr>
        <w:t>4</w:t>
      </w:r>
    </w:p>
    <w:p w14:paraId="392C8AD3" w14:textId="48F8ACEC" w:rsidR="00DD25C3" w:rsidRPr="004E6586" w:rsidRDefault="00D45522" w:rsidP="00DD1508">
      <w:pPr>
        <w:pStyle w:val="Ttulo5"/>
        <w:jc w:val="center"/>
        <w:rPr>
          <w:color w:val="auto"/>
        </w:rPr>
      </w:pPr>
      <w:bookmarkStart w:id="125" w:name="_Toc83716324"/>
      <w:bookmarkEnd w:id="124"/>
      <w:r w:rsidRPr="008120D7">
        <w:rPr>
          <w:rFonts w:eastAsia="Arial Unicode MS"/>
          <w:color w:val="auto"/>
        </w:rPr>
        <w:t xml:space="preserve">ANEXO </w:t>
      </w:r>
      <w:r w:rsidR="00736C34" w:rsidRPr="008120D7">
        <w:rPr>
          <w:rFonts w:eastAsia="Arial Unicode MS"/>
          <w:color w:val="auto"/>
        </w:rPr>
        <w:t>I</w:t>
      </w:r>
      <w:r w:rsidRPr="008120D7">
        <w:rPr>
          <w:rFonts w:eastAsia="Arial Unicode MS"/>
          <w:color w:val="auto"/>
        </w:rPr>
        <w:t>X – Modelo</w:t>
      </w:r>
      <w:r w:rsidR="007261AC" w:rsidRPr="008120D7">
        <w:rPr>
          <w:rFonts w:eastAsia="Arial Unicode MS"/>
          <w:color w:val="auto"/>
        </w:rPr>
        <w:t>s</w:t>
      </w:r>
      <w:r w:rsidRPr="008120D7">
        <w:rPr>
          <w:rFonts w:eastAsia="Arial Unicode MS"/>
          <w:color w:val="auto"/>
        </w:rPr>
        <w:t xml:space="preserve"> para Elaboração da Programação do Plano de Ação e Orçamento</w:t>
      </w:r>
      <w:r w:rsidR="007261AC" w:rsidRPr="008120D7">
        <w:rPr>
          <w:rFonts w:eastAsia="Arial Unicode MS"/>
          <w:color w:val="auto"/>
        </w:rPr>
        <w:t xml:space="preserve"> </w:t>
      </w:r>
      <w:r w:rsidRPr="008120D7">
        <w:rPr>
          <w:rFonts w:eastAsia="Arial Unicode MS"/>
          <w:color w:val="auto"/>
        </w:rPr>
        <w:t>– Exercício 202</w:t>
      </w:r>
      <w:bookmarkEnd w:id="125"/>
      <w:r w:rsidR="00502409">
        <w:rPr>
          <w:rFonts w:eastAsia="Arial Unicode MS"/>
          <w:color w:val="auto"/>
        </w:rPr>
        <w:t>4</w:t>
      </w:r>
      <w:r w:rsidRPr="004E6586">
        <w:rPr>
          <w:rFonts w:eastAsia="Arial Unicode MS"/>
          <w:color w:val="auto"/>
        </w:rPr>
        <w:br/>
      </w:r>
    </w:p>
    <w:bookmarkStart w:id="126" w:name="_Hlk114403436"/>
    <w:p w14:paraId="33F14BC6" w14:textId="6F37F62F" w:rsidR="007261AC" w:rsidRPr="004E6586" w:rsidRDefault="000838C9" w:rsidP="00E94498">
      <w:pPr>
        <w:pStyle w:val="PargrafodaLista"/>
        <w:numPr>
          <w:ilvl w:val="0"/>
          <w:numId w:val="28"/>
        </w:numPr>
        <w:jc w:val="both"/>
        <w:rPr>
          <w:rStyle w:val="Hyperlink"/>
          <w:rFonts w:ascii="Segoe UI" w:eastAsia="Times New Roman" w:hAnsi="Segoe UI" w:cs="Segoe UI"/>
          <w:color w:val="auto"/>
          <w:sz w:val="21"/>
          <w:szCs w:val="21"/>
          <w:u w:val="none"/>
        </w:rPr>
      </w:pPr>
      <w:r>
        <w:fldChar w:fldCharType="begin"/>
      </w:r>
      <w:r w:rsidR="0075713F">
        <w:instrText>HYPERLINK "https://docs.google.com/spreadsheets/d/1o_HAXB3AJu-KQU1T-sYppI1wBlgFmw8P/edit?usp=drive_link&amp;ouid=100695150145811951682&amp;rtpof=true&amp;sd=true"</w:instrText>
      </w:r>
      <w:r>
        <w:fldChar w:fldCharType="separate"/>
      </w:r>
      <w:r w:rsidR="007261AC" w:rsidRPr="00860445">
        <w:rPr>
          <w:rStyle w:val="Hyperlink"/>
        </w:rPr>
        <w:t>Plano de trabalho para Projetos Específicos;</w:t>
      </w:r>
      <w:r>
        <w:rPr>
          <w:rStyle w:val="Hyperlink"/>
        </w:rPr>
        <w:fldChar w:fldCharType="end"/>
      </w:r>
    </w:p>
    <w:p w14:paraId="1588A5AC" w14:textId="12BCF78E" w:rsidR="003F1834" w:rsidRPr="003F1834" w:rsidRDefault="00DA0C5F" w:rsidP="00E94498">
      <w:pPr>
        <w:pStyle w:val="PargrafodaLista"/>
        <w:numPr>
          <w:ilvl w:val="0"/>
          <w:numId w:val="28"/>
        </w:numPr>
        <w:jc w:val="both"/>
        <w:rPr>
          <w:rFonts w:ascii="Segoe UI" w:eastAsia="Times New Roman" w:hAnsi="Segoe UI" w:cs="Segoe UI"/>
          <w:sz w:val="21"/>
          <w:szCs w:val="21"/>
        </w:rPr>
      </w:pPr>
      <w:hyperlink r:id="rId38" w:history="1">
        <w:r w:rsidR="00C018E7" w:rsidRPr="003F1834">
          <w:rPr>
            <w:rStyle w:val="Hyperlink"/>
          </w:rPr>
          <w:t xml:space="preserve">Modelo para Elaboração da Programação do Plano de Ação e Orçamento </w:t>
        </w:r>
        <w:r w:rsidR="001F4815" w:rsidRPr="003F1834">
          <w:rPr>
            <w:rStyle w:val="Hyperlink"/>
          </w:rPr>
          <w:t xml:space="preserve">CAU </w:t>
        </w:r>
        <w:r w:rsidR="00C018E7" w:rsidRPr="003F1834">
          <w:rPr>
            <w:rStyle w:val="Hyperlink"/>
          </w:rPr>
          <w:t>– Exercício 202</w:t>
        </w:r>
        <w:r w:rsidR="00502409">
          <w:rPr>
            <w:rStyle w:val="Hyperlink"/>
          </w:rPr>
          <w:t>4</w:t>
        </w:r>
        <w:r w:rsidR="007261AC" w:rsidRPr="003F1834">
          <w:rPr>
            <w:rStyle w:val="Hyperlink"/>
          </w:rPr>
          <w:t>;</w:t>
        </w:r>
        <w:bookmarkEnd w:id="126"/>
      </w:hyperlink>
    </w:p>
    <w:p w14:paraId="48C9F675" w14:textId="6397626D" w:rsidR="008B6C59" w:rsidRPr="00A2738F" w:rsidRDefault="00DA0C5F" w:rsidP="00E94498">
      <w:pPr>
        <w:pStyle w:val="PargrafodaLista"/>
        <w:numPr>
          <w:ilvl w:val="0"/>
          <w:numId w:val="28"/>
        </w:numPr>
        <w:jc w:val="both"/>
        <w:rPr>
          <w:rStyle w:val="Hyperlink"/>
          <w:rFonts w:ascii="Segoe UI" w:eastAsia="Times New Roman" w:hAnsi="Segoe UI" w:cs="Segoe UI"/>
          <w:color w:val="auto"/>
          <w:sz w:val="21"/>
          <w:szCs w:val="21"/>
          <w:u w:val="none"/>
        </w:rPr>
      </w:pPr>
      <w:hyperlink r:id="rId39" w:history="1">
        <w:r w:rsidR="008B6C59" w:rsidRPr="0075713F">
          <w:rPr>
            <w:rStyle w:val="Hyperlink"/>
          </w:rPr>
          <w:t xml:space="preserve">Anexo 4 </w:t>
        </w:r>
        <w:r w:rsidR="009E5D2A" w:rsidRPr="0075713F">
          <w:rPr>
            <w:rStyle w:val="Hyperlink"/>
          </w:rPr>
          <w:t>-</w:t>
        </w:r>
        <w:r w:rsidR="008B6C59" w:rsidRPr="0075713F">
          <w:rPr>
            <w:rStyle w:val="Hyperlink"/>
          </w:rPr>
          <w:t xml:space="preserve"> Quadro Descritivo de Ações e Metas do Plano de Ação – Programa</w:t>
        </w:r>
        <w:r w:rsidR="00A2738F" w:rsidRPr="0075713F">
          <w:rPr>
            <w:rStyle w:val="Hyperlink"/>
          </w:rPr>
          <w:t>ç</w:t>
        </w:r>
        <w:r w:rsidR="008B6C59" w:rsidRPr="0075713F">
          <w:rPr>
            <w:rStyle w:val="Hyperlink"/>
          </w:rPr>
          <w:t xml:space="preserve">ão </w:t>
        </w:r>
        <w:r w:rsidR="003F1834" w:rsidRPr="0075713F">
          <w:rPr>
            <w:rStyle w:val="Hyperlink"/>
          </w:rPr>
          <w:t>202</w:t>
        </w:r>
        <w:r w:rsidR="00502409" w:rsidRPr="0075713F">
          <w:rPr>
            <w:rStyle w:val="Hyperlink"/>
          </w:rPr>
          <w:t>4</w:t>
        </w:r>
        <w:r w:rsidR="003F1834" w:rsidRPr="0075713F">
          <w:rPr>
            <w:rStyle w:val="Hyperlink"/>
          </w:rPr>
          <w:t>.</w:t>
        </w:r>
      </w:hyperlink>
    </w:p>
    <w:p w14:paraId="4419138B" w14:textId="77777777" w:rsidR="008B6C59" w:rsidRPr="00A2738F" w:rsidRDefault="008B6C59" w:rsidP="00A2738F">
      <w:pPr>
        <w:spacing w:line="360" w:lineRule="auto"/>
        <w:jc w:val="both"/>
        <w:rPr>
          <w:rStyle w:val="Hyperlink"/>
          <w:rFonts w:eastAsia="Arial Unicode MS" w:cs="Calibri"/>
          <w:color w:val="auto"/>
          <w:sz w:val="24"/>
          <w:szCs w:val="24"/>
          <w:u w:val="none"/>
        </w:rPr>
      </w:pPr>
    </w:p>
    <w:p w14:paraId="7DC85502" w14:textId="0700C884" w:rsidR="001604A2" w:rsidRPr="008B6C59" w:rsidRDefault="001604A2" w:rsidP="008B6C59">
      <w:pPr>
        <w:spacing w:line="360" w:lineRule="auto"/>
        <w:ind w:left="720"/>
        <w:jc w:val="both"/>
        <w:rPr>
          <w:rFonts w:eastAsia="Arial Unicode MS" w:cs="Calibri"/>
          <w:sz w:val="24"/>
          <w:szCs w:val="24"/>
        </w:rPr>
      </w:pPr>
      <w:r w:rsidRPr="008B6C59">
        <w:rPr>
          <w:rFonts w:eastAsia="Arial Unicode MS" w:cs="Calibri"/>
          <w:b/>
          <w:sz w:val="24"/>
          <w:szCs w:val="24"/>
        </w:rPr>
        <w:t>1.</w:t>
      </w:r>
      <w:r w:rsidRPr="008B6C59">
        <w:rPr>
          <w:rFonts w:eastAsia="Arial Unicode MS" w:cs="Calibri"/>
          <w:b/>
          <w:sz w:val="24"/>
          <w:szCs w:val="24"/>
        </w:rPr>
        <w:tab/>
        <w:t>DADOS TÉCNICOS</w:t>
      </w:r>
    </w:p>
    <w:p w14:paraId="7DC85503" w14:textId="06FD458B"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1.1</w:t>
      </w:r>
      <w:r w:rsidRPr="0037629D">
        <w:rPr>
          <w:rFonts w:eastAsia="Arial Unicode MS" w:cs="Calibri"/>
          <w:b/>
          <w:sz w:val="24"/>
          <w:szCs w:val="24"/>
        </w:rPr>
        <w:tab/>
        <w:t xml:space="preserve">Unidade </w:t>
      </w:r>
      <w:r w:rsidR="00A05B9A">
        <w:rPr>
          <w:rFonts w:eastAsia="Arial Unicode MS" w:cs="Calibri"/>
          <w:b/>
          <w:sz w:val="24"/>
          <w:szCs w:val="24"/>
        </w:rPr>
        <w:t>Responsável</w:t>
      </w:r>
      <w:r w:rsidRPr="0037629D">
        <w:rPr>
          <w:rFonts w:eastAsia="Arial Unicode MS" w:cs="Calibri"/>
          <w:sz w:val="24"/>
          <w:szCs w:val="24"/>
        </w:rPr>
        <w:t xml:space="preserve">: nome da Unidade Organizacional, na forma do organograma, </w:t>
      </w:r>
      <w:r w:rsidR="00DD1508">
        <w:rPr>
          <w:rFonts w:eastAsia="Arial Unicode MS" w:cs="Calibri"/>
          <w:sz w:val="24"/>
          <w:szCs w:val="24"/>
        </w:rPr>
        <w:t>C</w:t>
      </w:r>
      <w:r w:rsidR="00DD1508" w:rsidRPr="0037629D">
        <w:rPr>
          <w:rFonts w:eastAsia="Arial Unicode MS" w:cs="Calibri"/>
          <w:sz w:val="24"/>
          <w:szCs w:val="24"/>
        </w:rPr>
        <w:t>olegiado</w:t>
      </w:r>
      <w:r w:rsidR="00DD1508">
        <w:rPr>
          <w:rFonts w:eastAsia="Arial Unicode MS" w:cs="Calibri"/>
          <w:sz w:val="24"/>
          <w:szCs w:val="24"/>
        </w:rPr>
        <w:t xml:space="preserve"> </w:t>
      </w:r>
      <w:r w:rsidRPr="0037629D">
        <w:rPr>
          <w:rFonts w:eastAsia="Arial Unicode MS" w:cs="Calibri"/>
          <w:sz w:val="24"/>
          <w:szCs w:val="24"/>
        </w:rPr>
        <w:t>e o nome das Co</w:t>
      </w:r>
      <w:r w:rsidR="00534F47" w:rsidRPr="0037629D">
        <w:rPr>
          <w:rFonts w:eastAsia="Arial Unicode MS" w:cs="Calibri"/>
          <w:sz w:val="24"/>
          <w:szCs w:val="24"/>
        </w:rPr>
        <w:t>missões Permanentes e Especiais que serão responsáveis pelo projeto/atividade.</w:t>
      </w:r>
    </w:p>
    <w:p w14:paraId="4ED5D042" w14:textId="43C5EDC4" w:rsidR="00D4600C" w:rsidRPr="00D4600C" w:rsidRDefault="00906919" w:rsidP="00D4600C">
      <w:pPr>
        <w:pStyle w:val="PargrafodaLista"/>
        <w:numPr>
          <w:ilvl w:val="1"/>
          <w:numId w:val="11"/>
        </w:numPr>
        <w:spacing w:line="360" w:lineRule="auto"/>
        <w:jc w:val="both"/>
        <w:rPr>
          <w:rFonts w:eastAsia="Arial Unicode MS" w:cs="Calibri"/>
          <w:sz w:val="24"/>
          <w:szCs w:val="24"/>
        </w:rPr>
      </w:pPr>
      <w:r w:rsidRPr="00D4600C">
        <w:rPr>
          <w:rFonts w:eastAsia="Arial Unicode MS" w:cs="Calibri"/>
          <w:b/>
          <w:sz w:val="24"/>
          <w:szCs w:val="24"/>
        </w:rPr>
        <w:t>T</w:t>
      </w:r>
      <w:r w:rsidR="001604A2" w:rsidRPr="00D4600C">
        <w:rPr>
          <w:rFonts w:eastAsia="Arial Unicode MS" w:cs="Calibri"/>
          <w:b/>
          <w:sz w:val="24"/>
          <w:szCs w:val="24"/>
        </w:rPr>
        <w:t>ipo</w:t>
      </w:r>
      <w:r w:rsidR="001604A2" w:rsidRPr="00D4600C">
        <w:rPr>
          <w:rFonts w:eastAsia="Arial Unicode MS" w:cs="Calibri"/>
          <w:sz w:val="24"/>
          <w:szCs w:val="24"/>
        </w:rPr>
        <w:t xml:space="preserve"> (Projeto / Atividade</w:t>
      </w:r>
      <w:r w:rsidR="00406298" w:rsidRPr="00D4600C">
        <w:rPr>
          <w:rFonts w:eastAsia="Arial Unicode MS" w:cs="Calibri"/>
          <w:sz w:val="24"/>
          <w:szCs w:val="24"/>
        </w:rPr>
        <w:t>/ Projeto Específico</w:t>
      </w:r>
      <w:r w:rsidR="001604A2" w:rsidRPr="00D4600C">
        <w:rPr>
          <w:rFonts w:eastAsia="Arial Unicode MS" w:cs="Calibri"/>
          <w:sz w:val="24"/>
          <w:szCs w:val="24"/>
        </w:rPr>
        <w:t>):</w:t>
      </w:r>
    </w:p>
    <w:p w14:paraId="37BC0810" w14:textId="77777777" w:rsidR="00D4600C" w:rsidRPr="00D4600C" w:rsidRDefault="001604A2" w:rsidP="00E94498">
      <w:pPr>
        <w:pStyle w:val="PargrafodaLista"/>
        <w:numPr>
          <w:ilvl w:val="0"/>
          <w:numId w:val="31"/>
        </w:numPr>
        <w:spacing w:line="360" w:lineRule="auto"/>
        <w:jc w:val="both"/>
        <w:rPr>
          <w:rFonts w:eastAsia="Arial Unicode MS" w:cs="Calibri"/>
          <w:sz w:val="24"/>
          <w:szCs w:val="24"/>
        </w:rPr>
      </w:pPr>
      <w:r w:rsidRPr="00D4600C">
        <w:rPr>
          <w:rFonts w:eastAsia="Arial Unicode MS" w:cs="Calibri"/>
          <w:b/>
          <w:sz w:val="24"/>
          <w:szCs w:val="24"/>
        </w:rPr>
        <w:t>Projeto</w:t>
      </w:r>
      <w:r w:rsidR="00906919" w:rsidRPr="00D4600C">
        <w:rPr>
          <w:rFonts w:eastAsia="Arial Unicode MS" w:cs="Calibri"/>
          <w:b/>
          <w:sz w:val="24"/>
          <w:szCs w:val="24"/>
        </w:rPr>
        <w:t xml:space="preserve"> (P)</w:t>
      </w:r>
      <w:r w:rsidRPr="00D4600C">
        <w:rPr>
          <w:rFonts w:eastAsia="Arial Unicode MS" w:cs="Calibri"/>
          <w:sz w:val="24"/>
          <w:szCs w:val="24"/>
        </w:rPr>
        <w:t>: nome do Projeto. O Projeto compreende um conjunto de ações inter-relacionadas, coordenadas e orientadas para o alcance de resultados, com prazo e recursos definidos.</w:t>
      </w:r>
    </w:p>
    <w:p w14:paraId="7217D657" w14:textId="0DDB204B" w:rsidR="00D4600C" w:rsidRPr="00D4600C" w:rsidRDefault="00406298" w:rsidP="00E94498">
      <w:pPr>
        <w:pStyle w:val="PargrafodaLista"/>
        <w:numPr>
          <w:ilvl w:val="0"/>
          <w:numId w:val="31"/>
        </w:numPr>
        <w:spacing w:line="360" w:lineRule="auto"/>
        <w:jc w:val="both"/>
        <w:rPr>
          <w:rFonts w:eastAsia="Arial Unicode MS" w:cs="Calibri"/>
          <w:sz w:val="24"/>
          <w:szCs w:val="24"/>
        </w:rPr>
      </w:pPr>
      <w:r w:rsidRPr="00855F9D">
        <w:rPr>
          <w:rFonts w:eastAsia="Arial Unicode MS" w:cs="Calibri"/>
          <w:b/>
          <w:sz w:val="24"/>
          <w:szCs w:val="24"/>
        </w:rPr>
        <w:t>Projeto Específico</w:t>
      </w:r>
      <w:r w:rsidR="00855F9D" w:rsidRPr="00855F9D">
        <w:rPr>
          <w:rFonts w:eastAsia="Arial Unicode MS" w:cs="Calibri"/>
          <w:b/>
          <w:sz w:val="24"/>
          <w:szCs w:val="24"/>
        </w:rPr>
        <w:t>/Estratégico</w:t>
      </w:r>
      <w:r w:rsidRPr="00D4600C">
        <w:rPr>
          <w:rFonts w:eastAsia="Arial Unicode MS" w:cs="Calibri"/>
          <w:b/>
          <w:sz w:val="24"/>
          <w:szCs w:val="24"/>
        </w:rPr>
        <w:t>(PE)</w:t>
      </w:r>
      <w:r w:rsidRPr="00D4600C">
        <w:rPr>
          <w:rFonts w:eastAsia="Arial Unicode MS" w:cs="Calibri"/>
          <w:sz w:val="24"/>
          <w:szCs w:val="24"/>
        </w:rPr>
        <w:t xml:space="preserve">: projeto </w:t>
      </w:r>
      <w:r w:rsidR="00582F0C" w:rsidRPr="00D4600C">
        <w:rPr>
          <w:rFonts w:eastAsia="Arial Unicode MS" w:cs="Calibri"/>
          <w:sz w:val="24"/>
          <w:szCs w:val="24"/>
        </w:rPr>
        <w:t>planejado para i</w:t>
      </w:r>
      <w:r w:rsidR="00582F0C" w:rsidRPr="00D4600C">
        <w:rPr>
          <w:rFonts w:ascii="Calibri" w:hAnsi="Calibri" w:cs="Calibri"/>
          <w:sz w:val="24"/>
          <w:szCs w:val="24"/>
        </w:rPr>
        <w:t xml:space="preserve">ncorporação dos recursos oriundos de </w:t>
      </w:r>
      <w:r w:rsidR="00582F0C" w:rsidRPr="00D4600C">
        <w:rPr>
          <w:rFonts w:ascii="Calibri" w:hAnsi="Calibri" w:cs="Calibri"/>
          <w:b/>
          <w:bCs/>
          <w:sz w:val="24"/>
          <w:szCs w:val="24"/>
        </w:rPr>
        <w:t>Saldos de Exercícios Anteriores</w:t>
      </w:r>
      <w:r w:rsidR="00582F0C" w:rsidRPr="00D4600C">
        <w:rPr>
          <w:rFonts w:ascii="Calibri" w:hAnsi="Calibri" w:cs="Calibri"/>
          <w:sz w:val="24"/>
          <w:szCs w:val="24"/>
        </w:rPr>
        <w:t>, de acordo com a deliberação plenária nº 84-03/2019</w:t>
      </w:r>
      <w:r w:rsidR="00582F0C" w:rsidRPr="00D4600C">
        <w:rPr>
          <w:rFonts w:eastAsia="Arial Unicode MS" w:cs="Calibri"/>
          <w:sz w:val="24"/>
          <w:szCs w:val="24"/>
        </w:rPr>
        <w:t>, que prevê “a</w:t>
      </w:r>
      <w:r w:rsidRPr="00D4600C">
        <w:rPr>
          <w:rFonts w:eastAsia="Arial Unicode MS" w:cs="Calibri"/>
          <w:i/>
          <w:iCs/>
          <w:sz w:val="24"/>
          <w:szCs w:val="24"/>
        </w:rPr>
        <w:t>utorizar a utilização de superávit financeiro, apurado no balanço patrimonial do exercício imediatamente anterior, em despesas de capital e em projetos específicos com seus respectivos Planos de Trabalho e com duração não superior a um exercício, de caráter não continuado, em ações cuja realização seja suportada por despesas de natureza corrente</w:t>
      </w:r>
      <w:r w:rsidR="00582F0C" w:rsidRPr="00D4600C">
        <w:rPr>
          <w:rFonts w:eastAsia="Arial Unicode MS" w:cs="Calibri"/>
          <w:i/>
          <w:iCs/>
          <w:sz w:val="24"/>
          <w:szCs w:val="24"/>
        </w:rPr>
        <w:t>”.</w:t>
      </w:r>
    </w:p>
    <w:p w14:paraId="7DC85507" w14:textId="05B7AA95" w:rsidR="001604A2" w:rsidRPr="00D4600C" w:rsidRDefault="001604A2" w:rsidP="00E94498">
      <w:pPr>
        <w:pStyle w:val="PargrafodaLista"/>
        <w:numPr>
          <w:ilvl w:val="0"/>
          <w:numId w:val="31"/>
        </w:numPr>
        <w:spacing w:line="360" w:lineRule="auto"/>
        <w:jc w:val="both"/>
        <w:rPr>
          <w:rFonts w:eastAsia="Arial Unicode MS" w:cs="Calibri"/>
          <w:sz w:val="24"/>
          <w:szCs w:val="24"/>
        </w:rPr>
      </w:pPr>
      <w:r w:rsidRPr="00D4600C">
        <w:rPr>
          <w:rFonts w:eastAsia="Arial Unicode MS" w:cs="Calibri"/>
          <w:b/>
          <w:sz w:val="24"/>
          <w:szCs w:val="24"/>
        </w:rPr>
        <w:t>Atividade</w:t>
      </w:r>
      <w:r w:rsidR="00906919" w:rsidRPr="00D4600C">
        <w:rPr>
          <w:rFonts w:eastAsia="Arial Unicode MS" w:cs="Calibri"/>
          <w:b/>
          <w:sz w:val="24"/>
          <w:szCs w:val="24"/>
        </w:rPr>
        <w:t xml:space="preserve"> (A)</w:t>
      </w:r>
      <w:r w:rsidRPr="00D4600C">
        <w:rPr>
          <w:rFonts w:eastAsia="Arial Unicode MS" w:cs="Calibri"/>
          <w:sz w:val="24"/>
          <w:szCs w:val="24"/>
        </w:rPr>
        <w:t xml:space="preserve">: nome da Atividade. A Atividade compreende um conjunto de ações permanentes </w:t>
      </w:r>
      <w:r w:rsidR="00534F47" w:rsidRPr="00D4600C">
        <w:rPr>
          <w:rFonts w:eastAsia="Arial Unicode MS" w:cs="Calibri"/>
          <w:sz w:val="24"/>
          <w:szCs w:val="24"/>
        </w:rPr>
        <w:t xml:space="preserve">e rotineiras </w:t>
      </w:r>
      <w:r w:rsidRPr="00D4600C">
        <w:rPr>
          <w:rFonts w:eastAsia="Arial Unicode MS" w:cs="Calibri"/>
          <w:sz w:val="24"/>
          <w:szCs w:val="24"/>
        </w:rPr>
        <w:t>relacionadas à gestão do CAU/BR, que contribuem para a melhoria do desempenho da Entidade.</w:t>
      </w:r>
    </w:p>
    <w:p w14:paraId="7DC85508" w14:textId="2DD3F0A9" w:rsidR="00906919" w:rsidRPr="0037629D" w:rsidRDefault="00906919" w:rsidP="001604A2">
      <w:pPr>
        <w:spacing w:line="360" w:lineRule="auto"/>
        <w:ind w:firstLine="851"/>
        <w:jc w:val="both"/>
        <w:rPr>
          <w:rFonts w:eastAsia="Arial Unicode MS" w:cs="Calibri"/>
          <w:sz w:val="24"/>
          <w:szCs w:val="24"/>
        </w:rPr>
      </w:pPr>
      <w:r w:rsidRPr="0037629D">
        <w:rPr>
          <w:rFonts w:eastAsia="Arial Unicode MS" w:cs="Calibri"/>
          <w:b/>
          <w:sz w:val="24"/>
          <w:szCs w:val="24"/>
        </w:rPr>
        <w:t>1.3</w:t>
      </w:r>
      <w:r w:rsidRPr="0037629D">
        <w:rPr>
          <w:rFonts w:eastAsia="Arial Unicode MS" w:cs="Calibri"/>
          <w:b/>
          <w:sz w:val="24"/>
          <w:szCs w:val="24"/>
        </w:rPr>
        <w:tab/>
        <w:t>F</w:t>
      </w:r>
      <w:r w:rsidR="00291F1D">
        <w:rPr>
          <w:rFonts w:eastAsia="Arial Unicode MS" w:cs="Calibri"/>
          <w:b/>
          <w:sz w:val="24"/>
          <w:szCs w:val="24"/>
        </w:rPr>
        <w:t>A</w:t>
      </w:r>
      <w:r w:rsidRPr="0037629D">
        <w:rPr>
          <w:rFonts w:eastAsia="Arial Unicode MS" w:cs="Calibri"/>
          <w:b/>
          <w:sz w:val="24"/>
          <w:szCs w:val="24"/>
        </w:rPr>
        <w:t xml:space="preserve">: </w:t>
      </w:r>
      <w:r w:rsidRPr="0037629D">
        <w:rPr>
          <w:rFonts w:eastAsia="Arial Unicode MS" w:cs="Calibri"/>
          <w:sz w:val="24"/>
          <w:szCs w:val="24"/>
        </w:rPr>
        <w:t>fundo de apoio. Informar se o projeto ou atividade será financiada por recursos oriundos do fundo de apoio dos CAU/UF, apenas para os CAU/Básicos.</w:t>
      </w:r>
    </w:p>
    <w:p w14:paraId="7DC85509"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1.4</w:t>
      </w:r>
      <w:r w:rsidRPr="0037629D">
        <w:rPr>
          <w:rFonts w:eastAsia="Arial Unicode MS" w:cs="Calibri"/>
          <w:b/>
          <w:sz w:val="24"/>
          <w:szCs w:val="24"/>
        </w:rPr>
        <w:tab/>
      </w:r>
      <w:r w:rsidR="00906919" w:rsidRPr="0037629D">
        <w:rPr>
          <w:rFonts w:eastAsia="Arial Unicode MS" w:cs="Calibri"/>
          <w:b/>
          <w:sz w:val="24"/>
          <w:szCs w:val="24"/>
        </w:rPr>
        <w:t>Denominação:</w:t>
      </w:r>
      <w:r w:rsidRPr="0037629D">
        <w:rPr>
          <w:rFonts w:eastAsia="Arial Unicode MS" w:cs="Calibri"/>
          <w:sz w:val="24"/>
          <w:szCs w:val="24"/>
        </w:rPr>
        <w:t xml:space="preserve"> nome do Projeto ou Atividade.</w:t>
      </w:r>
    </w:p>
    <w:p w14:paraId="7DC8550A"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1.5</w:t>
      </w:r>
      <w:r w:rsidRPr="0037629D">
        <w:rPr>
          <w:rFonts w:eastAsia="Arial Unicode MS" w:cs="Calibri"/>
          <w:b/>
          <w:sz w:val="24"/>
          <w:szCs w:val="24"/>
        </w:rPr>
        <w:tab/>
        <w:t>Objetivo Geral</w:t>
      </w:r>
      <w:r w:rsidRPr="0037629D">
        <w:rPr>
          <w:rFonts w:eastAsia="Arial Unicode MS" w:cs="Calibri"/>
          <w:sz w:val="24"/>
          <w:szCs w:val="24"/>
        </w:rPr>
        <w:t xml:space="preserve"> (Projeto / Atividade): é a motivação geral e a síntese dos efeitos que se deseja produzir, no horizonte de tempo do projeto. Deve ser desafiador e </w:t>
      </w:r>
      <w:r w:rsidRPr="0037629D">
        <w:rPr>
          <w:rFonts w:eastAsia="Arial Unicode MS" w:cs="Calibri"/>
          <w:b/>
          <w:sz w:val="24"/>
          <w:szCs w:val="24"/>
        </w:rPr>
        <w:t>possuir uma ligação direta com as necessidades do público-alvo</w:t>
      </w:r>
      <w:r w:rsidRPr="0037629D">
        <w:rPr>
          <w:rFonts w:eastAsia="Arial Unicode MS" w:cs="Calibri"/>
          <w:sz w:val="24"/>
          <w:szCs w:val="24"/>
        </w:rPr>
        <w:t xml:space="preserve"> (interno e externo). Por isso, sua formulação está associada à transformação desejada, traduzida pelos resultados do projeto.</w:t>
      </w:r>
    </w:p>
    <w:p w14:paraId="7DC8550B"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As perguntas a serem respondidas com esta formulação são:</w:t>
      </w:r>
    </w:p>
    <w:p w14:paraId="7DC8550C"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t>O que se quer agregar com este projeto?</w:t>
      </w:r>
    </w:p>
    <w:p w14:paraId="7DC8550D"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t xml:space="preserve">Quais os ganhos a serem perseguidos? </w:t>
      </w:r>
    </w:p>
    <w:p w14:paraId="7DC8550E"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t>Quais as mudanças a serem alcançadas, na situação atual, ao final do projeto?</w:t>
      </w:r>
    </w:p>
    <w:p w14:paraId="7DC8550F"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 xml:space="preserve">Nas </w:t>
      </w:r>
      <w:r w:rsidRPr="0037629D">
        <w:rPr>
          <w:rFonts w:eastAsia="Arial Unicode MS" w:cs="Calibri"/>
          <w:b/>
          <w:sz w:val="24"/>
          <w:szCs w:val="24"/>
        </w:rPr>
        <w:t>Atividades</w:t>
      </w:r>
      <w:r w:rsidRPr="0037629D">
        <w:rPr>
          <w:rFonts w:eastAsia="Arial Unicode MS" w:cs="Calibri"/>
          <w:sz w:val="24"/>
          <w:szCs w:val="24"/>
        </w:rPr>
        <w:t xml:space="preserve">, o </w:t>
      </w:r>
      <w:r w:rsidRPr="0037629D">
        <w:rPr>
          <w:rFonts w:eastAsia="Arial Unicode MS" w:cs="Calibri"/>
          <w:b/>
          <w:sz w:val="24"/>
          <w:szCs w:val="24"/>
        </w:rPr>
        <w:t>Objetivo Geral</w:t>
      </w:r>
      <w:r w:rsidRPr="0037629D">
        <w:rPr>
          <w:rFonts w:eastAsia="Arial Unicode MS" w:cs="Calibri"/>
          <w:sz w:val="24"/>
          <w:szCs w:val="24"/>
        </w:rPr>
        <w:t xml:space="preserve"> deve descrever a finalidade da atividade, com concisão e precisão.</w:t>
      </w:r>
    </w:p>
    <w:p w14:paraId="7DC85511"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2.</w:t>
      </w:r>
      <w:r w:rsidRPr="0037629D">
        <w:rPr>
          <w:rFonts w:eastAsia="Arial Unicode MS" w:cs="Calibri"/>
          <w:b/>
          <w:sz w:val="24"/>
          <w:szCs w:val="24"/>
        </w:rPr>
        <w:tab/>
        <w:t>DADOS ESTRATÉGICOS</w:t>
      </w:r>
      <w:r w:rsidRPr="0037629D">
        <w:rPr>
          <w:rFonts w:eastAsia="Arial Unicode MS" w:cs="Calibri"/>
          <w:sz w:val="24"/>
          <w:szCs w:val="24"/>
        </w:rPr>
        <w:t xml:space="preserve"> </w:t>
      </w:r>
    </w:p>
    <w:p w14:paraId="7DC85512"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2.1 Objetivos Estratégicos</w:t>
      </w:r>
      <w:r w:rsidR="00B30C55" w:rsidRPr="0037629D">
        <w:rPr>
          <w:rFonts w:eastAsia="Arial Unicode MS" w:cs="Calibri"/>
          <w:sz w:val="24"/>
          <w:szCs w:val="24"/>
        </w:rPr>
        <w:t>: neste campo deve ser informado o objetivo estratégico</w:t>
      </w:r>
      <w:r w:rsidRPr="0037629D">
        <w:rPr>
          <w:rFonts w:eastAsia="Arial Unicode MS" w:cs="Calibri"/>
          <w:sz w:val="24"/>
          <w:szCs w:val="24"/>
        </w:rPr>
        <w:t xml:space="preserve"> ao qual o projeto ou atividade está </w:t>
      </w:r>
      <w:r w:rsidR="00B30C55" w:rsidRPr="0037629D">
        <w:rPr>
          <w:rFonts w:eastAsia="Arial Unicode MS" w:cs="Calibri"/>
          <w:sz w:val="24"/>
          <w:szCs w:val="24"/>
        </w:rPr>
        <w:t xml:space="preserve">diretamente </w:t>
      </w:r>
      <w:r w:rsidRPr="0037629D">
        <w:rPr>
          <w:rFonts w:eastAsia="Arial Unicode MS" w:cs="Calibri"/>
          <w:sz w:val="24"/>
          <w:szCs w:val="24"/>
        </w:rPr>
        <w:t>relacionado</w:t>
      </w:r>
      <w:r w:rsidR="00A87F96" w:rsidRPr="0037629D">
        <w:rPr>
          <w:rFonts w:eastAsia="Arial Unicode MS" w:cs="Calibri"/>
          <w:sz w:val="24"/>
          <w:szCs w:val="24"/>
        </w:rPr>
        <w:t xml:space="preserve"> (principal)</w:t>
      </w:r>
      <w:r w:rsidRPr="0037629D">
        <w:rPr>
          <w:rFonts w:eastAsia="Arial Unicode MS" w:cs="Calibri"/>
          <w:sz w:val="24"/>
          <w:szCs w:val="24"/>
        </w:rPr>
        <w:t>. Foram estabelecidos 1</w:t>
      </w:r>
      <w:r w:rsidR="003E0298" w:rsidRPr="0037629D">
        <w:rPr>
          <w:rFonts w:eastAsia="Arial Unicode MS" w:cs="Calibri"/>
          <w:sz w:val="24"/>
          <w:szCs w:val="24"/>
        </w:rPr>
        <w:t>4</w:t>
      </w:r>
      <w:r w:rsidRPr="0037629D">
        <w:rPr>
          <w:rFonts w:eastAsia="Arial Unicode MS" w:cs="Calibri"/>
          <w:sz w:val="24"/>
          <w:szCs w:val="24"/>
        </w:rPr>
        <w:t xml:space="preserve"> (</w:t>
      </w:r>
      <w:r w:rsidR="003E0298" w:rsidRPr="0037629D">
        <w:rPr>
          <w:rFonts w:eastAsia="Arial Unicode MS" w:cs="Calibri"/>
          <w:b/>
          <w:bCs/>
          <w:sz w:val="24"/>
          <w:szCs w:val="24"/>
        </w:rPr>
        <w:t>quatorze</w:t>
      </w:r>
      <w:r w:rsidRPr="0037629D">
        <w:rPr>
          <w:rFonts w:eastAsia="Arial Unicode MS" w:cs="Calibri"/>
          <w:sz w:val="24"/>
          <w:szCs w:val="24"/>
        </w:rPr>
        <w:t>) objetivos estratégicos:</w:t>
      </w:r>
    </w:p>
    <w:p w14:paraId="7DC85513" w14:textId="77777777" w:rsidR="00A87F96" w:rsidRPr="0037629D" w:rsidRDefault="00A87F96" w:rsidP="001604A2">
      <w:pPr>
        <w:spacing w:line="360" w:lineRule="auto"/>
        <w:ind w:firstLine="851"/>
        <w:jc w:val="both"/>
        <w:rPr>
          <w:rFonts w:eastAsia="Arial Unicode MS" w:cs="Calibri"/>
          <w:b/>
          <w:sz w:val="24"/>
          <w:szCs w:val="24"/>
        </w:rPr>
      </w:pPr>
      <w:r w:rsidRPr="0037629D">
        <w:rPr>
          <w:rFonts w:eastAsia="Arial Unicode MS" w:cs="Calibri"/>
          <w:b/>
          <w:sz w:val="24"/>
          <w:szCs w:val="24"/>
        </w:rPr>
        <w:t>Processos Internos (Excelência Organizacional)</w:t>
      </w:r>
    </w:p>
    <w:p w14:paraId="7DC85514"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Tornar a fiscalização um vetor de melhoria do exercício da Arquitetura e Urbanismo</w:t>
      </w:r>
    </w:p>
    <w:p w14:paraId="7DC85515"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Assegurar a eficácia no atendimento e no relacionamento com os arquitetos e urbanistas e a sociedade</w:t>
      </w:r>
    </w:p>
    <w:p w14:paraId="7DC85516"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Estimular o conhecimento, o uso de processos criativos e a difusão das melhores práticas em Arquitetura e Urbanismo</w:t>
      </w:r>
    </w:p>
    <w:p w14:paraId="7DC85517" w14:textId="77777777" w:rsidR="00A87F96" w:rsidRPr="0037629D" w:rsidRDefault="00A87F96" w:rsidP="00A87F96">
      <w:pPr>
        <w:spacing w:line="360" w:lineRule="auto"/>
        <w:ind w:firstLine="851"/>
        <w:jc w:val="both"/>
        <w:rPr>
          <w:rFonts w:eastAsia="Arial Unicode MS" w:cs="Calibri"/>
          <w:b/>
          <w:sz w:val="24"/>
          <w:szCs w:val="24"/>
        </w:rPr>
      </w:pPr>
      <w:r w:rsidRPr="0037629D">
        <w:rPr>
          <w:rFonts w:eastAsia="Arial Unicode MS" w:cs="Calibri"/>
          <w:b/>
          <w:sz w:val="24"/>
          <w:szCs w:val="24"/>
        </w:rPr>
        <w:t>Processos Internos (Relações Institucionais)</w:t>
      </w:r>
    </w:p>
    <w:p w14:paraId="7DC85518"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Influenciar as diretrizes do ensino de Arquitetura e Urbanismo e sua formação continuada</w:t>
      </w:r>
    </w:p>
    <w:p w14:paraId="7DC85519"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Garantir a participação dos arquitetos e urbanistas no planejamento territorial e na gestão urbana</w:t>
      </w:r>
    </w:p>
    <w:p w14:paraId="7DC8551A"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Estimular a produção da arquitetura e urbanismo como política de Estado</w:t>
      </w:r>
    </w:p>
    <w:p w14:paraId="7DC8551D" w14:textId="77777777" w:rsidR="00347FE9" w:rsidRPr="0037629D" w:rsidRDefault="00347FE9" w:rsidP="00347FE9">
      <w:pPr>
        <w:spacing w:line="360" w:lineRule="auto"/>
        <w:ind w:firstLine="851"/>
        <w:jc w:val="both"/>
        <w:rPr>
          <w:rFonts w:eastAsia="Arial Unicode MS" w:cs="Calibri"/>
          <w:b/>
          <w:sz w:val="24"/>
          <w:szCs w:val="24"/>
        </w:rPr>
      </w:pPr>
      <w:r w:rsidRPr="0037629D">
        <w:rPr>
          <w:rFonts w:eastAsia="Arial Unicode MS" w:cs="Calibri"/>
          <w:b/>
          <w:sz w:val="24"/>
          <w:szCs w:val="24"/>
        </w:rPr>
        <w:t>Processos Internos (Relação com a Sociedade)</w:t>
      </w:r>
    </w:p>
    <w:p w14:paraId="7DC8551E"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Assegurar a eficácia no relacionamento e comunicação com a sociedade</w:t>
      </w:r>
    </w:p>
    <w:p w14:paraId="7DC8551F"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Promover o exercício ético e qualificado da profissão</w:t>
      </w:r>
    </w:p>
    <w:p w14:paraId="7DC85520" w14:textId="46DD8FAB" w:rsidR="0077684C"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Fomentar o acesso da sociedade à Arquitetura e Urbanismo</w:t>
      </w:r>
    </w:p>
    <w:p w14:paraId="7DC85521" w14:textId="77777777" w:rsidR="002065D6" w:rsidRPr="0037629D" w:rsidRDefault="002065D6" w:rsidP="002065D6">
      <w:pPr>
        <w:spacing w:line="360" w:lineRule="auto"/>
        <w:ind w:firstLine="851"/>
        <w:jc w:val="both"/>
        <w:rPr>
          <w:rFonts w:eastAsia="Arial Unicode MS" w:cs="Calibri"/>
          <w:b/>
          <w:sz w:val="24"/>
          <w:szCs w:val="24"/>
        </w:rPr>
      </w:pPr>
      <w:r w:rsidRPr="0037629D">
        <w:rPr>
          <w:rFonts w:eastAsia="Arial Unicode MS" w:cs="Calibri"/>
          <w:b/>
          <w:sz w:val="24"/>
          <w:szCs w:val="24"/>
        </w:rPr>
        <w:t>Alavancadores</w:t>
      </w:r>
    </w:p>
    <w:p w14:paraId="7DC85522"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Assegurar a sustentabilidade financeira</w:t>
      </w:r>
    </w:p>
    <w:p w14:paraId="7DC85523"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Aprimorar e inovar os processos e as ações</w:t>
      </w:r>
    </w:p>
    <w:p w14:paraId="7DC85525" w14:textId="77777777" w:rsidR="00043A1A" w:rsidRPr="0037629D" w:rsidRDefault="00043A1A" w:rsidP="00043A1A">
      <w:pPr>
        <w:pStyle w:val="PargrafodaLista"/>
        <w:spacing w:line="360" w:lineRule="auto"/>
        <w:ind w:left="851"/>
        <w:jc w:val="both"/>
        <w:rPr>
          <w:rFonts w:eastAsia="Arial Unicode MS" w:cs="Calibri"/>
          <w:b/>
          <w:sz w:val="24"/>
          <w:szCs w:val="24"/>
        </w:rPr>
      </w:pPr>
      <w:r w:rsidRPr="0037629D">
        <w:rPr>
          <w:rFonts w:eastAsia="Arial Unicode MS" w:cs="Calibri"/>
          <w:b/>
          <w:sz w:val="24"/>
          <w:szCs w:val="24"/>
        </w:rPr>
        <w:t>Pessoas e Infraestrutura</w:t>
      </w:r>
    </w:p>
    <w:p w14:paraId="7DC85527" w14:textId="77777777" w:rsidR="002065D6" w:rsidRPr="0037629D" w:rsidRDefault="0077684C" w:rsidP="00C13006">
      <w:pPr>
        <w:pStyle w:val="PargrafodaLista"/>
        <w:numPr>
          <w:ilvl w:val="0"/>
          <w:numId w:val="8"/>
        </w:numPr>
        <w:spacing w:line="360" w:lineRule="auto"/>
        <w:ind w:left="1560" w:hanging="426"/>
        <w:jc w:val="both"/>
        <w:rPr>
          <w:rFonts w:eastAsia="Arial Unicode MS" w:cs="Calibri"/>
          <w:sz w:val="24"/>
          <w:szCs w:val="24"/>
        </w:rPr>
      </w:pPr>
      <w:r w:rsidRPr="0037629D">
        <w:rPr>
          <w:rFonts w:eastAsia="Arial Unicode MS" w:cs="Calibri"/>
          <w:sz w:val="24"/>
          <w:szCs w:val="24"/>
        </w:rPr>
        <w:t>Desenvolver competências de dirigentes e colaboradores</w:t>
      </w:r>
    </w:p>
    <w:p w14:paraId="7DC85528"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Construir cultura organizacional adequada à estratégia</w:t>
      </w:r>
    </w:p>
    <w:p w14:paraId="7DC85529" w14:textId="77777777" w:rsidR="001604A2"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Ter sistemas de informação e infraestrutura que viabilizem a gestão e o atendimento dos arquitetos e urbanistas e a sociedade</w:t>
      </w:r>
    </w:p>
    <w:p w14:paraId="7DC8552A" w14:textId="2CB8FBCB" w:rsidR="00534F47" w:rsidRPr="0037629D" w:rsidRDefault="00043A1A" w:rsidP="00534F47">
      <w:pPr>
        <w:spacing w:line="360" w:lineRule="auto"/>
        <w:ind w:firstLine="851"/>
        <w:jc w:val="both"/>
        <w:rPr>
          <w:rFonts w:eastAsia="Arial Unicode MS" w:cs="Calibri"/>
          <w:sz w:val="24"/>
          <w:szCs w:val="24"/>
        </w:rPr>
      </w:pPr>
      <w:r w:rsidRPr="00C13006">
        <w:rPr>
          <w:rFonts w:eastAsia="Arial Unicode MS" w:cs="Calibri"/>
          <w:b/>
          <w:bCs/>
          <w:sz w:val="24"/>
          <w:szCs w:val="24"/>
        </w:rPr>
        <w:t>2.2</w:t>
      </w:r>
      <w:r w:rsidRPr="0037629D">
        <w:rPr>
          <w:rFonts w:eastAsia="Arial Unicode MS" w:cs="Calibri"/>
          <w:sz w:val="24"/>
          <w:szCs w:val="24"/>
        </w:rPr>
        <w:t xml:space="preserve"> </w:t>
      </w:r>
      <w:r w:rsidRPr="00CD48F7">
        <w:rPr>
          <w:rFonts w:eastAsia="Arial Unicode MS" w:cs="Calibri"/>
          <w:b/>
          <w:bCs/>
          <w:sz w:val="24"/>
          <w:szCs w:val="24"/>
        </w:rPr>
        <w:t>Objetivos de Desenvolvimento Sustentável (Facultativo):</w:t>
      </w:r>
      <w:r w:rsidRPr="0037629D">
        <w:rPr>
          <w:rFonts w:eastAsia="Arial Unicode MS" w:cs="Calibri"/>
          <w:sz w:val="24"/>
          <w:szCs w:val="24"/>
        </w:rPr>
        <w:t xml:space="preserve"> </w:t>
      </w:r>
      <w:r w:rsidR="00534F47" w:rsidRPr="0037629D">
        <w:rPr>
          <w:rFonts w:eastAsia="Arial Unicode MS" w:cs="Calibri"/>
          <w:sz w:val="24"/>
          <w:szCs w:val="24"/>
        </w:rPr>
        <w:t>são uma agenda mundial adotada durante a Cúpula das Nações Unidas sobre o Desenvolvimento Sustentável, composta por 17 objetivos e 169 metas a serem atingidos até 2030.</w:t>
      </w:r>
      <w:r w:rsidR="00DF6AFB" w:rsidRPr="0037629D">
        <w:rPr>
          <w:rFonts w:eastAsia="Arial Unicode MS" w:cs="Calibri"/>
          <w:sz w:val="24"/>
          <w:szCs w:val="24"/>
        </w:rPr>
        <w:t xml:space="preserve"> </w:t>
      </w:r>
      <w:r w:rsidR="00534F47" w:rsidRPr="0037629D">
        <w:rPr>
          <w:rFonts w:eastAsia="Arial Unicode MS" w:cs="Calibri"/>
          <w:sz w:val="24"/>
          <w:szCs w:val="24"/>
        </w:rPr>
        <w:t>Ao firmar o compromisso de incluir os ODS à sua estratégia, o CAU abre caminho para melhorar sua atuação e atender aos anseios da sociedade por projetos e serviços alinhados aos princípios da sustentabilidade. Neste contexto, torna-se facultativo o enquadramento dos projetos e atividades nos ODS em 202</w:t>
      </w:r>
      <w:r w:rsidR="008120D7">
        <w:rPr>
          <w:rFonts w:eastAsia="Arial Unicode MS" w:cs="Calibri"/>
          <w:sz w:val="24"/>
          <w:szCs w:val="24"/>
        </w:rPr>
        <w:t>3</w:t>
      </w:r>
      <w:r w:rsidR="00534F47" w:rsidRPr="0037629D">
        <w:rPr>
          <w:rFonts w:eastAsia="Arial Unicode MS" w:cs="Calibri"/>
          <w:sz w:val="24"/>
          <w:szCs w:val="24"/>
        </w:rPr>
        <w:t>.</w:t>
      </w:r>
    </w:p>
    <w:p w14:paraId="7DC8552C" w14:textId="77777777" w:rsidR="001604A2" w:rsidRPr="0037629D" w:rsidRDefault="00534F47" w:rsidP="001604A2">
      <w:pPr>
        <w:spacing w:line="360" w:lineRule="auto"/>
        <w:ind w:firstLine="851"/>
        <w:jc w:val="both"/>
        <w:rPr>
          <w:rFonts w:eastAsia="Arial Unicode MS" w:cs="Calibri"/>
          <w:sz w:val="24"/>
          <w:szCs w:val="24"/>
        </w:rPr>
      </w:pPr>
      <w:r w:rsidRPr="0037629D">
        <w:rPr>
          <w:rFonts w:eastAsia="Arial Unicode MS" w:cs="Calibri"/>
          <w:b/>
          <w:sz w:val="24"/>
          <w:szCs w:val="24"/>
        </w:rPr>
        <w:t>2.3</w:t>
      </w:r>
      <w:r w:rsidR="001604A2" w:rsidRPr="0037629D">
        <w:rPr>
          <w:rFonts w:eastAsia="Arial Unicode MS" w:cs="Calibri"/>
          <w:b/>
          <w:sz w:val="24"/>
          <w:szCs w:val="24"/>
        </w:rPr>
        <w:t xml:space="preserve"> Resultados</w:t>
      </w:r>
      <w:r w:rsidR="001604A2" w:rsidRPr="0037629D">
        <w:rPr>
          <w:rFonts w:eastAsia="Arial Unicode MS" w:cs="Calibri"/>
          <w:sz w:val="24"/>
          <w:szCs w:val="24"/>
        </w:rPr>
        <w:t>: os resultados são os efeitos que devem ser produzidos com a execução do projeto</w:t>
      </w:r>
      <w:r w:rsidRPr="0037629D">
        <w:rPr>
          <w:rFonts w:eastAsia="Arial Unicode MS" w:cs="Calibri"/>
          <w:sz w:val="24"/>
          <w:szCs w:val="24"/>
        </w:rPr>
        <w:t>/atividade</w:t>
      </w:r>
      <w:r w:rsidR="001604A2" w:rsidRPr="0037629D">
        <w:rPr>
          <w:rFonts w:eastAsia="Arial Unicode MS" w:cs="Calibri"/>
          <w:sz w:val="24"/>
          <w:szCs w:val="24"/>
        </w:rPr>
        <w:t>, dentro do seu horizonte do tempo. Refletem o objetivo geral do projeto</w:t>
      </w:r>
      <w:r w:rsidRPr="0037629D">
        <w:rPr>
          <w:rFonts w:eastAsia="Arial Unicode MS" w:cs="Calibri"/>
          <w:sz w:val="24"/>
          <w:szCs w:val="24"/>
        </w:rPr>
        <w:t>/atividade</w:t>
      </w:r>
      <w:r w:rsidR="001604A2" w:rsidRPr="0037629D">
        <w:rPr>
          <w:rFonts w:eastAsia="Arial Unicode MS" w:cs="Calibri"/>
          <w:sz w:val="24"/>
          <w:szCs w:val="24"/>
        </w:rPr>
        <w:t xml:space="preserve"> e representam o seu desdobramento em metas mensuráveis.</w:t>
      </w:r>
    </w:p>
    <w:p w14:paraId="7DC8552D" w14:textId="77777777" w:rsidR="001604A2" w:rsidRPr="0037629D" w:rsidRDefault="001604A2" w:rsidP="001604A2">
      <w:pPr>
        <w:spacing w:line="360" w:lineRule="auto"/>
        <w:ind w:firstLine="851"/>
        <w:jc w:val="both"/>
        <w:rPr>
          <w:rFonts w:eastAsia="Arial Unicode MS" w:cs="Calibri"/>
          <w:b/>
          <w:sz w:val="24"/>
          <w:szCs w:val="24"/>
        </w:rPr>
      </w:pPr>
      <w:r w:rsidRPr="0037629D">
        <w:rPr>
          <w:rFonts w:eastAsia="Arial Unicode MS" w:cs="Calibri"/>
          <w:b/>
          <w:sz w:val="24"/>
          <w:szCs w:val="24"/>
        </w:rPr>
        <w:t xml:space="preserve">Resultado = Transformação </w:t>
      </w:r>
      <w:r w:rsidR="005B43FC" w:rsidRPr="0037629D">
        <w:rPr>
          <w:rFonts w:eastAsia="Arial Unicode MS" w:cs="Calibri"/>
          <w:b/>
          <w:sz w:val="24"/>
          <w:szCs w:val="24"/>
        </w:rPr>
        <w:t>+ Indicador + Meta + Prazo</w:t>
      </w:r>
      <w:r w:rsidRPr="0037629D">
        <w:rPr>
          <w:rFonts w:eastAsia="Arial Unicode MS" w:cs="Calibri"/>
          <w:b/>
          <w:sz w:val="24"/>
          <w:szCs w:val="24"/>
        </w:rPr>
        <w:t xml:space="preserve"> </w:t>
      </w:r>
    </w:p>
    <w:p w14:paraId="7DC8552E"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3.</w:t>
      </w:r>
      <w:r w:rsidRPr="0037629D">
        <w:rPr>
          <w:rFonts w:eastAsia="Arial Unicode MS" w:cs="Calibri"/>
          <w:b/>
          <w:sz w:val="24"/>
          <w:szCs w:val="24"/>
        </w:rPr>
        <w:tab/>
        <w:t xml:space="preserve"> DADOS ORÇAMENTÁRIOS</w:t>
      </w:r>
    </w:p>
    <w:p w14:paraId="7DC8552F" w14:textId="77777777" w:rsidR="001604A2" w:rsidRPr="0037629D" w:rsidRDefault="005B43FC" w:rsidP="00E56412">
      <w:pPr>
        <w:spacing w:line="360" w:lineRule="auto"/>
        <w:ind w:left="283" w:firstLine="568"/>
        <w:jc w:val="both"/>
        <w:rPr>
          <w:rFonts w:eastAsia="Arial Unicode MS" w:cs="Calibri"/>
          <w:sz w:val="24"/>
          <w:szCs w:val="24"/>
        </w:rPr>
      </w:pPr>
      <w:r w:rsidRPr="0037629D">
        <w:rPr>
          <w:rFonts w:eastAsia="Arial Unicode MS" w:cs="Calibri"/>
          <w:b/>
          <w:sz w:val="24"/>
          <w:szCs w:val="24"/>
        </w:rPr>
        <w:t>3.1</w:t>
      </w:r>
      <w:r w:rsidRPr="0037629D">
        <w:rPr>
          <w:rFonts w:eastAsia="Arial Unicode MS" w:cs="Calibri"/>
          <w:b/>
          <w:sz w:val="24"/>
          <w:szCs w:val="24"/>
        </w:rPr>
        <w:tab/>
        <w:t>Custos</w:t>
      </w:r>
      <w:r w:rsidR="001604A2" w:rsidRPr="0037629D">
        <w:rPr>
          <w:rFonts w:eastAsia="Arial Unicode MS" w:cs="Calibri"/>
          <w:b/>
          <w:sz w:val="24"/>
          <w:szCs w:val="24"/>
        </w:rPr>
        <w:t xml:space="preserve"> de Projeto</w:t>
      </w:r>
      <w:r w:rsidR="0077684C" w:rsidRPr="0037629D">
        <w:rPr>
          <w:rFonts w:eastAsia="Arial Unicode MS" w:cs="Calibri"/>
          <w:b/>
          <w:sz w:val="24"/>
          <w:szCs w:val="24"/>
        </w:rPr>
        <w:t xml:space="preserve"> </w:t>
      </w:r>
      <w:r w:rsidR="001604A2" w:rsidRPr="0037629D">
        <w:rPr>
          <w:rFonts w:eastAsia="Arial Unicode MS" w:cs="Calibri"/>
          <w:b/>
          <w:sz w:val="24"/>
          <w:szCs w:val="24"/>
        </w:rPr>
        <w:t>/ Atividade</w:t>
      </w:r>
      <w:r w:rsidR="001604A2" w:rsidRPr="0037629D">
        <w:rPr>
          <w:rFonts w:eastAsia="Arial Unicode MS" w:cs="Calibri"/>
          <w:sz w:val="24"/>
          <w:szCs w:val="24"/>
        </w:rPr>
        <w:t>: indicar o custo total do projeto/atividade</w:t>
      </w:r>
    </w:p>
    <w:p w14:paraId="7DC85531" w14:textId="77777777" w:rsidR="001604A2" w:rsidRPr="0037629D" w:rsidRDefault="00F7251C" w:rsidP="001604A2">
      <w:pPr>
        <w:spacing w:line="360" w:lineRule="auto"/>
        <w:ind w:firstLine="851"/>
        <w:jc w:val="both"/>
        <w:rPr>
          <w:rFonts w:eastAsia="Arial Unicode MS" w:cs="Calibri"/>
          <w:b/>
          <w:sz w:val="24"/>
          <w:szCs w:val="24"/>
        </w:rPr>
      </w:pPr>
      <w:r w:rsidRPr="0037629D">
        <w:rPr>
          <w:rFonts w:eastAsia="Arial Unicode MS" w:cs="Calibri"/>
          <w:b/>
          <w:sz w:val="24"/>
          <w:szCs w:val="24"/>
        </w:rPr>
        <w:t>4.</w:t>
      </w:r>
      <w:r w:rsidRPr="0037629D">
        <w:rPr>
          <w:rFonts w:eastAsia="Arial Unicode MS" w:cs="Calibri"/>
          <w:b/>
          <w:sz w:val="24"/>
          <w:szCs w:val="24"/>
        </w:rPr>
        <w:tab/>
        <w:t>PREENCHIMENTO DO PLANO DE AÇÃO</w:t>
      </w:r>
    </w:p>
    <w:p w14:paraId="7DC85532" w14:textId="2306F920" w:rsidR="000C3F54" w:rsidRPr="0037629D" w:rsidRDefault="000C3F54" w:rsidP="001604A2">
      <w:pPr>
        <w:spacing w:line="360" w:lineRule="auto"/>
        <w:ind w:firstLine="851"/>
        <w:jc w:val="both"/>
        <w:rPr>
          <w:rFonts w:eastAsia="Arial Unicode MS" w:cs="Calibri"/>
          <w:sz w:val="24"/>
          <w:szCs w:val="24"/>
        </w:rPr>
      </w:pPr>
      <w:r w:rsidRPr="0037629D">
        <w:rPr>
          <w:rFonts w:eastAsia="Arial Unicode MS" w:cs="Calibri"/>
          <w:b/>
          <w:sz w:val="24"/>
          <w:szCs w:val="24"/>
        </w:rPr>
        <w:t>I. Mapa Estratégico</w:t>
      </w:r>
      <w:r w:rsidR="00534F47" w:rsidRPr="0037629D">
        <w:rPr>
          <w:rFonts w:eastAsia="Arial Unicode MS" w:cs="Calibri"/>
          <w:b/>
          <w:sz w:val="24"/>
          <w:szCs w:val="24"/>
        </w:rPr>
        <w:t xml:space="preserve"> e ODS</w:t>
      </w:r>
      <w:r w:rsidRPr="0037629D">
        <w:rPr>
          <w:rFonts w:eastAsia="Arial Unicode MS" w:cs="Calibri"/>
          <w:b/>
          <w:sz w:val="24"/>
          <w:szCs w:val="24"/>
        </w:rPr>
        <w:t xml:space="preserve"> - </w:t>
      </w:r>
      <w:r w:rsidRPr="0037629D">
        <w:rPr>
          <w:rFonts w:eastAsia="Arial Unicode MS" w:cs="Calibri"/>
          <w:sz w:val="24"/>
          <w:szCs w:val="24"/>
        </w:rPr>
        <w:t>Selecionar os objetivos estratégicos prioritários em âmbito local trabalhados em 20</w:t>
      </w:r>
      <w:r w:rsidR="00534F47" w:rsidRPr="0037629D">
        <w:rPr>
          <w:rFonts w:eastAsia="Arial Unicode MS" w:cs="Calibri"/>
          <w:sz w:val="24"/>
          <w:szCs w:val="24"/>
        </w:rPr>
        <w:t>2</w:t>
      </w:r>
      <w:r w:rsidR="000062C3">
        <w:rPr>
          <w:rFonts w:eastAsia="Arial Unicode MS" w:cs="Calibri"/>
          <w:sz w:val="24"/>
          <w:szCs w:val="24"/>
        </w:rPr>
        <w:t>4</w:t>
      </w:r>
      <w:r w:rsidRPr="0037629D">
        <w:rPr>
          <w:rFonts w:eastAsia="Arial Unicode MS" w:cs="Calibri"/>
          <w:sz w:val="24"/>
          <w:szCs w:val="24"/>
        </w:rPr>
        <w:t>. Os objetivos estratégicos em âmbito nacional (</w:t>
      </w:r>
      <w:r w:rsidR="00534F47" w:rsidRPr="0037629D">
        <w:rPr>
          <w:rFonts w:eastAsia="Arial Unicode MS" w:cs="Calibri"/>
          <w:sz w:val="24"/>
          <w:szCs w:val="24"/>
        </w:rPr>
        <w:t xml:space="preserve">Fiscalização, </w:t>
      </w:r>
      <w:r w:rsidR="00534F47" w:rsidRPr="00855F9D">
        <w:rPr>
          <w:rFonts w:eastAsia="Arial Unicode MS" w:cs="Calibri"/>
          <w:sz w:val="24"/>
          <w:szCs w:val="24"/>
        </w:rPr>
        <w:t>Comunicação e</w:t>
      </w:r>
      <w:r w:rsidR="000F14DF" w:rsidRPr="00855F9D">
        <w:rPr>
          <w:rFonts w:eastAsia="Arial Unicode MS" w:cs="Calibri"/>
          <w:sz w:val="24"/>
          <w:szCs w:val="24"/>
        </w:rPr>
        <w:t xml:space="preserve"> Sistema de informação e infraestrutura</w:t>
      </w:r>
      <w:r w:rsidRPr="0037629D">
        <w:rPr>
          <w:rFonts w:eastAsia="Arial Unicode MS" w:cs="Calibri"/>
          <w:sz w:val="24"/>
          <w:szCs w:val="24"/>
        </w:rPr>
        <w:t>) devem ser obrigatoriamente trabalhados.</w:t>
      </w:r>
      <w:r w:rsidR="00534F47" w:rsidRPr="0037629D">
        <w:rPr>
          <w:rFonts w:eastAsia="Arial Unicode MS" w:cs="Calibri"/>
          <w:sz w:val="24"/>
          <w:szCs w:val="24"/>
        </w:rPr>
        <w:t xml:space="preserve"> </w:t>
      </w:r>
    </w:p>
    <w:p w14:paraId="7DC85533" w14:textId="77777777" w:rsidR="003E0B2F" w:rsidRPr="0037629D" w:rsidRDefault="003E0B2F" w:rsidP="001604A2">
      <w:pPr>
        <w:spacing w:line="360" w:lineRule="auto"/>
        <w:ind w:firstLine="851"/>
        <w:jc w:val="both"/>
        <w:rPr>
          <w:rFonts w:eastAsia="Arial Unicode MS" w:cs="Calibri"/>
          <w:sz w:val="24"/>
          <w:szCs w:val="24"/>
        </w:rPr>
      </w:pPr>
      <w:r w:rsidRPr="0037629D">
        <w:rPr>
          <w:rFonts w:eastAsia="Arial Unicode MS" w:cs="Calibri"/>
          <w:b/>
          <w:sz w:val="24"/>
          <w:szCs w:val="24"/>
        </w:rPr>
        <w:t>II. Indicadores</w:t>
      </w:r>
      <w:r w:rsidR="00534F47" w:rsidRPr="0037629D">
        <w:rPr>
          <w:rFonts w:eastAsia="Arial Unicode MS" w:cs="Calibri"/>
          <w:b/>
          <w:sz w:val="24"/>
          <w:szCs w:val="24"/>
        </w:rPr>
        <w:t xml:space="preserve"> e Metas</w:t>
      </w:r>
      <w:r w:rsidRPr="0037629D">
        <w:rPr>
          <w:rFonts w:eastAsia="Arial Unicode MS" w:cs="Calibri"/>
          <w:b/>
          <w:sz w:val="24"/>
          <w:szCs w:val="24"/>
        </w:rPr>
        <w:t xml:space="preserve"> </w:t>
      </w:r>
      <w:r w:rsidRPr="0037629D">
        <w:rPr>
          <w:rFonts w:eastAsia="Arial Unicode MS" w:cs="Calibri"/>
          <w:sz w:val="24"/>
          <w:szCs w:val="24"/>
        </w:rPr>
        <w:t>– definir as metas dos indicadores. Os Indicadores devem ser vinculados aos objetivos estratégicos priorizados no Mapa Estratégico do CAU/UF, ou seja, os indicadores dos objetivos estratégicos escolhidos no Mapa Estratégico devem ser priorizados.</w:t>
      </w:r>
    </w:p>
    <w:p w14:paraId="7DC85534" w14:textId="77777777" w:rsidR="003E0B2F" w:rsidRPr="0037629D" w:rsidRDefault="003E0B2F" w:rsidP="001604A2">
      <w:pPr>
        <w:spacing w:line="360" w:lineRule="auto"/>
        <w:ind w:firstLine="851"/>
        <w:jc w:val="both"/>
        <w:rPr>
          <w:rFonts w:eastAsia="Arial Unicode MS" w:cs="Calibri"/>
          <w:sz w:val="24"/>
          <w:szCs w:val="24"/>
        </w:rPr>
      </w:pPr>
      <w:r w:rsidRPr="0037629D">
        <w:rPr>
          <w:rFonts w:eastAsia="Arial Unicode MS" w:cs="Calibri"/>
          <w:b/>
          <w:sz w:val="24"/>
          <w:szCs w:val="24"/>
        </w:rPr>
        <w:t>IV. Quadro Geral</w:t>
      </w:r>
      <w:r w:rsidRPr="0037629D">
        <w:rPr>
          <w:rFonts w:eastAsia="Arial Unicode MS" w:cs="Calibri"/>
          <w:sz w:val="24"/>
          <w:szCs w:val="24"/>
        </w:rPr>
        <w:t xml:space="preserve"> – Demonstrar a proposta do plano de ação resumida. </w:t>
      </w:r>
    </w:p>
    <w:p w14:paraId="7DC85535" w14:textId="77777777" w:rsidR="003E0B2F" w:rsidRPr="0037629D" w:rsidRDefault="003E0B2F" w:rsidP="001604A2">
      <w:pPr>
        <w:spacing w:line="360" w:lineRule="auto"/>
        <w:ind w:firstLine="851"/>
        <w:jc w:val="both"/>
        <w:rPr>
          <w:rFonts w:eastAsia="Arial Unicode MS" w:cs="Calibri"/>
          <w:sz w:val="24"/>
          <w:szCs w:val="24"/>
        </w:rPr>
      </w:pPr>
      <w:r w:rsidRPr="0037629D">
        <w:rPr>
          <w:rFonts w:eastAsia="Arial Unicode MS" w:cs="Calibri"/>
          <w:b/>
          <w:sz w:val="24"/>
          <w:szCs w:val="24"/>
        </w:rPr>
        <w:t xml:space="preserve">V. Limites estratégicos </w:t>
      </w:r>
      <w:r w:rsidRPr="0037629D">
        <w:rPr>
          <w:rFonts w:eastAsia="Arial Unicode MS" w:cs="Calibri"/>
          <w:sz w:val="24"/>
          <w:szCs w:val="24"/>
        </w:rPr>
        <w:t xml:space="preserve">– Demonstrar os limites de Aplicação dos Recursos Estratégicos definidos no Plano de ação. </w:t>
      </w:r>
    </w:p>
    <w:p w14:paraId="7DC85536" w14:textId="751695C6" w:rsidR="003E0B2F" w:rsidRPr="0037629D" w:rsidRDefault="003E0B2F" w:rsidP="001604A2">
      <w:pPr>
        <w:spacing w:line="360" w:lineRule="auto"/>
        <w:ind w:firstLine="851"/>
        <w:jc w:val="both"/>
        <w:rPr>
          <w:rFonts w:eastAsia="Arial Unicode MS" w:cs="Calibri"/>
          <w:sz w:val="24"/>
          <w:szCs w:val="24"/>
        </w:rPr>
      </w:pPr>
      <w:r w:rsidRPr="0037629D">
        <w:rPr>
          <w:rFonts w:eastAsia="Arial Unicode MS" w:cs="Calibri"/>
          <w:b/>
          <w:sz w:val="24"/>
          <w:szCs w:val="24"/>
        </w:rPr>
        <w:t>VI. Usos e Fontes</w:t>
      </w:r>
      <w:r w:rsidRPr="0037629D">
        <w:rPr>
          <w:rFonts w:eastAsia="Arial Unicode MS" w:cs="Calibri"/>
          <w:sz w:val="24"/>
          <w:szCs w:val="24"/>
        </w:rPr>
        <w:t xml:space="preserve">– demonstrar os valores das fontes e os usos dos recursos. Para as receitas de Arrecadação </w:t>
      </w:r>
      <w:r w:rsidR="00A745D2">
        <w:rPr>
          <w:rFonts w:eastAsia="Arial Unicode MS" w:cs="Calibri"/>
          <w:sz w:val="24"/>
          <w:szCs w:val="24"/>
        </w:rPr>
        <w:t>–</w:t>
      </w:r>
      <w:r w:rsidRPr="0037629D">
        <w:rPr>
          <w:rFonts w:eastAsia="Arial Unicode MS" w:cs="Calibri"/>
          <w:sz w:val="24"/>
          <w:szCs w:val="24"/>
        </w:rPr>
        <w:t xml:space="preserve"> anuidades</w:t>
      </w:r>
      <w:r w:rsidR="00A745D2" w:rsidRPr="00A745D2">
        <w:rPr>
          <w:rFonts w:eastAsia="Arial Unicode MS" w:cs="Calibri"/>
          <w:sz w:val="24"/>
          <w:szCs w:val="24"/>
          <w:shd w:val="clear" w:color="auto" w:fill="FFFFFF" w:themeFill="background1"/>
        </w:rPr>
        <w:t xml:space="preserve"> </w:t>
      </w:r>
      <w:r w:rsidR="00A745D2">
        <w:rPr>
          <w:rFonts w:eastAsia="Arial Unicode MS" w:cs="Calibri"/>
          <w:sz w:val="24"/>
          <w:szCs w:val="24"/>
          <w:shd w:val="clear" w:color="auto" w:fill="FFFFFF" w:themeFill="background1"/>
        </w:rPr>
        <w:t>do exercício e exercícios anteriores</w:t>
      </w:r>
      <w:r w:rsidRPr="0037629D">
        <w:rPr>
          <w:rFonts w:eastAsia="Arial Unicode MS" w:cs="Calibri"/>
          <w:sz w:val="24"/>
          <w:szCs w:val="24"/>
        </w:rPr>
        <w:t>, RRT, taxas e multas, devem ser considerados os valores constantes das Diretrizes.</w:t>
      </w:r>
    </w:p>
    <w:p w14:paraId="7DC85537" w14:textId="77777777" w:rsidR="003E0B2F" w:rsidRPr="0037629D" w:rsidRDefault="003E0B2F" w:rsidP="003E0B2F">
      <w:pPr>
        <w:spacing w:line="360" w:lineRule="auto"/>
        <w:ind w:firstLine="851"/>
        <w:jc w:val="both"/>
        <w:rPr>
          <w:rFonts w:eastAsia="Arial Unicode MS" w:cs="Calibri"/>
          <w:b/>
          <w:sz w:val="24"/>
          <w:szCs w:val="24"/>
        </w:rPr>
      </w:pPr>
      <w:r w:rsidRPr="0037629D">
        <w:rPr>
          <w:rFonts w:eastAsia="Arial Unicode MS" w:cs="Calibri"/>
          <w:b/>
          <w:sz w:val="24"/>
          <w:szCs w:val="24"/>
        </w:rPr>
        <w:t>VII. Plano de Desembolso por Elemento de Despesas.</w:t>
      </w:r>
    </w:p>
    <w:p w14:paraId="7DC85538" w14:textId="77777777" w:rsidR="003E0B2F" w:rsidRPr="0037629D" w:rsidRDefault="003E0B2F" w:rsidP="003E0B2F">
      <w:pPr>
        <w:spacing w:line="360" w:lineRule="auto"/>
        <w:ind w:firstLine="851"/>
        <w:jc w:val="both"/>
        <w:rPr>
          <w:rFonts w:eastAsia="Arial Unicode MS" w:cs="Calibri"/>
          <w:sz w:val="24"/>
          <w:szCs w:val="24"/>
        </w:rPr>
      </w:pPr>
      <w:r w:rsidRPr="0037629D">
        <w:rPr>
          <w:rFonts w:eastAsia="Arial Unicode MS" w:cs="Calibri"/>
          <w:sz w:val="24"/>
          <w:szCs w:val="24"/>
        </w:rPr>
        <w:t>Os itens de custo devem ser:</w:t>
      </w:r>
    </w:p>
    <w:p w14:paraId="7DC85539" w14:textId="77777777" w:rsidR="00DF6AFB" w:rsidRPr="0037629D" w:rsidRDefault="00DF6AFB">
      <w:pPr>
        <w:pStyle w:val="PargrafodaLista"/>
        <w:numPr>
          <w:ilvl w:val="0"/>
          <w:numId w:val="16"/>
        </w:numPr>
        <w:spacing w:after="0" w:line="360" w:lineRule="auto"/>
        <w:jc w:val="both"/>
        <w:rPr>
          <w:rFonts w:eastAsia="Arial Unicode MS" w:cs="Calibri"/>
          <w:b/>
          <w:sz w:val="24"/>
          <w:szCs w:val="24"/>
        </w:rPr>
      </w:pPr>
      <w:r w:rsidRPr="0037629D">
        <w:rPr>
          <w:rFonts w:eastAsia="Arial Unicode MS" w:cs="Calibri"/>
          <w:b/>
          <w:sz w:val="24"/>
          <w:szCs w:val="24"/>
        </w:rPr>
        <w:t xml:space="preserve">Pessoal (Salários, Encargos e Benefícios) </w:t>
      </w:r>
    </w:p>
    <w:p w14:paraId="7DC8553A" w14:textId="77777777" w:rsidR="00DF6AFB" w:rsidRPr="0037629D" w:rsidRDefault="00DF6AFB" w:rsidP="00DF6AFB">
      <w:pPr>
        <w:spacing w:line="360" w:lineRule="auto"/>
        <w:ind w:firstLine="1560"/>
        <w:jc w:val="both"/>
        <w:rPr>
          <w:rFonts w:eastAsia="Arial Unicode MS" w:cs="Calibri"/>
          <w:sz w:val="24"/>
          <w:szCs w:val="24"/>
        </w:rPr>
      </w:pPr>
      <w:r w:rsidRPr="0037629D">
        <w:rPr>
          <w:rFonts w:eastAsia="Arial Unicode MS" w:cs="Calibri"/>
          <w:b/>
          <w:sz w:val="24"/>
          <w:szCs w:val="24"/>
        </w:rPr>
        <w:t xml:space="preserve">a) Pessoal e Encargos: </w:t>
      </w:r>
      <w:r w:rsidRPr="0037629D">
        <w:rPr>
          <w:rFonts w:eastAsia="Arial Unicode MS" w:cs="Calibri"/>
          <w:sz w:val="24"/>
          <w:szCs w:val="24"/>
        </w:rPr>
        <w:t xml:space="preserve"> compreende salários; gratificações; 13º salário; férias; 1/3 férias, abono e horas extras; INSS; FGTS e PIS; vale transporte, auxílio alimentação, plano de saúde e outros benefícios.</w:t>
      </w:r>
    </w:p>
    <w:p w14:paraId="7DC8553B" w14:textId="77777777" w:rsidR="00DF6AFB" w:rsidRPr="0037629D" w:rsidRDefault="00DF6AFB" w:rsidP="00DF6AFB">
      <w:pPr>
        <w:spacing w:line="360" w:lineRule="auto"/>
        <w:ind w:firstLine="1560"/>
        <w:jc w:val="both"/>
        <w:rPr>
          <w:rFonts w:eastAsia="Arial Unicode MS" w:cs="Calibri"/>
          <w:sz w:val="24"/>
          <w:szCs w:val="24"/>
        </w:rPr>
      </w:pPr>
      <w:r w:rsidRPr="0037629D">
        <w:rPr>
          <w:rFonts w:eastAsia="Arial Unicode MS" w:cs="Calibri"/>
          <w:b/>
          <w:sz w:val="24"/>
          <w:szCs w:val="24"/>
        </w:rPr>
        <w:t>b) Diárias</w:t>
      </w:r>
      <w:r w:rsidRPr="0037629D">
        <w:rPr>
          <w:rFonts w:eastAsia="Arial Unicode MS" w:cs="Calibri"/>
          <w:sz w:val="24"/>
          <w:szCs w:val="24"/>
        </w:rPr>
        <w:t xml:space="preserve"> – compreende diárias de funcionários com vínculo empregatício com o Conselho.</w:t>
      </w:r>
    </w:p>
    <w:p w14:paraId="7DC8553C" w14:textId="77777777" w:rsidR="00DF6AFB" w:rsidRPr="0037629D" w:rsidRDefault="00DF6AFB">
      <w:pPr>
        <w:pStyle w:val="PargrafodaLista"/>
        <w:numPr>
          <w:ilvl w:val="0"/>
          <w:numId w:val="16"/>
        </w:numPr>
        <w:spacing w:line="360" w:lineRule="auto"/>
        <w:jc w:val="both"/>
        <w:rPr>
          <w:rFonts w:eastAsia="Arial Unicode MS" w:cs="Calibri"/>
          <w:b/>
          <w:sz w:val="24"/>
          <w:szCs w:val="24"/>
        </w:rPr>
      </w:pPr>
      <w:r w:rsidRPr="0037629D">
        <w:rPr>
          <w:rFonts w:eastAsia="Arial Unicode MS" w:cs="Calibri"/>
          <w:b/>
          <w:sz w:val="24"/>
          <w:szCs w:val="24"/>
        </w:rPr>
        <w:t>Material de Consumo</w:t>
      </w:r>
      <w:r w:rsidRPr="0037629D">
        <w:rPr>
          <w:rFonts w:eastAsia="Arial Unicode MS" w:cs="Calibri"/>
          <w:sz w:val="24"/>
          <w:szCs w:val="24"/>
        </w:rPr>
        <w:t xml:space="preserve"> – compreende material de expediente; informática; e outros materiais de consumo que não sejam classificados como material permanente. </w:t>
      </w:r>
    </w:p>
    <w:p w14:paraId="7DC8553E" w14:textId="77777777" w:rsidR="00DF6AFB" w:rsidRPr="0037629D" w:rsidRDefault="00DF6AFB">
      <w:pPr>
        <w:pStyle w:val="PargrafodaLista"/>
        <w:numPr>
          <w:ilvl w:val="0"/>
          <w:numId w:val="16"/>
        </w:numPr>
        <w:spacing w:line="360" w:lineRule="auto"/>
        <w:jc w:val="both"/>
        <w:rPr>
          <w:rFonts w:eastAsia="Arial Unicode MS" w:cs="Calibri"/>
          <w:b/>
          <w:sz w:val="24"/>
          <w:szCs w:val="24"/>
        </w:rPr>
      </w:pPr>
      <w:r w:rsidRPr="0037629D">
        <w:rPr>
          <w:rFonts w:eastAsia="Arial Unicode MS" w:cs="Calibri"/>
          <w:b/>
          <w:sz w:val="24"/>
          <w:szCs w:val="24"/>
        </w:rPr>
        <w:t xml:space="preserve">Serviços de Terceiros </w:t>
      </w:r>
    </w:p>
    <w:p w14:paraId="77F8F1DE" w14:textId="77777777" w:rsidR="00D26DE2" w:rsidRDefault="00DF6AFB">
      <w:pPr>
        <w:pStyle w:val="PargrafodaLista"/>
        <w:numPr>
          <w:ilvl w:val="0"/>
          <w:numId w:val="17"/>
        </w:numPr>
        <w:spacing w:line="360" w:lineRule="auto"/>
        <w:ind w:left="1843" w:hanging="283"/>
        <w:jc w:val="both"/>
        <w:rPr>
          <w:rFonts w:eastAsia="Arial Unicode MS" w:cs="Calibri"/>
          <w:bCs/>
          <w:sz w:val="24"/>
          <w:szCs w:val="24"/>
        </w:rPr>
      </w:pPr>
      <w:r w:rsidRPr="0074665B">
        <w:rPr>
          <w:rFonts w:eastAsia="Arial Unicode MS" w:cs="Calibri"/>
          <w:b/>
          <w:sz w:val="24"/>
          <w:szCs w:val="24"/>
        </w:rPr>
        <w:t xml:space="preserve">Diárias </w:t>
      </w:r>
      <w:r w:rsidRPr="00D26DE2">
        <w:rPr>
          <w:rFonts w:eastAsia="Arial Unicode MS" w:cs="Calibri"/>
          <w:bCs/>
          <w:sz w:val="24"/>
          <w:szCs w:val="24"/>
        </w:rPr>
        <w:t>– compreende diárias do presidente, de conselheiros e de convidados.</w:t>
      </w:r>
    </w:p>
    <w:p w14:paraId="18CA841F" w14:textId="361084C7" w:rsidR="00D26DE2" w:rsidRPr="00D26DE2" w:rsidRDefault="00DF6AFB">
      <w:pPr>
        <w:pStyle w:val="PargrafodaLista"/>
        <w:numPr>
          <w:ilvl w:val="0"/>
          <w:numId w:val="17"/>
        </w:numPr>
        <w:spacing w:line="360" w:lineRule="auto"/>
        <w:ind w:left="1843" w:hanging="283"/>
        <w:jc w:val="both"/>
        <w:rPr>
          <w:rFonts w:eastAsia="Arial Unicode MS" w:cs="Calibri"/>
          <w:bCs/>
          <w:sz w:val="24"/>
          <w:szCs w:val="24"/>
        </w:rPr>
      </w:pPr>
      <w:r w:rsidRPr="00D26DE2">
        <w:rPr>
          <w:rFonts w:eastAsia="Arial Unicode MS" w:cs="Calibri"/>
          <w:b/>
          <w:sz w:val="24"/>
          <w:szCs w:val="24"/>
        </w:rPr>
        <w:t>Passagens</w:t>
      </w:r>
      <w:r w:rsidRPr="00D26DE2">
        <w:rPr>
          <w:rFonts w:eastAsia="Arial Unicode MS" w:cs="Calibri"/>
          <w:sz w:val="24"/>
          <w:szCs w:val="24"/>
        </w:rPr>
        <w:t xml:space="preserve"> – compreende passagens de funcionários, presidente, conselheiros</w:t>
      </w:r>
      <w:r w:rsidR="00D26DE2">
        <w:rPr>
          <w:rFonts w:eastAsia="Arial Unicode MS" w:cs="Calibri"/>
          <w:sz w:val="24"/>
          <w:szCs w:val="24"/>
        </w:rPr>
        <w:t xml:space="preserve"> </w:t>
      </w:r>
      <w:r w:rsidRPr="00D26DE2">
        <w:rPr>
          <w:rFonts w:eastAsia="Arial Unicode MS" w:cs="Calibri"/>
          <w:sz w:val="24"/>
          <w:szCs w:val="24"/>
        </w:rPr>
        <w:t>e convidados.</w:t>
      </w:r>
    </w:p>
    <w:p w14:paraId="244F6697" w14:textId="77777777" w:rsidR="00024F4C" w:rsidRPr="00024F4C" w:rsidRDefault="00DF6AFB">
      <w:pPr>
        <w:pStyle w:val="PargrafodaLista"/>
        <w:numPr>
          <w:ilvl w:val="0"/>
          <w:numId w:val="17"/>
        </w:numPr>
        <w:spacing w:line="360" w:lineRule="auto"/>
        <w:ind w:left="1843" w:hanging="283"/>
        <w:jc w:val="both"/>
        <w:rPr>
          <w:rFonts w:eastAsia="Arial Unicode MS" w:cs="Calibri"/>
          <w:bCs/>
          <w:sz w:val="24"/>
          <w:szCs w:val="24"/>
        </w:rPr>
      </w:pPr>
      <w:r w:rsidRPr="00D26DE2">
        <w:rPr>
          <w:rFonts w:eastAsia="Arial Unicode MS" w:cs="Calibri"/>
          <w:b/>
          <w:sz w:val="24"/>
          <w:szCs w:val="24"/>
        </w:rPr>
        <w:t>Serviços Prestados (PF e PJ)</w:t>
      </w:r>
      <w:r w:rsidRPr="00D26DE2">
        <w:rPr>
          <w:rFonts w:eastAsia="Arial Unicode MS" w:cs="Calibri"/>
          <w:sz w:val="24"/>
          <w:szCs w:val="24"/>
        </w:rPr>
        <w:t xml:space="preserve"> – compreende todo serviço prestado por pessoa jurídica como: consultorias; serviços de comunicação e divulgação; manutenção de sistemas informatizados; locação de bens móveis e imóveis, condomínios, reparos e conservação de bens móveis e imóveis; serviços de água e energia elétrica; correios; telecomunicações e outras despesas correntes não classificáveis nos itens anteriores e remunerações de serviços prestados por pessoa física; remuneração de estagiários, e remuneração de menores aprendizes.</w:t>
      </w:r>
    </w:p>
    <w:p w14:paraId="2FB89F22" w14:textId="77777777" w:rsidR="00024F4C" w:rsidRPr="00024F4C" w:rsidRDefault="00DF6AFB">
      <w:pPr>
        <w:pStyle w:val="PargrafodaLista"/>
        <w:numPr>
          <w:ilvl w:val="0"/>
          <w:numId w:val="17"/>
        </w:numPr>
        <w:spacing w:line="360" w:lineRule="auto"/>
        <w:ind w:left="1843" w:hanging="283"/>
        <w:jc w:val="both"/>
        <w:rPr>
          <w:rFonts w:eastAsia="Arial Unicode MS" w:cs="Calibri"/>
          <w:bCs/>
          <w:sz w:val="24"/>
          <w:szCs w:val="24"/>
        </w:rPr>
      </w:pPr>
      <w:r w:rsidRPr="00024F4C">
        <w:rPr>
          <w:rFonts w:eastAsia="Arial Unicode MS" w:cs="Calibri"/>
          <w:b/>
          <w:sz w:val="24"/>
          <w:szCs w:val="24"/>
        </w:rPr>
        <w:t xml:space="preserve">Transferências Correntes: </w:t>
      </w:r>
      <w:r w:rsidRPr="00024F4C">
        <w:rPr>
          <w:rFonts w:eastAsia="Arial Unicode MS" w:cs="Calibri"/>
          <w:sz w:val="24"/>
          <w:szCs w:val="24"/>
        </w:rPr>
        <w:t>compreende os repasses ao Fundo de Apoio; os repasses ao Centro de Serviço Compartilhado- CSC; convênios, acordos, ajuda as entidades e patrocínios.</w:t>
      </w:r>
    </w:p>
    <w:p w14:paraId="12B9FD15" w14:textId="77777777" w:rsidR="00024F4C" w:rsidRPr="00024F4C" w:rsidRDefault="00DF6AFB">
      <w:pPr>
        <w:pStyle w:val="PargrafodaLista"/>
        <w:numPr>
          <w:ilvl w:val="0"/>
          <w:numId w:val="17"/>
        </w:numPr>
        <w:spacing w:line="360" w:lineRule="auto"/>
        <w:ind w:left="1843" w:hanging="283"/>
        <w:jc w:val="both"/>
        <w:rPr>
          <w:rFonts w:eastAsia="Arial Unicode MS" w:cs="Calibri"/>
          <w:bCs/>
          <w:sz w:val="24"/>
          <w:szCs w:val="24"/>
        </w:rPr>
      </w:pPr>
      <w:r w:rsidRPr="00024F4C">
        <w:rPr>
          <w:rFonts w:eastAsia="Arial Unicode MS" w:cs="Calibri"/>
          <w:b/>
          <w:sz w:val="24"/>
          <w:szCs w:val="24"/>
        </w:rPr>
        <w:t xml:space="preserve">Reserva de Contingência: </w:t>
      </w:r>
      <w:r w:rsidRPr="00024F4C">
        <w:rPr>
          <w:rFonts w:eastAsia="Arial Unicode MS" w:cs="Calibri"/>
          <w:sz w:val="24"/>
          <w:szCs w:val="24"/>
        </w:rPr>
        <w:t>compreende as despesas não previstas no plano de ação.</w:t>
      </w:r>
    </w:p>
    <w:p w14:paraId="674C4C48" w14:textId="77777777" w:rsidR="00024F4C" w:rsidRPr="00024F4C" w:rsidRDefault="00DF6AFB">
      <w:pPr>
        <w:pStyle w:val="PargrafodaLista"/>
        <w:numPr>
          <w:ilvl w:val="0"/>
          <w:numId w:val="17"/>
        </w:numPr>
        <w:spacing w:line="360" w:lineRule="auto"/>
        <w:ind w:left="1843" w:hanging="283"/>
        <w:jc w:val="both"/>
        <w:rPr>
          <w:rFonts w:eastAsia="Arial Unicode MS" w:cs="Calibri"/>
          <w:bCs/>
          <w:sz w:val="24"/>
          <w:szCs w:val="24"/>
        </w:rPr>
      </w:pPr>
      <w:r w:rsidRPr="00024F4C">
        <w:rPr>
          <w:rFonts w:eastAsia="Arial Unicode MS" w:cs="Calibri"/>
          <w:b/>
          <w:sz w:val="24"/>
          <w:szCs w:val="24"/>
        </w:rPr>
        <w:t xml:space="preserve">Encargos Diversos – </w:t>
      </w:r>
      <w:r w:rsidRPr="00024F4C">
        <w:rPr>
          <w:rFonts w:eastAsia="Arial Unicode MS" w:cs="Calibri"/>
          <w:sz w:val="24"/>
          <w:szCs w:val="24"/>
        </w:rPr>
        <w:t>compreende as taxas bancárias; impostos e taxas diversas; despesas judiciais; e outros encargos.</w:t>
      </w:r>
    </w:p>
    <w:p w14:paraId="7DC85549" w14:textId="2A89108A" w:rsidR="00DF6AFB" w:rsidRPr="00024F4C" w:rsidRDefault="00DF6AFB">
      <w:pPr>
        <w:pStyle w:val="PargrafodaLista"/>
        <w:numPr>
          <w:ilvl w:val="0"/>
          <w:numId w:val="17"/>
        </w:numPr>
        <w:spacing w:line="360" w:lineRule="auto"/>
        <w:ind w:left="1843" w:hanging="283"/>
        <w:jc w:val="both"/>
        <w:rPr>
          <w:rFonts w:eastAsia="Arial Unicode MS" w:cs="Calibri"/>
          <w:bCs/>
          <w:sz w:val="24"/>
          <w:szCs w:val="24"/>
        </w:rPr>
      </w:pPr>
      <w:r w:rsidRPr="00024F4C">
        <w:rPr>
          <w:rFonts w:eastAsia="Arial Unicode MS" w:cs="Calibri"/>
          <w:b/>
          <w:sz w:val="24"/>
          <w:szCs w:val="24"/>
        </w:rPr>
        <w:t>Imobilizado</w:t>
      </w:r>
      <w:r w:rsidRPr="00024F4C">
        <w:rPr>
          <w:rFonts w:eastAsia="Arial Unicode MS" w:cs="Calibri"/>
          <w:sz w:val="24"/>
          <w:szCs w:val="24"/>
        </w:rPr>
        <w:t xml:space="preserve"> – compreende os investimentos como: aquisição de equipamentos e materiais permanentes; aquisição de imóveis; e outros investimentos.</w:t>
      </w:r>
    </w:p>
    <w:p w14:paraId="7DC8554B" w14:textId="527DA310" w:rsidR="001604A2" w:rsidRPr="0037629D" w:rsidRDefault="00D6140D" w:rsidP="001604A2">
      <w:pPr>
        <w:spacing w:line="360" w:lineRule="auto"/>
        <w:ind w:firstLine="851"/>
        <w:jc w:val="both"/>
        <w:rPr>
          <w:rFonts w:eastAsia="Arial Unicode MS" w:cs="Calibri"/>
          <w:b/>
          <w:sz w:val="24"/>
          <w:szCs w:val="24"/>
        </w:rPr>
      </w:pPr>
      <w:r w:rsidRPr="0037629D">
        <w:rPr>
          <w:rFonts w:eastAsia="Arial Unicode MS" w:cs="Calibri"/>
          <w:b/>
          <w:sz w:val="24"/>
          <w:szCs w:val="24"/>
        </w:rPr>
        <w:t xml:space="preserve">VIII. </w:t>
      </w:r>
      <w:r w:rsidR="001604A2" w:rsidRPr="0037629D">
        <w:rPr>
          <w:rFonts w:eastAsia="Arial Unicode MS" w:cs="Calibri"/>
          <w:b/>
          <w:sz w:val="24"/>
          <w:szCs w:val="24"/>
        </w:rPr>
        <w:t>Quadro Descritivo de Ações e Metas</w:t>
      </w:r>
      <w:r w:rsidR="00C563CE">
        <w:rPr>
          <w:rFonts w:eastAsia="Arial Unicode MS" w:cs="Calibri"/>
          <w:b/>
          <w:sz w:val="24"/>
          <w:szCs w:val="24"/>
        </w:rPr>
        <w:t xml:space="preserve"> (facultativo)</w:t>
      </w:r>
      <w:r w:rsidR="001604A2" w:rsidRPr="0037629D">
        <w:rPr>
          <w:rFonts w:eastAsia="Arial Unicode MS" w:cs="Calibri"/>
          <w:b/>
          <w:sz w:val="24"/>
          <w:szCs w:val="24"/>
        </w:rPr>
        <w:t>.</w:t>
      </w:r>
    </w:p>
    <w:p w14:paraId="09B83126" w14:textId="77777777" w:rsidR="00F85572" w:rsidRDefault="00C72C86">
      <w:pPr>
        <w:pStyle w:val="PargrafodaLista"/>
        <w:numPr>
          <w:ilvl w:val="0"/>
          <w:numId w:val="14"/>
        </w:numPr>
        <w:spacing w:line="360" w:lineRule="auto"/>
        <w:jc w:val="both"/>
        <w:rPr>
          <w:rFonts w:eastAsia="Arial Unicode MS" w:cs="Calibri"/>
          <w:sz w:val="24"/>
          <w:szCs w:val="24"/>
        </w:rPr>
      </w:pPr>
      <w:r w:rsidRPr="00C72C86">
        <w:rPr>
          <w:rFonts w:eastAsia="Arial Unicode MS" w:cs="Calibri"/>
          <w:b/>
          <w:bCs/>
          <w:sz w:val="24"/>
          <w:szCs w:val="24"/>
        </w:rPr>
        <w:t>Denominação do Projeto ou Atividade</w:t>
      </w:r>
      <w:r>
        <w:rPr>
          <w:rFonts w:eastAsia="Arial Unicode MS" w:cs="Calibri"/>
          <w:sz w:val="24"/>
          <w:szCs w:val="24"/>
        </w:rPr>
        <w:t>:</w:t>
      </w:r>
      <w:r w:rsidRPr="00C72C86">
        <w:rPr>
          <w:rFonts w:eastAsia="Arial Unicode MS" w:cs="Calibri"/>
          <w:sz w:val="24"/>
          <w:szCs w:val="24"/>
        </w:rPr>
        <w:t xml:space="preserve"> Nome da iniciativa estratégica de acordo com o Quadro Geral.</w:t>
      </w:r>
    </w:p>
    <w:p w14:paraId="7DC8554D" w14:textId="392CE0C8" w:rsidR="00233A96" w:rsidRPr="00F85572" w:rsidRDefault="00233A96">
      <w:pPr>
        <w:pStyle w:val="PargrafodaLista"/>
        <w:numPr>
          <w:ilvl w:val="0"/>
          <w:numId w:val="14"/>
        </w:numPr>
        <w:spacing w:line="360" w:lineRule="auto"/>
        <w:jc w:val="both"/>
        <w:rPr>
          <w:rFonts w:eastAsia="Arial Unicode MS" w:cs="Calibri"/>
          <w:sz w:val="24"/>
          <w:szCs w:val="24"/>
        </w:rPr>
      </w:pPr>
      <w:r w:rsidRPr="00F85572">
        <w:rPr>
          <w:rFonts w:eastAsia="Arial Unicode MS" w:cs="Calibri"/>
          <w:b/>
          <w:sz w:val="24"/>
          <w:szCs w:val="24"/>
        </w:rPr>
        <w:t>Metas Físicas</w:t>
      </w:r>
      <w:r w:rsidRPr="00F85572">
        <w:rPr>
          <w:rFonts w:eastAsia="Arial Unicode MS" w:cs="Calibri"/>
          <w:sz w:val="24"/>
          <w:szCs w:val="24"/>
        </w:rPr>
        <w:t>: bem ou serviço qualificado e quantificado resultante da execução da ação. Para efeito de padronização, as metas são organizadas em dois conjuntos</w:t>
      </w:r>
    </w:p>
    <w:p w14:paraId="3CD7C234" w14:textId="77777777" w:rsidR="00FE211A" w:rsidRPr="00FE211A" w:rsidRDefault="00C66126" w:rsidP="00E94498">
      <w:pPr>
        <w:pStyle w:val="PargrafodaLista"/>
        <w:numPr>
          <w:ilvl w:val="0"/>
          <w:numId w:val="19"/>
        </w:numPr>
        <w:spacing w:line="360" w:lineRule="auto"/>
        <w:ind w:left="1843" w:hanging="283"/>
        <w:jc w:val="both"/>
        <w:rPr>
          <w:rFonts w:eastAsia="Arial Unicode MS" w:cs="Calibri"/>
          <w:b/>
          <w:sz w:val="24"/>
          <w:szCs w:val="24"/>
        </w:rPr>
      </w:pPr>
      <w:r w:rsidRPr="00C66126">
        <w:rPr>
          <w:rFonts w:eastAsia="Arial Unicode MS" w:cs="Calibri"/>
          <w:b/>
          <w:sz w:val="24"/>
          <w:szCs w:val="24"/>
        </w:rPr>
        <w:t xml:space="preserve">Meta da ação: </w:t>
      </w:r>
      <w:r w:rsidRPr="00FE211A">
        <w:rPr>
          <w:rFonts w:eastAsia="Arial Unicode MS" w:cs="Calibri"/>
          <w:bCs/>
          <w:sz w:val="24"/>
          <w:szCs w:val="24"/>
        </w:rPr>
        <w:t>consiste no quantitativo da ação</w:t>
      </w:r>
      <w:r w:rsidR="00FE211A">
        <w:rPr>
          <w:rFonts w:eastAsia="Arial Unicode MS" w:cs="Calibri"/>
          <w:bCs/>
          <w:sz w:val="24"/>
          <w:szCs w:val="24"/>
        </w:rPr>
        <w:t>.</w:t>
      </w:r>
    </w:p>
    <w:p w14:paraId="0D693BAB" w14:textId="77777777" w:rsidR="00FE211A" w:rsidRDefault="00C66126" w:rsidP="00E94498">
      <w:pPr>
        <w:pStyle w:val="PargrafodaLista"/>
        <w:numPr>
          <w:ilvl w:val="0"/>
          <w:numId w:val="19"/>
        </w:numPr>
        <w:spacing w:line="360" w:lineRule="auto"/>
        <w:ind w:left="1843" w:hanging="283"/>
        <w:jc w:val="both"/>
        <w:rPr>
          <w:rFonts w:eastAsia="Arial Unicode MS" w:cs="Calibri"/>
          <w:bCs/>
          <w:sz w:val="24"/>
          <w:szCs w:val="24"/>
        </w:rPr>
      </w:pPr>
      <w:r w:rsidRPr="00FE211A">
        <w:rPr>
          <w:rFonts w:eastAsia="Arial Unicode MS" w:cs="Calibri"/>
          <w:b/>
          <w:sz w:val="24"/>
          <w:szCs w:val="24"/>
        </w:rPr>
        <w:t xml:space="preserve">Descrição das ações: </w:t>
      </w:r>
      <w:r w:rsidRPr="00FE211A">
        <w:rPr>
          <w:rFonts w:eastAsia="Arial Unicode MS" w:cs="Calibri"/>
          <w:bCs/>
          <w:sz w:val="24"/>
          <w:szCs w:val="24"/>
        </w:rPr>
        <w:t>descrevem as iniciativas especificas que devem ser executadas dentro de um projeto ou de uma atividade para produzir os resultados estabelecidos. A ação deve transmitir com clareza a sua finalidade, conteúdo e forma de implementação (o que vai ser feito, por que será feito, onde será feito, quando será feito, como vai ser feito e com que finalidade, por quem será feito e quanto vai custar). Exemplo: Realização de cursos de capacitação no SICCAU.</w:t>
      </w:r>
    </w:p>
    <w:p w14:paraId="7DC85552" w14:textId="1922CCCA" w:rsidR="00233A96" w:rsidRPr="00FE211A" w:rsidRDefault="00C66126" w:rsidP="00E94498">
      <w:pPr>
        <w:pStyle w:val="PargrafodaLista"/>
        <w:numPr>
          <w:ilvl w:val="0"/>
          <w:numId w:val="19"/>
        </w:numPr>
        <w:spacing w:line="360" w:lineRule="auto"/>
        <w:ind w:left="1843" w:hanging="283"/>
        <w:jc w:val="both"/>
        <w:rPr>
          <w:rFonts w:eastAsia="Arial Unicode MS" w:cs="Calibri"/>
          <w:bCs/>
          <w:sz w:val="24"/>
          <w:szCs w:val="24"/>
        </w:rPr>
      </w:pPr>
      <w:r w:rsidRPr="00FE211A">
        <w:rPr>
          <w:rFonts w:eastAsia="Arial Unicode MS" w:cs="Calibri"/>
          <w:b/>
          <w:sz w:val="24"/>
          <w:szCs w:val="24"/>
        </w:rPr>
        <w:t xml:space="preserve">Ações Estratégicas Prioritárias: </w:t>
      </w:r>
      <w:r w:rsidRPr="00FE211A">
        <w:rPr>
          <w:rFonts w:eastAsia="Arial Unicode MS" w:cs="Calibri"/>
          <w:bCs/>
          <w:sz w:val="24"/>
          <w:szCs w:val="24"/>
        </w:rPr>
        <w:t>selecionar as ações que melhor se enquadram com o objetivo geral. A opção "Não se aplica" deve ser utilizada quando a ação descrita não faz parte do rol das "Ações Estratégicas Prioritárias". As ações selecionadas devem respeitar as correlações com os objetivos estratégicos, conforme detalhamento na aba "Ações Estratégicas-Descrição".</w:t>
      </w:r>
    </w:p>
    <w:p w14:paraId="7DC85559" w14:textId="2653B7EE" w:rsidR="007629D6" w:rsidRPr="00683F02" w:rsidRDefault="007629D6">
      <w:pPr>
        <w:pStyle w:val="PargrafodaLista"/>
        <w:numPr>
          <w:ilvl w:val="0"/>
          <w:numId w:val="14"/>
        </w:numPr>
        <w:spacing w:line="360" w:lineRule="auto"/>
        <w:jc w:val="both"/>
        <w:rPr>
          <w:rFonts w:eastAsia="Arial Unicode MS" w:cs="Calibri"/>
          <w:b/>
          <w:sz w:val="24"/>
          <w:szCs w:val="24"/>
        </w:rPr>
      </w:pPr>
      <w:r w:rsidRPr="008F47A5">
        <w:rPr>
          <w:rFonts w:eastAsia="Arial Unicode MS" w:cs="Calibri"/>
          <w:b/>
          <w:sz w:val="24"/>
          <w:szCs w:val="24"/>
        </w:rPr>
        <w:t>Custo da ação:</w:t>
      </w:r>
      <w:r w:rsidRPr="00683F02">
        <w:rPr>
          <w:rFonts w:eastAsia="Arial Unicode MS" w:cs="Calibri"/>
          <w:b/>
          <w:sz w:val="24"/>
          <w:szCs w:val="24"/>
        </w:rPr>
        <w:t xml:space="preserve"> </w:t>
      </w:r>
      <w:r w:rsidRPr="00683F02">
        <w:rPr>
          <w:rFonts w:eastAsia="Arial Unicode MS" w:cs="Calibri"/>
          <w:bCs/>
          <w:sz w:val="24"/>
          <w:szCs w:val="24"/>
        </w:rPr>
        <w:t>valor detalhado dos recursos necessários para a realização da ação:</w:t>
      </w:r>
    </w:p>
    <w:p w14:paraId="6CC01154" w14:textId="777D30A4" w:rsidR="004F2E3F" w:rsidRPr="00570121" w:rsidRDefault="002F2F32">
      <w:pPr>
        <w:pStyle w:val="PargrafodaLista"/>
        <w:numPr>
          <w:ilvl w:val="2"/>
          <w:numId w:val="15"/>
        </w:numPr>
        <w:spacing w:line="360" w:lineRule="auto"/>
        <w:ind w:left="1843" w:hanging="283"/>
        <w:jc w:val="both"/>
        <w:rPr>
          <w:rFonts w:eastAsia="Arial Unicode MS" w:cs="Calibri"/>
          <w:sz w:val="24"/>
          <w:szCs w:val="24"/>
        </w:rPr>
      </w:pPr>
      <w:r>
        <w:rPr>
          <w:rFonts w:eastAsia="Arial Unicode MS" w:cs="Calibri"/>
          <w:b/>
          <w:sz w:val="24"/>
          <w:szCs w:val="24"/>
        </w:rPr>
        <w:t>Rep</w:t>
      </w:r>
      <w:r w:rsidR="00495707" w:rsidRPr="0037629D">
        <w:rPr>
          <w:rFonts w:eastAsia="Arial Unicode MS" w:cs="Calibri"/>
          <w:b/>
          <w:sz w:val="24"/>
          <w:szCs w:val="24"/>
        </w:rPr>
        <w:t xml:space="preserve">rogramação </w:t>
      </w:r>
      <w:r w:rsidRPr="00570121">
        <w:rPr>
          <w:rFonts w:eastAsia="Arial Unicode MS" w:cs="Calibri"/>
          <w:b/>
          <w:sz w:val="24"/>
          <w:szCs w:val="24"/>
        </w:rPr>
        <w:t>202</w:t>
      </w:r>
      <w:r w:rsidR="000F14DF" w:rsidRPr="00570121">
        <w:rPr>
          <w:rFonts w:eastAsia="Arial Unicode MS" w:cs="Calibri"/>
          <w:b/>
          <w:sz w:val="24"/>
          <w:szCs w:val="24"/>
        </w:rPr>
        <w:t>3</w:t>
      </w:r>
      <w:r w:rsidR="00495707" w:rsidRPr="00570121">
        <w:rPr>
          <w:rFonts w:eastAsia="Arial Unicode MS" w:cs="Calibri"/>
          <w:b/>
          <w:sz w:val="24"/>
          <w:szCs w:val="24"/>
        </w:rPr>
        <w:t xml:space="preserve"> (valor aprovado </w:t>
      </w:r>
      <w:r w:rsidR="004F2E3F" w:rsidRPr="00570121">
        <w:rPr>
          <w:rFonts w:eastAsia="Arial Unicode MS" w:cs="Calibri"/>
          <w:b/>
          <w:sz w:val="24"/>
          <w:szCs w:val="24"/>
        </w:rPr>
        <w:t xml:space="preserve">vigente </w:t>
      </w:r>
      <w:r w:rsidR="00495707" w:rsidRPr="00570121">
        <w:rPr>
          <w:rFonts w:eastAsia="Arial Unicode MS" w:cs="Calibri"/>
          <w:b/>
          <w:sz w:val="24"/>
          <w:szCs w:val="24"/>
        </w:rPr>
        <w:t>no ano anterior)</w:t>
      </w:r>
      <w:r w:rsidR="00A41DC2" w:rsidRPr="00570121">
        <w:rPr>
          <w:rFonts w:eastAsia="Arial Unicode MS" w:cs="Calibri"/>
          <w:sz w:val="24"/>
          <w:szCs w:val="24"/>
        </w:rPr>
        <w:t>:</w:t>
      </w:r>
      <w:r w:rsidR="00495707" w:rsidRPr="00570121">
        <w:rPr>
          <w:rFonts w:eastAsia="Arial Unicode MS" w:cs="Calibri"/>
          <w:sz w:val="24"/>
          <w:szCs w:val="24"/>
        </w:rPr>
        <w:t xml:space="preserve"> indicar o custo total da ação aprovado no ano anterior;</w:t>
      </w:r>
    </w:p>
    <w:p w14:paraId="50B9C048" w14:textId="073AF28F" w:rsidR="004F2E3F" w:rsidRDefault="00495707">
      <w:pPr>
        <w:pStyle w:val="PargrafodaLista"/>
        <w:numPr>
          <w:ilvl w:val="2"/>
          <w:numId w:val="15"/>
        </w:numPr>
        <w:spacing w:line="360" w:lineRule="auto"/>
        <w:ind w:left="1843" w:hanging="283"/>
        <w:jc w:val="both"/>
        <w:rPr>
          <w:rFonts w:eastAsia="Arial Unicode MS" w:cs="Calibri"/>
          <w:sz w:val="24"/>
          <w:szCs w:val="24"/>
        </w:rPr>
      </w:pPr>
      <w:r w:rsidRPr="00570121">
        <w:rPr>
          <w:rFonts w:eastAsia="Arial Unicode MS" w:cs="Calibri"/>
          <w:b/>
          <w:sz w:val="24"/>
          <w:szCs w:val="24"/>
        </w:rPr>
        <w:t xml:space="preserve">Programação </w:t>
      </w:r>
      <w:r w:rsidR="004F2E3F" w:rsidRPr="00570121">
        <w:rPr>
          <w:rFonts w:eastAsia="Arial Unicode MS" w:cs="Calibri"/>
          <w:b/>
          <w:sz w:val="24"/>
          <w:szCs w:val="24"/>
        </w:rPr>
        <w:t>202</w:t>
      </w:r>
      <w:r w:rsidR="000F14DF" w:rsidRPr="00570121">
        <w:rPr>
          <w:rFonts w:eastAsia="Arial Unicode MS" w:cs="Calibri"/>
          <w:b/>
          <w:sz w:val="24"/>
          <w:szCs w:val="24"/>
        </w:rPr>
        <w:t xml:space="preserve">4 </w:t>
      </w:r>
      <w:r w:rsidRPr="004F2E3F">
        <w:rPr>
          <w:rFonts w:eastAsia="Arial Unicode MS" w:cs="Calibri"/>
          <w:b/>
          <w:sz w:val="24"/>
          <w:szCs w:val="24"/>
        </w:rPr>
        <w:t>(valor previsto para o ano s</w:t>
      </w:r>
      <w:r w:rsidR="00A41DC2" w:rsidRPr="004F2E3F">
        <w:rPr>
          <w:rFonts w:eastAsia="Arial Unicode MS" w:cs="Calibri"/>
          <w:b/>
          <w:sz w:val="24"/>
          <w:szCs w:val="24"/>
        </w:rPr>
        <w:t>eguinte):</w:t>
      </w:r>
      <w:r w:rsidRPr="004F2E3F">
        <w:rPr>
          <w:rFonts w:eastAsia="Arial Unicode MS" w:cs="Calibri"/>
          <w:sz w:val="24"/>
          <w:szCs w:val="24"/>
        </w:rPr>
        <w:t xml:space="preserve"> indicar o custo total da ação prevista para o ano seguinte.</w:t>
      </w:r>
    </w:p>
    <w:p w14:paraId="7DC8555C" w14:textId="55F26FD9" w:rsidR="00495707" w:rsidRPr="004F2E3F" w:rsidRDefault="00A41DC2">
      <w:pPr>
        <w:pStyle w:val="PargrafodaLista"/>
        <w:numPr>
          <w:ilvl w:val="2"/>
          <w:numId w:val="15"/>
        </w:numPr>
        <w:spacing w:line="360" w:lineRule="auto"/>
        <w:ind w:left="1843" w:hanging="283"/>
        <w:jc w:val="both"/>
        <w:rPr>
          <w:rFonts w:eastAsia="Arial Unicode MS" w:cs="Calibri"/>
          <w:sz w:val="24"/>
          <w:szCs w:val="24"/>
        </w:rPr>
      </w:pPr>
      <w:r w:rsidRPr="004F2E3F">
        <w:rPr>
          <w:rFonts w:eastAsia="Arial Unicode MS" w:cs="Calibri"/>
          <w:b/>
          <w:sz w:val="24"/>
          <w:szCs w:val="24"/>
        </w:rPr>
        <w:t>Variação:</w:t>
      </w:r>
      <w:r w:rsidR="00495707" w:rsidRPr="004F2E3F">
        <w:rPr>
          <w:rFonts w:eastAsia="Arial Unicode MS" w:cs="Calibri"/>
          <w:b/>
          <w:sz w:val="24"/>
          <w:szCs w:val="24"/>
        </w:rPr>
        <w:t xml:space="preserve"> </w:t>
      </w:r>
      <w:r w:rsidR="00495707" w:rsidRPr="004F2E3F">
        <w:rPr>
          <w:rFonts w:eastAsia="Arial Unicode MS" w:cs="Calibri"/>
          <w:sz w:val="24"/>
          <w:szCs w:val="24"/>
        </w:rPr>
        <w:t>valor e percentual de variação entre os valores aprovados e os valores previstos.</w:t>
      </w:r>
    </w:p>
    <w:p w14:paraId="65A207F5" w14:textId="26DE444D" w:rsidR="00EA1E9C" w:rsidRDefault="00495707">
      <w:pPr>
        <w:pStyle w:val="PargrafodaLista"/>
        <w:numPr>
          <w:ilvl w:val="0"/>
          <w:numId w:val="14"/>
        </w:numPr>
        <w:spacing w:line="360" w:lineRule="auto"/>
        <w:jc w:val="both"/>
        <w:rPr>
          <w:rFonts w:eastAsia="Arial Unicode MS" w:cs="Calibri"/>
          <w:bCs/>
          <w:sz w:val="24"/>
          <w:szCs w:val="24"/>
        </w:rPr>
      </w:pPr>
      <w:r w:rsidRPr="00EA1E9C">
        <w:rPr>
          <w:rFonts w:eastAsia="Arial Unicode MS" w:cs="Calibri"/>
          <w:b/>
          <w:sz w:val="24"/>
          <w:szCs w:val="24"/>
        </w:rPr>
        <w:t>Fundo de Apoio</w:t>
      </w:r>
      <w:r w:rsidRPr="00C46D85">
        <w:rPr>
          <w:rFonts w:eastAsia="Arial Unicode MS" w:cs="Calibri"/>
          <w:b/>
          <w:sz w:val="24"/>
          <w:szCs w:val="24"/>
        </w:rPr>
        <w:t xml:space="preserve">: </w:t>
      </w:r>
      <w:r w:rsidRPr="00C46D85">
        <w:rPr>
          <w:rFonts w:eastAsia="Arial Unicode MS" w:cs="Calibri"/>
          <w:bCs/>
          <w:sz w:val="24"/>
          <w:szCs w:val="24"/>
        </w:rPr>
        <w:t>compreende o valor que será custeado com recursos do Fundo de Apoio em cada elemento de despesas.</w:t>
      </w:r>
    </w:p>
    <w:p w14:paraId="37EF1591" w14:textId="7A4089B6" w:rsidR="005E45F9" w:rsidRDefault="005E45F9" w:rsidP="00E94498">
      <w:pPr>
        <w:pStyle w:val="PargrafodaLista"/>
        <w:numPr>
          <w:ilvl w:val="0"/>
          <w:numId w:val="20"/>
        </w:numPr>
        <w:spacing w:line="360" w:lineRule="auto"/>
        <w:ind w:left="1843" w:hanging="283"/>
        <w:jc w:val="both"/>
        <w:rPr>
          <w:rFonts w:eastAsia="Arial Unicode MS" w:cs="Calibri"/>
          <w:bCs/>
          <w:sz w:val="24"/>
          <w:szCs w:val="24"/>
        </w:rPr>
      </w:pPr>
      <w:r w:rsidRPr="005E45F9">
        <w:rPr>
          <w:rFonts w:eastAsia="Arial Unicode MS" w:cs="Calibri"/>
          <w:b/>
          <w:sz w:val="24"/>
          <w:szCs w:val="24"/>
        </w:rPr>
        <w:t xml:space="preserve">A custear com Recursos do Fundo de Apoio: </w:t>
      </w:r>
      <w:r w:rsidR="00CE33EA" w:rsidRPr="00CE33EA">
        <w:rPr>
          <w:rFonts w:eastAsia="Arial Unicode MS" w:cs="Calibri"/>
          <w:bCs/>
          <w:sz w:val="24"/>
          <w:szCs w:val="24"/>
        </w:rPr>
        <w:t xml:space="preserve">compreende os valores do </w:t>
      </w:r>
      <w:r w:rsidRPr="00CE33EA">
        <w:rPr>
          <w:rFonts w:eastAsia="Arial Unicode MS" w:cs="Calibri"/>
          <w:bCs/>
          <w:sz w:val="24"/>
          <w:szCs w:val="24"/>
        </w:rPr>
        <w:t xml:space="preserve">projeto ou atividade </w:t>
      </w:r>
      <w:r w:rsidR="00CE33EA" w:rsidRPr="00CE33EA">
        <w:rPr>
          <w:rFonts w:eastAsia="Arial Unicode MS" w:cs="Calibri"/>
          <w:bCs/>
          <w:sz w:val="24"/>
          <w:szCs w:val="24"/>
        </w:rPr>
        <w:t xml:space="preserve">que </w:t>
      </w:r>
      <w:r w:rsidRPr="00CE33EA">
        <w:rPr>
          <w:rFonts w:eastAsia="Arial Unicode MS" w:cs="Calibri"/>
          <w:bCs/>
          <w:sz w:val="24"/>
          <w:szCs w:val="24"/>
        </w:rPr>
        <w:t>será financiad</w:t>
      </w:r>
      <w:r w:rsidR="00CA5B5F">
        <w:rPr>
          <w:rFonts w:eastAsia="Arial Unicode MS" w:cs="Calibri"/>
          <w:bCs/>
          <w:sz w:val="24"/>
          <w:szCs w:val="24"/>
        </w:rPr>
        <w:t>o</w:t>
      </w:r>
      <w:r w:rsidRPr="00CE33EA">
        <w:rPr>
          <w:rFonts w:eastAsia="Arial Unicode MS" w:cs="Calibri"/>
          <w:bCs/>
          <w:sz w:val="24"/>
          <w:szCs w:val="24"/>
        </w:rPr>
        <w:t xml:space="preserve"> por recursos oriundos do fundo de apoio dos CAU/UF, apenas para os CAU/Básicos. Atenção: Cabe salientar que os CAU Básico, na elaboração de sua programação para 202</w:t>
      </w:r>
      <w:r w:rsidR="00570121">
        <w:rPr>
          <w:rFonts w:eastAsia="Arial Unicode MS" w:cs="Calibri"/>
          <w:bCs/>
          <w:sz w:val="24"/>
          <w:szCs w:val="24"/>
        </w:rPr>
        <w:t>4</w:t>
      </w:r>
      <w:r w:rsidRPr="00CE33EA">
        <w:rPr>
          <w:rFonts w:eastAsia="Arial Unicode MS" w:cs="Calibri"/>
          <w:bCs/>
          <w:sz w:val="24"/>
          <w:szCs w:val="24"/>
        </w:rPr>
        <w:t>, deverão observar com maior rigor todos os procedimentos e estratégias estabelecidas nas presentes Diretrizes e na Resolução nº 119, valendo ressaltar “Art. 6° Os recursos provenientes do Fundo de Apoio deverão ser utilizados em estrita conformidade com o Plano de Ação aprovado, sendo vedada a sua utilização para despesas de capital”. Vale ressaltar também</w:t>
      </w:r>
      <w:r w:rsidR="00CE33EA">
        <w:rPr>
          <w:rFonts w:eastAsia="Arial Unicode MS" w:cs="Calibri"/>
          <w:bCs/>
          <w:sz w:val="24"/>
          <w:szCs w:val="24"/>
        </w:rPr>
        <w:t xml:space="preserve"> </w:t>
      </w:r>
      <w:r w:rsidRPr="00CE33EA">
        <w:rPr>
          <w:rFonts w:eastAsia="Arial Unicode MS" w:cs="Calibri"/>
          <w:bCs/>
          <w:sz w:val="24"/>
          <w:szCs w:val="24"/>
        </w:rPr>
        <w:t>que a participação nas reuniões plenárias ampliadas e o valor do CSC devem ser custeados pelo Fundo de Apoio.</w:t>
      </w:r>
    </w:p>
    <w:p w14:paraId="7DBEC51F" w14:textId="161929BD" w:rsidR="006F774D" w:rsidRPr="00CE33EA" w:rsidRDefault="00CA5B5F" w:rsidP="00E94498">
      <w:pPr>
        <w:pStyle w:val="PargrafodaLista"/>
        <w:numPr>
          <w:ilvl w:val="0"/>
          <w:numId w:val="20"/>
        </w:numPr>
        <w:spacing w:line="360" w:lineRule="auto"/>
        <w:ind w:left="1843" w:hanging="283"/>
        <w:jc w:val="both"/>
        <w:rPr>
          <w:rFonts w:eastAsia="Arial Unicode MS" w:cs="Calibri"/>
          <w:bCs/>
          <w:sz w:val="24"/>
          <w:szCs w:val="24"/>
        </w:rPr>
      </w:pPr>
      <w:r w:rsidRPr="00CA5B5F">
        <w:rPr>
          <w:rFonts w:eastAsia="Arial Unicode MS" w:cs="Calibri"/>
          <w:b/>
          <w:sz w:val="24"/>
          <w:szCs w:val="24"/>
        </w:rPr>
        <w:t>% Utilização do Fundo de Apoio:</w:t>
      </w:r>
      <w:r w:rsidRPr="00CA5B5F">
        <w:rPr>
          <w:rFonts w:eastAsia="Arial Unicode MS" w:cs="Calibri"/>
          <w:bCs/>
          <w:sz w:val="24"/>
          <w:szCs w:val="24"/>
        </w:rPr>
        <w:t xml:space="preserve"> representatividade da utilização do fundo para custear a ação.</w:t>
      </w:r>
    </w:p>
    <w:p w14:paraId="2E220C07" w14:textId="549EAD48" w:rsidR="007C5B32" w:rsidRPr="000E1C06" w:rsidRDefault="00495707" w:rsidP="006D6472">
      <w:pPr>
        <w:pStyle w:val="PargrafodaLista"/>
        <w:numPr>
          <w:ilvl w:val="0"/>
          <w:numId w:val="14"/>
        </w:numPr>
        <w:spacing w:line="360" w:lineRule="auto"/>
        <w:jc w:val="both"/>
        <w:rPr>
          <w:rFonts w:eastAsia="Arial Unicode MS" w:cs="Calibri"/>
          <w:b/>
          <w:sz w:val="24"/>
          <w:szCs w:val="24"/>
        </w:rPr>
      </w:pPr>
      <w:r w:rsidRPr="000E1C06">
        <w:rPr>
          <w:rFonts w:eastAsia="Arial Unicode MS" w:cs="Calibri"/>
          <w:b/>
          <w:sz w:val="24"/>
          <w:szCs w:val="24"/>
        </w:rPr>
        <w:t xml:space="preserve">Total: </w:t>
      </w:r>
      <w:r w:rsidRPr="000E1C06">
        <w:rPr>
          <w:rFonts w:eastAsia="Arial Unicode MS" w:cs="Calibri"/>
          <w:bCs/>
          <w:sz w:val="24"/>
          <w:szCs w:val="24"/>
        </w:rPr>
        <w:t xml:space="preserve">compreende </w:t>
      </w:r>
      <w:r w:rsidR="001029AF" w:rsidRPr="000E1C06">
        <w:rPr>
          <w:rFonts w:eastAsia="Arial Unicode MS" w:cs="Calibri"/>
          <w:bCs/>
          <w:sz w:val="24"/>
          <w:szCs w:val="24"/>
        </w:rPr>
        <w:t>o somatório d</w:t>
      </w:r>
      <w:r w:rsidRPr="000E1C06">
        <w:rPr>
          <w:rFonts w:eastAsia="Arial Unicode MS" w:cs="Calibri"/>
          <w:bCs/>
          <w:sz w:val="24"/>
          <w:szCs w:val="24"/>
        </w:rPr>
        <w:t>os custos inerentes a</w:t>
      </w:r>
      <w:r w:rsidR="001029AF" w:rsidRPr="000E1C06">
        <w:rPr>
          <w:rFonts w:eastAsia="Arial Unicode MS" w:cs="Calibri"/>
          <w:bCs/>
          <w:sz w:val="24"/>
          <w:szCs w:val="24"/>
        </w:rPr>
        <w:t xml:space="preserve">s aplicações de </w:t>
      </w:r>
      <w:r w:rsidRPr="000E1C06">
        <w:rPr>
          <w:rFonts w:eastAsia="Arial Unicode MS" w:cs="Calibri"/>
          <w:bCs/>
          <w:sz w:val="24"/>
          <w:szCs w:val="24"/>
        </w:rPr>
        <w:t xml:space="preserve">cada </w:t>
      </w:r>
      <w:r w:rsidR="001029AF" w:rsidRPr="000E1C06">
        <w:rPr>
          <w:rFonts w:eastAsia="Arial Unicode MS" w:cs="Calibri"/>
          <w:bCs/>
          <w:sz w:val="24"/>
          <w:szCs w:val="24"/>
        </w:rPr>
        <w:t>proposta do plano de ação</w:t>
      </w:r>
      <w:r w:rsidRPr="000E1C06">
        <w:rPr>
          <w:rFonts w:eastAsia="Arial Unicode MS" w:cs="Calibri"/>
          <w:bCs/>
          <w:sz w:val="24"/>
          <w:szCs w:val="24"/>
        </w:rPr>
        <w:t>.</w:t>
      </w:r>
      <w:r w:rsidRPr="000E1C06">
        <w:rPr>
          <w:rFonts w:eastAsia="Arial Unicode MS" w:cs="Calibri"/>
          <w:b/>
          <w:sz w:val="24"/>
          <w:szCs w:val="24"/>
        </w:rPr>
        <w:t xml:space="preserve"> </w:t>
      </w:r>
    </w:p>
    <w:p w14:paraId="434473CA" w14:textId="666A7B58" w:rsidR="007C5B32" w:rsidRDefault="00BB60DC" w:rsidP="00EC40BA">
      <w:pPr>
        <w:spacing w:line="360" w:lineRule="auto"/>
        <w:jc w:val="both"/>
        <w:rPr>
          <w:rFonts w:eastAsia="Arial Unicode MS" w:cs="Calibri"/>
          <w:b/>
          <w:sz w:val="24"/>
          <w:szCs w:val="24"/>
        </w:rPr>
      </w:pPr>
      <w:r>
        <w:rPr>
          <w:noProof/>
          <w:lang w:eastAsia="pt-BR"/>
        </w:rPr>
        <mc:AlternateContent>
          <mc:Choice Requires="wps">
            <w:drawing>
              <wp:anchor distT="0" distB="0" distL="114300" distR="114300" simplePos="0" relativeHeight="251656704" behindDoc="0" locked="0" layoutInCell="1" allowOverlap="1" wp14:anchorId="4A06CFFD" wp14:editId="5A9FF5FE">
                <wp:simplePos x="0" y="0"/>
                <wp:positionH relativeFrom="column">
                  <wp:posOffset>765810</wp:posOffset>
                </wp:positionH>
                <wp:positionV relativeFrom="paragraph">
                  <wp:posOffset>59690</wp:posOffset>
                </wp:positionV>
                <wp:extent cx="5314950" cy="666750"/>
                <wp:effectExtent l="342900" t="57150" r="19050" b="30480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666750"/>
                        </a:xfrm>
                        <a:prstGeom prst="rect">
                          <a:avLst/>
                        </a:prstGeom>
                        <a:solidFill>
                          <a:schemeClr val="bg1"/>
                        </a:solidFill>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lnRef>
                        <a:fillRef idx="1">
                          <a:schemeClr val="lt1"/>
                        </a:fillRef>
                        <a:effectRef idx="0">
                          <a:schemeClr val="accent1"/>
                        </a:effectRef>
                        <a:fontRef idx="minor">
                          <a:schemeClr val="dk1"/>
                        </a:fontRef>
                      </wps:style>
                      <wps:txbx>
                        <w:txbxContent>
                          <w:p w14:paraId="3AEB702C" w14:textId="786DCEBE" w:rsidR="00DA0C5F" w:rsidRPr="00100380" w:rsidRDefault="00DA0C5F" w:rsidP="00100380">
                            <w:pPr>
                              <w:shd w:val="clear" w:color="auto" w:fill="ED7D31" w:themeFill="accent2"/>
                              <w:spacing w:after="0"/>
                              <w:jc w:val="center"/>
                              <w:rPr>
                                <w:b/>
                                <w:color w:val="FFFFFF" w:themeColor="background1"/>
                                <w:sz w:val="12"/>
                                <w:szCs w:val="12"/>
                              </w:rPr>
                            </w:pPr>
                          </w:p>
                          <w:p w14:paraId="7DC8560A" w14:textId="0547D1C1" w:rsidR="00DA0C5F" w:rsidRPr="00CD7359" w:rsidRDefault="00DA0C5F" w:rsidP="00CD7359">
                            <w:pPr>
                              <w:shd w:val="clear" w:color="auto" w:fill="ED7D31" w:themeFill="accent2"/>
                              <w:spacing w:after="0"/>
                              <w:jc w:val="center"/>
                              <w:rPr>
                                <w:b/>
                                <w:color w:val="FFFFFF" w:themeColor="background1"/>
                                <w:sz w:val="24"/>
                                <w:szCs w:val="24"/>
                              </w:rPr>
                            </w:pPr>
                            <w:r w:rsidRPr="00CD7359">
                              <w:rPr>
                                <w:b/>
                                <w:color w:val="FFFFFF" w:themeColor="background1"/>
                                <w:sz w:val="24"/>
                                <w:szCs w:val="24"/>
                              </w:rPr>
                              <w:t>PONTO DE ATENÇÃO:</w:t>
                            </w:r>
                          </w:p>
                          <w:p w14:paraId="7DC8560B" w14:textId="77777777" w:rsidR="00DA0C5F" w:rsidRPr="00CD7359" w:rsidRDefault="00DA0C5F" w:rsidP="00CD7359">
                            <w:pPr>
                              <w:shd w:val="clear" w:color="auto" w:fill="ED7D31" w:themeFill="accent2"/>
                              <w:jc w:val="center"/>
                              <w:rPr>
                                <w:color w:val="FFFFFF" w:themeColor="background1"/>
                                <w:sz w:val="24"/>
                                <w:szCs w:val="24"/>
                              </w:rPr>
                            </w:pPr>
                            <w:r w:rsidRPr="00CD7359">
                              <w:rPr>
                                <w:color w:val="FFFFFF" w:themeColor="background1"/>
                                <w:sz w:val="24"/>
                                <w:szCs w:val="24"/>
                              </w:rPr>
                              <w:t>Na consolidação do orçamento os centavos serão demonstrados.</w:t>
                            </w:r>
                          </w:p>
                          <w:p w14:paraId="4BF91260" w14:textId="77777777" w:rsidR="00DA0C5F" w:rsidRDefault="00DA0C5F" w:rsidP="00100380">
                            <w:pPr>
                              <w:shd w:val="clear" w:color="auto" w:fill="ED7D31" w:themeFill="accen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6CFFD" id="Caixa de Texto 9" o:spid="_x0000_s1030" type="#_x0000_t202" style="position:absolute;left:0;text-align:left;margin-left:60.3pt;margin-top:4.7pt;width:418.5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" fillcolor="white [3212]" stroked="f" strokeweight="1pt">
                <v:shadow on="t" color="black" opacity="18350f" offset="-5.40094mm,4.37361mm"/>
                <v:textbox>
                  <w:txbxContent>
                    <w:p w14:paraId="3AEB702C" w14:textId="786DCEBE" w:rsidR="00DA0C5F" w:rsidRPr="00100380" w:rsidRDefault="00DA0C5F" w:rsidP="00100380">
                      <w:pPr>
                        <w:shd w:val="clear" w:color="auto" w:fill="ED7D31" w:themeFill="accent2"/>
                        <w:spacing w:after="0"/>
                        <w:jc w:val="center"/>
                        <w:rPr>
                          <w:b/>
                          <w:color w:val="FFFFFF" w:themeColor="background1"/>
                          <w:sz w:val="12"/>
                          <w:szCs w:val="12"/>
                        </w:rPr>
                      </w:pPr>
                    </w:p>
                    <w:p w14:paraId="7DC8560A" w14:textId="0547D1C1" w:rsidR="00DA0C5F" w:rsidRPr="00CD7359" w:rsidRDefault="00DA0C5F" w:rsidP="00CD7359">
                      <w:pPr>
                        <w:shd w:val="clear" w:color="auto" w:fill="ED7D31" w:themeFill="accent2"/>
                        <w:spacing w:after="0"/>
                        <w:jc w:val="center"/>
                        <w:rPr>
                          <w:b/>
                          <w:color w:val="FFFFFF" w:themeColor="background1"/>
                          <w:sz w:val="24"/>
                          <w:szCs w:val="24"/>
                        </w:rPr>
                      </w:pPr>
                      <w:r w:rsidRPr="00CD7359">
                        <w:rPr>
                          <w:b/>
                          <w:color w:val="FFFFFF" w:themeColor="background1"/>
                          <w:sz w:val="24"/>
                          <w:szCs w:val="24"/>
                        </w:rPr>
                        <w:t>PONTO DE ATENÇÃO:</w:t>
                      </w:r>
                    </w:p>
                    <w:p w14:paraId="7DC8560B" w14:textId="77777777" w:rsidR="00DA0C5F" w:rsidRPr="00CD7359" w:rsidRDefault="00DA0C5F" w:rsidP="00CD7359">
                      <w:pPr>
                        <w:shd w:val="clear" w:color="auto" w:fill="ED7D31" w:themeFill="accent2"/>
                        <w:jc w:val="center"/>
                        <w:rPr>
                          <w:color w:val="FFFFFF" w:themeColor="background1"/>
                          <w:sz w:val="24"/>
                          <w:szCs w:val="24"/>
                        </w:rPr>
                      </w:pPr>
                      <w:r w:rsidRPr="00CD7359">
                        <w:rPr>
                          <w:color w:val="FFFFFF" w:themeColor="background1"/>
                          <w:sz w:val="24"/>
                          <w:szCs w:val="24"/>
                        </w:rPr>
                        <w:t>Na consolidação do orçamento os centavos serão demonstrados.</w:t>
                      </w:r>
                    </w:p>
                    <w:p w14:paraId="4BF91260" w14:textId="77777777" w:rsidR="00DA0C5F" w:rsidRDefault="00DA0C5F" w:rsidP="00100380">
                      <w:pPr>
                        <w:shd w:val="clear" w:color="auto" w:fill="ED7D31" w:themeFill="accent2"/>
                      </w:pPr>
                    </w:p>
                  </w:txbxContent>
                </v:textbox>
              </v:shape>
            </w:pict>
          </mc:Fallback>
        </mc:AlternateContent>
      </w:r>
    </w:p>
    <w:p w14:paraId="08AE16FC" w14:textId="1228BDEC" w:rsidR="007C5B32" w:rsidRDefault="007C5B32" w:rsidP="00EC40BA">
      <w:pPr>
        <w:spacing w:line="360" w:lineRule="auto"/>
        <w:jc w:val="both"/>
        <w:rPr>
          <w:rFonts w:eastAsia="Arial Unicode MS" w:cs="Calibri"/>
          <w:b/>
          <w:sz w:val="24"/>
          <w:szCs w:val="24"/>
        </w:rPr>
      </w:pPr>
    </w:p>
    <w:p w14:paraId="3A424121" w14:textId="5586F2AB" w:rsidR="007C5B32" w:rsidRDefault="007C5B32" w:rsidP="00EC40BA">
      <w:pPr>
        <w:spacing w:line="360" w:lineRule="auto"/>
        <w:jc w:val="both"/>
        <w:rPr>
          <w:rFonts w:eastAsia="Arial Unicode MS" w:cs="Calibri"/>
          <w:b/>
          <w:sz w:val="24"/>
          <w:szCs w:val="24"/>
        </w:rPr>
      </w:pPr>
    </w:p>
    <w:p w14:paraId="35187977" w14:textId="77777777" w:rsidR="000E1C06" w:rsidRDefault="000E1C06" w:rsidP="00EC40BA">
      <w:pPr>
        <w:spacing w:line="360" w:lineRule="auto"/>
        <w:jc w:val="both"/>
        <w:rPr>
          <w:rFonts w:eastAsia="Arial Unicode MS" w:cs="Calibri"/>
          <w:b/>
          <w:sz w:val="24"/>
          <w:szCs w:val="24"/>
        </w:rPr>
      </w:pPr>
    </w:p>
    <w:p w14:paraId="36848C20" w14:textId="74720329" w:rsidR="00FF6EB7" w:rsidRDefault="00FF6EB7" w:rsidP="00EC40BA">
      <w:pPr>
        <w:spacing w:line="360" w:lineRule="auto"/>
        <w:jc w:val="both"/>
        <w:rPr>
          <w:rFonts w:eastAsia="Arial Unicode MS" w:cs="Calibri"/>
          <w:b/>
          <w:sz w:val="24"/>
          <w:szCs w:val="24"/>
        </w:rPr>
      </w:pPr>
    </w:p>
    <w:p w14:paraId="3FC851C4" w14:textId="02F5A466" w:rsidR="00EC40BA" w:rsidRDefault="00EC40BA" w:rsidP="00EC40BA">
      <w:pPr>
        <w:spacing w:line="360" w:lineRule="auto"/>
        <w:jc w:val="both"/>
        <w:rPr>
          <w:rFonts w:eastAsia="Arial Unicode MS" w:cs="Calibri"/>
          <w:b/>
          <w:sz w:val="24"/>
          <w:szCs w:val="24"/>
        </w:rPr>
      </w:pPr>
    </w:p>
    <w:p w14:paraId="24B08884" w14:textId="1E0AD728" w:rsidR="00EC40BA" w:rsidRDefault="00EC40BA" w:rsidP="00EC40BA">
      <w:pPr>
        <w:spacing w:line="360" w:lineRule="auto"/>
        <w:jc w:val="both"/>
        <w:rPr>
          <w:rFonts w:eastAsia="Arial Unicode MS" w:cs="Calibri"/>
          <w:b/>
          <w:sz w:val="24"/>
          <w:szCs w:val="24"/>
        </w:rPr>
      </w:pPr>
    </w:p>
    <w:p w14:paraId="20ECDA7F" w14:textId="3987001F" w:rsidR="00BB60DC" w:rsidRDefault="00BB60DC" w:rsidP="00EC40BA">
      <w:pPr>
        <w:spacing w:line="360" w:lineRule="auto"/>
        <w:jc w:val="both"/>
        <w:rPr>
          <w:rFonts w:eastAsia="Arial Unicode MS" w:cs="Calibri"/>
          <w:b/>
          <w:sz w:val="24"/>
          <w:szCs w:val="24"/>
        </w:rPr>
      </w:pPr>
    </w:p>
    <w:p w14:paraId="0B1C71C4" w14:textId="5D453123" w:rsidR="00BB60DC" w:rsidRDefault="00BB60DC" w:rsidP="00EC40BA">
      <w:pPr>
        <w:spacing w:line="360" w:lineRule="auto"/>
        <w:jc w:val="both"/>
        <w:rPr>
          <w:rFonts w:eastAsia="Arial Unicode MS" w:cs="Calibri"/>
          <w:b/>
          <w:sz w:val="24"/>
          <w:szCs w:val="24"/>
        </w:rPr>
      </w:pPr>
    </w:p>
    <w:p w14:paraId="427AE9C0" w14:textId="00664305" w:rsidR="00BB60DC" w:rsidRDefault="00BB60DC" w:rsidP="00EC40BA">
      <w:pPr>
        <w:spacing w:line="360" w:lineRule="auto"/>
        <w:jc w:val="both"/>
        <w:rPr>
          <w:rFonts w:eastAsia="Arial Unicode MS" w:cs="Calibri"/>
          <w:b/>
          <w:sz w:val="24"/>
          <w:szCs w:val="24"/>
        </w:rPr>
      </w:pPr>
    </w:p>
    <w:p w14:paraId="6E25C93E" w14:textId="3AA632BB" w:rsidR="00BB60DC" w:rsidRDefault="00BB60DC" w:rsidP="00EC40BA">
      <w:pPr>
        <w:spacing w:line="360" w:lineRule="auto"/>
        <w:jc w:val="both"/>
        <w:rPr>
          <w:rFonts w:eastAsia="Arial Unicode MS" w:cs="Calibri"/>
          <w:b/>
          <w:sz w:val="24"/>
          <w:szCs w:val="24"/>
        </w:rPr>
      </w:pPr>
    </w:p>
    <w:p w14:paraId="14F504AE" w14:textId="16C14B66" w:rsidR="00BB60DC" w:rsidRDefault="00BB60DC" w:rsidP="00EC40BA">
      <w:pPr>
        <w:spacing w:line="360" w:lineRule="auto"/>
        <w:jc w:val="both"/>
        <w:rPr>
          <w:rFonts w:eastAsia="Arial Unicode MS" w:cs="Calibri"/>
          <w:b/>
          <w:sz w:val="24"/>
          <w:szCs w:val="24"/>
        </w:rPr>
      </w:pPr>
    </w:p>
    <w:p w14:paraId="107646C6" w14:textId="2485CEAE" w:rsidR="00BB60DC" w:rsidRDefault="00BB60DC" w:rsidP="00EC40BA">
      <w:pPr>
        <w:spacing w:line="360" w:lineRule="auto"/>
        <w:jc w:val="both"/>
        <w:rPr>
          <w:rFonts w:eastAsia="Arial Unicode MS" w:cs="Calibri"/>
          <w:b/>
          <w:sz w:val="24"/>
          <w:szCs w:val="24"/>
        </w:rPr>
      </w:pPr>
    </w:p>
    <w:p w14:paraId="3C56BE41" w14:textId="77777777" w:rsidR="00BB60DC" w:rsidRPr="00EC40BA" w:rsidRDefault="00BB60DC" w:rsidP="00EC40BA">
      <w:pPr>
        <w:spacing w:line="360" w:lineRule="auto"/>
        <w:jc w:val="both"/>
        <w:rPr>
          <w:rFonts w:eastAsia="Arial Unicode MS" w:cs="Calibri"/>
          <w:b/>
          <w:sz w:val="24"/>
          <w:szCs w:val="24"/>
        </w:rPr>
      </w:pPr>
    </w:p>
    <w:p w14:paraId="44711EA5" w14:textId="77777777" w:rsidR="00130434" w:rsidRPr="008120D7" w:rsidRDefault="00EC40BA" w:rsidP="00AE1DB9">
      <w:pPr>
        <w:pStyle w:val="Ttulo4"/>
        <w:ind w:left="567"/>
        <w:jc w:val="center"/>
        <w:rPr>
          <w:rFonts w:eastAsia="Arial Unicode MS"/>
          <w:color w:val="741053"/>
        </w:rPr>
      </w:pPr>
      <w:r w:rsidRPr="008120D7">
        <w:rPr>
          <w:rFonts w:eastAsia="Arial Unicode MS"/>
          <w:color w:val="741053"/>
        </w:rPr>
        <w:t>ANEXO X – Anexos</w:t>
      </w:r>
      <w:r w:rsidR="00130434" w:rsidRPr="008120D7">
        <w:rPr>
          <w:rFonts w:eastAsia="Arial Unicode MS"/>
          <w:color w:val="741053"/>
        </w:rPr>
        <w:t xml:space="preserve"> Complementares</w:t>
      </w:r>
    </w:p>
    <w:p w14:paraId="06A411CE" w14:textId="5013F01D" w:rsidR="00EC40BA" w:rsidRDefault="00130434" w:rsidP="00130434">
      <w:pPr>
        <w:jc w:val="center"/>
      </w:pPr>
      <w:r>
        <w:t>(</w:t>
      </w:r>
      <w:r w:rsidR="009228DD" w:rsidRPr="00EC40BA">
        <w:t>Link</w:t>
      </w:r>
      <w:r w:rsidR="00B0131B">
        <w:t xml:space="preserve"> para o </w:t>
      </w:r>
      <w:r w:rsidR="00EC40BA" w:rsidRPr="00EC40BA">
        <w:t>Portal da Transparência</w:t>
      </w:r>
      <w:r>
        <w:t>)</w:t>
      </w:r>
    </w:p>
    <w:p w14:paraId="79A93E34" w14:textId="395FFC18" w:rsidR="00130434" w:rsidRDefault="00130434" w:rsidP="00130434"/>
    <w:p w14:paraId="47C1F197" w14:textId="2AD69F25" w:rsidR="00130434" w:rsidRPr="00130434" w:rsidRDefault="00130434" w:rsidP="00130434">
      <w:pPr>
        <w:sectPr w:rsidR="00130434" w:rsidRPr="00130434" w:rsidSect="00EB4369">
          <w:pgSz w:w="11906" w:h="16838"/>
          <w:pgMar w:top="1134" w:right="1134" w:bottom="1701" w:left="1134" w:header="709" w:footer="153" w:gutter="0"/>
          <w:cols w:space="708"/>
          <w:docGrid w:linePitch="360"/>
        </w:sectPr>
      </w:pPr>
    </w:p>
    <w:p w14:paraId="1FDA0609" w14:textId="3687E99F" w:rsidR="00EC40BA" w:rsidRPr="005B09F4" w:rsidRDefault="00EC40BA" w:rsidP="00FD39FC">
      <w:pPr>
        <w:pStyle w:val="Ttulo5"/>
        <w:jc w:val="left"/>
        <w:rPr>
          <w:rFonts w:eastAsia="Arial Unicode MS"/>
        </w:rPr>
      </w:pPr>
      <w:bookmarkStart w:id="127" w:name="_ANEXO_X_–_2"/>
      <w:bookmarkStart w:id="128" w:name="_Toc83716325"/>
      <w:bookmarkEnd w:id="127"/>
      <w:r w:rsidRPr="005B09F4">
        <w:rPr>
          <w:rFonts w:eastAsia="Arial Unicode MS"/>
        </w:rPr>
        <w:t xml:space="preserve">ANEXO </w:t>
      </w:r>
      <w:bookmarkStart w:id="129" w:name="_Hlk51510833"/>
      <w:r w:rsidRPr="005B09F4">
        <w:rPr>
          <w:rFonts w:eastAsia="Arial Unicode MS"/>
        </w:rPr>
        <w:t xml:space="preserve">X – Anexos </w:t>
      </w:r>
      <w:bookmarkEnd w:id="129"/>
      <w:r w:rsidR="001E7E80">
        <w:rPr>
          <w:rFonts w:eastAsia="Arial Unicode MS"/>
        </w:rPr>
        <w:t>dos Detal</w:t>
      </w:r>
      <w:r w:rsidR="001E6A05">
        <w:rPr>
          <w:rFonts w:eastAsia="Arial Unicode MS"/>
        </w:rPr>
        <w:t>h</w:t>
      </w:r>
      <w:r w:rsidR="001E7E80">
        <w:rPr>
          <w:rFonts w:eastAsia="Arial Unicode MS"/>
        </w:rPr>
        <w:t>ame</w:t>
      </w:r>
      <w:r w:rsidR="001E6A05">
        <w:rPr>
          <w:rFonts w:eastAsia="Arial Unicode MS"/>
        </w:rPr>
        <w:t>n</w:t>
      </w:r>
      <w:r w:rsidR="001E7E80">
        <w:rPr>
          <w:rFonts w:eastAsia="Arial Unicode MS"/>
        </w:rPr>
        <w:t xml:space="preserve">tos das </w:t>
      </w:r>
      <w:r w:rsidR="0083281A">
        <w:rPr>
          <w:rFonts w:eastAsia="Arial Unicode MS"/>
        </w:rPr>
        <w:t>Projeções da</w:t>
      </w:r>
      <w:r w:rsidR="00160AA6">
        <w:rPr>
          <w:rFonts w:eastAsia="Arial Unicode MS"/>
        </w:rPr>
        <w:t>s</w:t>
      </w:r>
      <w:r w:rsidR="0083281A">
        <w:rPr>
          <w:rFonts w:eastAsia="Arial Unicode MS"/>
        </w:rPr>
        <w:t xml:space="preserve"> Receita</w:t>
      </w:r>
      <w:r w:rsidR="00160AA6">
        <w:rPr>
          <w:rFonts w:eastAsia="Arial Unicode MS"/>
        </w:rPr>
        <w:t>s</w:t>
      </w:r>
      <w:r w:rsidR="0083281A">
        <w:rPr>
          <w:rFonts w:eastAsia="Arial Unicode MS"/>
        </w:rPr>
        <w:t xml:space="preserve"> do CAU</w:t>
      </w:r>
      <w:bookmarkEnd w:id="128"/>
    </w:p>
    <w:p w14:paraId="109340BD" w14:textId="77777777" w:rsidR="005B09F4" w:rsidRPr="005B09F4" w:rsidRDefault="005B09F4" w:rsidP="00CA3095">
      <w:pPr>
        <w:tabs>
          <w:tab w:val="right" w:leader="dot" w:pos="9071"/>
        </w:tabs>
        <w:spacing w:after="240" w:line="240" w:lineRule="auto"/>
        <w:jc w:val="both"/>
        <w:rPr>
          <w:b/>
          <w:sz w:val="21"/>
          <w:szCs w:val="21"/>
          <w:u w:val="single"/>
        </w:rPr>
      </w:pPr>
    </w:p>
    <w:bookmarkStart w:id="130" w:name="_Hlk51595868"/>
    <w:bookmarkStart w:id="131" w:name="_Hlk114403766"/>
    <w:p w14:paraId="0A2650A1" w14:textId="5DE7B6F3" w:rsidR="00EC40BA" w:rsidRPr="008263F4" w:rsidRDefault="008263F4">
      <w:pPr>
        <w:pStyle w:val="PargrafodaLista"/>
        <w:numPr>
          <w:ilvl w:val="0"/>
          <w:numId w:val="14"/>
        </w:numPr>
        <w:tabs>
          <w:tab w:val="right" w:leader="dot" w:pos="9071"/>
        </w:tabs>
        <w:spacing w:after="240" w:line="360" w:lineRule="auto"/>
        <w:ind w:left="567"/>
        <w:jc w:val="both"/>
        <w:rPr>
          <w:rStyle w:val="Hyperlink"/>
          <w:sz w:val="24"/>
          <w:szCs w:val="24"/>
        </w:rPr>
      </w:pPr>
      <w:r>
        <w:rPr>
          <w:color w:val="0070C0"/>
          <w:sz w:val="24"/>
          <w:szCs w:val="24"/>
          <w:u w:val="single"/>
        </w:rPr>
        <w:fldChar w:fldCharType="begin"/>
      </w:r>
      <w:r w:rsidR="00CD657E">
        <w:rPr>
          <w:color w:val="0070C0"/>
          <w:sz w:val="24"/>
          <w:szCs w:val="24"/>
          <w:u w:val="single"/>
        </w:rPr>
        <w:instrText>HYPERLINK "https://docs.google.com/spreadsheets/d/1y8y3OhKwTDJQZbTBfyBdALo93XsHNf-W/edit?usp=drive_link&amp;ouid=100695150145811951682&amp;rtpof=true&amp;sd=true"</w:instrText>
      </w:r>
      <w:r>
        <w:rPr>
          <w:color w:val="0070C0"/>
          <w:sz w:val="24"/>
          <w:szCs w:val="24"/>
          <w:u w:val="single"/>
        </w:rPr>
        <w:fldChar w:fldCharType="separate"/>
      </w:r>
      <w:r w:rsidR="00EC40BA" w:rsidRPr="008263F4">
        <w:rPr>
          <w:rStyle w:val="Hyperlink"/>
          <w:sz w:val="24"/>
          <w:szCs w:val="24"/>
        </w:rPr>
        <w:t xml:space="preserve">ANEXO X.I – </w:t>
      </w:r>
      <w:r w:rsidR="00F666D1" w:rsidRPr="008263F4">
        <w:rPr>
          <w:rStyle w:val="Hyperlink"/>
          <w:sz w:val="24"/>
          <w:szCs w:val="24"/>
        </w:rPr>
        <w:t xml:space="preserve">Detalhamento da </w:t>
      </w:r>
      <w:r w:rsidR="00EC40BA" w:rsidRPr="008263F4">
        <w:rPr>
          <w:rStyle w:val="Hyperlink"/>
          <w:sz w:val="24"/>
          <w:szCs w:val="24"/>
        </w:rPr>
        <w:t>Projeção da Receita Total do CAU – Exercício 202</w:t>
      </w:r>
      <w:r w:rsidR="00F80F5F">
        <w:rPr>
          <w:rStyle w:val="Hyperlink"/>
          <w:sz w:val="24"/>
          <w:szCs w:val="24"/>
        </w:rPr>
        <w:t>4</w:t>
      </w:r>
      <w:r w:rsidR="00EC40BA" w:rsidRPr="008263F4">
        <w:rPr>
          <w:rStyle w:val="Hyperlink"/>
          <w:sz w:val="24"/>
          <w:szCs w:val="24"/>
        </w:rPr>
        <w:t xml:space="preserve"> (100% e 80%)</w:t>
      </w:r>
      <w:r w:rsidR="0067724C" w:rsidRPr="008263F4">
        <w:rPr>
          <w:rStyle w:val="Hyperlink"/>
          <w:sz w:val="24"/>
          <w:szCs w:val="24"/>
        </w:rPr>
        <w:t>;</w:t>
      </w:r>
    </w:p>
    <w:p w14:paraId="7AEFDD4B" w14:textId="34D5E5EC" w:rsidR="00EC40BA" w:rsidRPr="0082297D" w:rsidRDefault="008263F4">
      <w:pPr>
        <w:pStyle w:val="PargrafodaLista"/>
        <w:numPr>
          <w:ilvl w:val="0"/>
          <w:numId w:val="14"/>
        </w:numPr>
        <w:tabs>
          <w:tab w:val="right" w:leader="dot" w:pos="9071"/>
        </w:tabs>
        <w:spacing w:after="240" w:line="360" w:lineRule="auto"/>
        <w:ind w:left="567"/>
        <w:jc w:val="both"/>
        <w:rPr>
          <w:rStyle w:val="Hyperlink"/>
          <w:b/>
          <w:i/>
          <w:iCs/>
          <w:sz w:val="24"/>
          <w:szCs w:val="24"/>
        </w:rPr>
      </w:pPr>
      <w:r>
        <w:rPr>
          <w:color w:val="0070C0"/>
          <w:sz w:val="24"/>
          <w:szCs w:val="24"/>
          <w:u w:val="single"/>
        </w:rPr>
        <w:fldChar w:fldCharType="end"/>
      </w:r>
      <w:r w:rsidR="0082297D">
        <w:rPr>
          <w:sz w:val="24"/>
          <w:szCs w:val="24"/>
        </w:rPr>
        <w:fldChar w:fldCharType="begin"/>
      </w:r>
      <w:r w:rsidR="00CD657E">
        <w:rPr>
          <w:sz w:val="24"/>
          <w:szCs w:val="24"/>
        </w:rPr>
        <w:instrText>HYPERLINK "https://docs.google.com/spreadsheets/d/1bJsMQbY8rxFGo13JBo6Ff_diTK0PV4XL/edit?usp=drive_link&amp;ouid=100695150145811951682&amp;rtpof=true&amp;sd=true"</w:instrText>
      </w:r>
      <w:r w:rsidR="0082297D">
        <w:rPr>
          <w:sz w:val="24"/>
          <w:szCs w:val="24"/>
        </w:rPr>
        <w:fldChar w:fldCharType="separate"/>
      </w:r>
      <w:r w:rsidR="00EC40BA" w:rsidRPr="0082297D">
        <w:rPr>
          <w:rStyle w:val="Hyperlink"/>
          <w:sz w:val="24"/>
          <w:szCs w:val="24"/>
        </w:rPr>
        <w:t xml:space="preserve">ANEXO X.II – </w:t>
      </w:r>
      <w:r w:rsidR="00F666D1" w:rsidRPr="0082297D">
        <w:rPr>
          <w:rStyle w:val="Hyperlink"/>
          <w:sz w:val="24"/>
          <w:szCs w:val="24"/>
        </w:rPr>
        <w:t xml:space="preserve">Detalhamento da </w:t>
      </w:r>
      <w:r w:rsidR="00EC40BA" w:rsidRPr="0082297D">
        <w:rPr>
          <w:rStyle w:val="Hyperlink"/>
          <w:sz w:val="24"/>
          <w:szCs w:val="24"/>
        </w:rPr>
        <w:t>Projeção do Quantitativo, Descontos e Valores – Pessoa Física – Exercício 202</w:t>
      </w:r>
      <w:r w:rsidR="00F80F5F">
        <w:rPr>
          <w:rStyle w:val="Hyperlink"/>
          <w:sz w:val="24"/>
          <w:szCs w:val="24"/>
        </w:rPr>
        <w:t>4</w:t>
      </w:r>
      <w:r w:rsidR="0067724C" w:rsidRPr="0082297D">
        <w:rPr>
          <w:rStyle w:val="Hyperlink"/>
          <w:sz w:val="24"/>
          <w:szCs w:val="24"/>
        </w:rPr>
        <w:t>;</w:t>
      </w:r>
    </w:p>
    <w:p w14:paraId="5F0977E9" w14:textId="5E652A61" w:rsidR="00EC40BA" w:rsidRPr="0067724C" w:rsidRDefault="0082297D">
      <w:pPr>
        <w:pStyle w:val="PargrafodaLista"/>
        <w:numPr>
          <w:ilvl w:val="0"/>
          <w:numId w:val="14"/>
        </w:numPr>
        <w:tabs>
          <w:tab w:val="right" w:leader="dot" w:pos="9071"/>
        </w:tabs>
        <w:spacing w:after="240" w:line="360" w:lineRule="auto"/>
        <w:ind w:left="567"/>
        <w:jc w:val="both"/>
        <w:rPr>
          <w:b/>
          <w:i/>
          <w:iCs/>
          <w:color w:val="0070C0"/>
          <w:sz w:val="24"/>
          <w:szCs w:val="24"/>
          <w:u w:val="single"/>
        </w:rPr>
      </w:pPr>
      <w:r>
        <w:rPr>
          <w:sz w:val="24"/>
          <w:szCs w:val="24"/>
        </w:rPr>
        <w:fldChar w:fldCharType="end"/>
      </w:r>
      <w:hyperlink r:id="rId40" w:history="1">
        <w:r w:rsidR="00EC40BA" w:rsidRPr="008263F4">
          <w:rPr>
            <w:rStyle w:val="Hyperlink"/>
            <w:sz w:val="24"/>
            <w:szCs w:val="24"/>
          </w:rPr>
          <w:t xml:space="preserve">ANEXO X.III – </w:t>
        </w:r>
        <w:r w:rsidR="00F666D1" w:rsidRPr="008263F4">
          <w:rPr>
            <w:rStyle w:val="Hyperlink"/>
            <w:sz w:val="24"/>
            <w:szCs w:val="24"/>
          </w:rPr>
          <w:t xml:space="preserve">Detalhamento da </w:t>
        </w:r>
        <w:r w:rsidR="00EC40BA" w:rsidRPr="008263F4">
          <w:rPr>
            <w:rStyle w:val="Hyperlink"/>
            <w:sz w:val="24"/>
            <w:szCs w:val="24"/>
          </w:rPr>
          <w:t>Projeção do</w:t>
        </w:r>
        <w:r w:rsidR="0067724C" w:rsidRPr="008263F4">
          <w:rPr>
            <w:rStyle w:val="Hyperlink"/>
            <w:sz w:val="24"/>
            <w:szCs w:val="24"/>
          </w:rPr>
          <w:t xml:space="preserve"> </w:t>
        </w:r>
        <w:r w:rsidR="002A3F71" w:rsidRPr="008263F4">
          <w:rPr>
            <w:rStyle w:val="Hyperlink"/>
            <w:sz w:val="24"/>
            <w:szCs w:val="24"/>
          </w:rPr>
          <w:t>Quantitativo,</w:t>
        </w:r>
        <w:r w:rsidR="0067724C" w:rsidRPr="008263F4">
          <w:rPr>
            <w:rStyle w:val="Hyperlink"/>
            <w:sz w:val="24"/>
            <w:szCs w:val="24"/>
          </w:rPr>
          <w:t xml:space="preserve"> </w:t>
        </w:r>
        <w:r w:rsidR="002A3F71" w:rsidRPr="008263F4">
          <w:rPr>
            <w:rStyle w:val="Hyperlink"/>
            <w:sz w:val="24"/>
            <w:szCs w:val="24"/>
          </w:rPr>
          <w:t>Descontos e Valores</w:t>
        </w:r>
        <w:r w:rsidR="00EC40BA" w:rsidRPr="008263F4">
          <w:rPr>
            <w:rStyle w:val="Hyperlink"/>
            <w:sz w:val="24"/>
            <w:szCs w:val="24"/>
          </w:rPr>
          <w:t xml:space="preserve"> – Pessoa Jurídica – Exercício 202</w:t>
        </w:r>
        <w:r w:rsidR="00F80F5F">
          <w:rPr>
            <w:rStyle w:val="Hyperlink"/>
            <w:sz w:val="24"/>
            <w:szCs w:val="24"/>
          </w:rPr>
          <w:t>4</w:t>
        </w:r>
        <w:r w:rsidR="0067724C" w:rsidRPr="008263F4">
          <w:rPr>
            <w:rStyle w:val="Hyperlink"/>
            <w:sz w:val="24"/>
            <w:szCs w:val="24"/>
          </w:rPr>
          <w:t>;</w:t>
        </w:r>
      </w:hyperlink>
    </w:p>
    <w:p w14:paraId="094A149E" w14:textId="18BD694F" w:rsidR="00EC40BA" w:rsidRPr="0067724C" w:rsidRDefault="00DA0C5F">
      <w:pPr>
        <w:pStyle w:val="PargrafodaLista"/>
        <w:numPr>
          <w:ilvl w:val="0"/>
          <w:numId w:val="14"/>
        </w:numPr>
        <w:tabs>
          <w:tab w:val="right" w:leader="dot" w:pos="9071"/>
        </w:tabs>
        <w:spacing w:after="240" w:line="360" w:lineRule="auto"/>
        <w:ind w:left="567"/>
        <w:jc w:val="both"/>
        <w:rPr>
          <w:b/>
          <w:i/>
          <w:iCs/>
          <w:color w:val="0070C0"/>
          <w:sz w:val="24"/>
          <w:szCs w:val="24"/>
          <w:u w:val="single"/>
        </w:rPr>
      </w:pPr>
      <w:hyperlink r:id="rId41" w:history="1">
        <w:r w:rsidR="00EC40BA" w:rsidRPr="008263F4">
          <w:rPr>
            <w:rStyle w:val="Hyperlink"/>
            <w:sz w:val="24"/>
            <w:szCs w:val="24"/>
          </w:rPr>
          <w:t xml:space="preserve">ANEXO X.IV – </w:t>
        </w:r>
        <w:r w:rsidR="00F666D1" w:rsidRPr="008263F4">
          <w:rPr>
            <w:rStyle w:val="Hyperlink"/>
            <w:sz w:val="24"/>
            <w:szCs w:val="24"/>
          </w:rPr>
          <w:t xml:space="preserve">Detalhamento da </w:t>
        </w:r>
        <w:r w:rsidR="00EC40BA" w:rsidRPr="008263F4">
          <w:rPr>
            <w:rStyle w:val="Hyperlink"/>
            <w:sz w:val="24"/>
            <w:szCs w:val="24"/>
          </w:rPr>
          <w:t>Projeção da Receita de RRT – Reprogramação 202</w:t>
        </w:r>
        <w:r w:rsidR="00F80F5F">
          <w:rPr>
            <w:rStyle w:val="Hyperlink"/>
            <w:sz w:val="24"/>
            <w:szCs w:val="24"/>
          </w:rPr>
          <w:t>3</w:t>
        </w:r>
        <w:r w:rsidR="00EC40BA" w:rsidRPr="008263F4">
          <w:rPr>
            <w:rStyle w:val="Hyperlink"/>
            <w:sz w:val="24"/>
            <w:szCs w:val="24"/>
          </w:rPr>
          <w:t xml:space="preserve"> x Programação 202</w:t>
        </w:r>
        <w:r w:rsidR="00F80F5F">
          <w:rPr>
            <w:rStyle w:val="Hyperlink"/>
            <w:sz w:val="24"/>
            <w:szCs w:val="24"/>
          </w:rPr>
          <w:t>4</w:t>
        </w:r>
        <w:r w:rsidR="0067724C" w:rsidRPr="008263F4">
          <w:rPr>
            <w:rStyle w:val="Hyperlink"/>
            <w:sz w:val="24"/>
            <w:szCs w:val="24"/>
          </w:rPr>
          <w:t>;</w:t>
        </w:r>
      </w:hyperlink>
    </w:p>
    <w:p w14:paraId="7A05A53F" w14:textId="3A4CBB6F" w:rsidR="00EC40BA" w:rsidRPr="00145A61" w:rsidRDefault="00145A61">
      <w:pPr>
        <w:pStyle w:val="PargrafodaLista"/>
        <w:numPr>
          <w:ilvl w:val="0"/>
          <w:numId w:val="14"/>
        </w:numPr>
        <w:tabs>
          <w:tab w:val="right" w:leader="dot" w:pos="9071"/>
        </w:tabs>
        <w:spacing w:after="240" w:line="360" w:lineRule="auto"/>
        <w:ind w:left="567"/>
        <w:jc w:val="both"/>
        <w:rPr>
          <w:rStyle w:val="Hyperlink"/>
          <w:b/>
          <w:i/>
          <w:iCs/>
          <w:sz w:val="24"/>
          <w:szCs w:val="24"/>
        </w:rPr>
      </w:pPr>
      <w:r>
        <w:rPr>
          <w:sz w:val="24"/>
          <w:szCs w:val="24"/>
        </w:rPr>
        <w:fldChar w:fldCharType="begin"/>
      </w:r>
      <w:r w:rsidR="00CD657E">
        <w:rPr>
          <w:sz w:val="24"/>
          <w:szCs w:val="24"/>
        </w:rPr>
        <w:instrText>HYPERLINK "https://docs.google.com/spreadsheets/d/1xPiN15Ir7C8ikWBzI04zc-v3kQ55O01r/edit?usp=drive_link&amp;ouid=100695150145811951682&amp;rtpof=true&amp;sd=true"</w:instrText>
      </w:r>
      <w:r>
        <w:rPr>
          <w:sz w:val="24"/>
          <w:szCs w:val="24"/>
        </w:rPr>
        <w:fldChar w:fldCharType="separate"/>
      </w:r>
      <w:r w:rsidR="00EC40BA" w:rsidRPr="00145A61">
        <w:rPr>
          <w:rStyle w:val="Hyperlink"/>
          <w:sz w:val="24"/>
          <w:szCs w:val="24"/>
        </w:rPr>
        <w:t xml:space="preserve">ANEXO X.V – </w:t>
      </w:r>
      <w:r w:rsidR="00F666D1" w:rsidRPr="00145A61">
        <w:rPr>
          <w:rStyle w:val="Hyperlink"/>
          <w:sz w:val="24"/>
          <w:szCs w:val="24"/>
        </w:rPr>
        <w:t xml:space="preserve">Detalhamento da </w:t>
      </w:r>
      <w:r w:rsidR="00EC40BA" w:rsidRPr="00145A61">
        <w:rPr>
          <w:rStyle w:val="Hyperlink"/>
          <w:sz w:val="24"/>
          <w:szCs w:val="24"/>
        </w:rPr>
        <w:t>Projeção da Receita de Taxas e Multas do CAU – Exercício 202</w:t>
      </w:r>
      <w:r w:rsidR="00F80F5F">
        <w:rPr>
          <w:rStyle w:val="Hyperlink"/>
          <w:sz w:val="24"/>
          <w:szCs w:val="24"/>
        </w:rPr>
        <w:t>4</w:t>
      </w:r>
      <w:r w:rsidR="0067724C" w:rsidRPr="00145A61">
        <w:rPr>
          <w:rStyle w:val="Hyperlink"/>
          <w:sz w:val="24"/>
          <w:szCs w:val="24"/>
        </w:rPr>
        <w:t>;</w:t>
      </w:r>
    </w:p>
    <w:bookmarkEnd w:id="130"/>
    <w:p w14:paraId="0644FE3C" w14:textId="3ABC7E7B" w:rsidR="00EC40BA" w:rsidRDefault="00145A61" w:rsidP="00CA3095">
      <w:pPr>
        <w:pStyle w:val="PargrafodaLista"/>
        <w:spacing w:line="360" w:lineRule="auto"/>
        <w:ind w:left="426"/>
        <w:jc w:val="both"/>
        <w:rPr>
          <w:sz w:val="24"/>
          <w:szCs w:val="24"/>
        </w:rPr>
      </w:pPr>
      <w:r>
        <w:rPr>
          <w:sz w:val="24"/>
          <w:szCs w:val="24"/>
        </w:rPr>
        <w:fldChar w:fldCharType="end"/>
      </w:r>
      <w:bookmarkEnd w:id="131"/>
    </w:p>
    <w:p w14:paraId="2F8788ED" w14:textId="0D8E626D" w:rsidR="00EC48BC" w:rsidRPr="00AE5A48" w:rsidRDefault="00EC48BC" w:rsidP="00AE5A48">
      <w:pPr>
        <w:spacing w:line="360" w:lineRule="auto"/>
        <w:jc w:val="both"/>
        <w:rPr>
          <w:color w:val="FF0000"/>
          <w:sz w:val="24"/>
          <w:szCs w:val="24"/>
        </w:rPr>
      </w:pPr>
    </w:p>
    <w:p w14:paraId="6C737E47" w14:textId="00C7F499" w:rsidR="00EC48BC" w:rsidRDefault="00EC48BC" w:rsidP="00CA3095">
      <w:pPr>
        <w:pStyle w:val="PargrafodaLista"/>
        <w:spacing w:line="360" w:lineRule="auto"/>
        <w:ind w:left="426"/>
        <w:jc w:val="both"/>
        <w:rPr>
          <w:color w:val="FF0000"/>
          <w:sz w:val="24"/>
          <w:szCs w:val="24"/>
        </w:rPr>
      </w:pPr>
    </w:p>
    <w:p w14:paraId="527453D2" w14:textId="11FF5565" w:rsidR="00EC48BC" w:rsidRPr="00C56F4D" w:rsidRDefault="00EC48BC" w:rsidP="00CA3095">
      <w:pPr>
        <w:pStyle w:val="PargrafodaLista"/>
        <w:spacing w:line="360" w:lineRule="auto"/>
        <w:ind w:left="426"/>
        <w:jc w:val="both"/>
        <w:rPr>
          <w:rFonts w:eastAsia="Arial Unicode MS" w:cs="Calibri"/>
          <w:b/>
          <w:color w:val="FF0000"/>
          <w:sz w:val="24"/>
          <w:szCs w:val="24"/>
        </w:rPr>
      </w:pPr>
    </w:p>
    <w:sectPr w:rsidR="00EC48BC" w:rsidRPr="00C56F4D" w:rsidSect="00EB4369">
      <w:pgSz w:w="11906" w:h="16838"/>
      <w:pgMar w:top="1134" w:right="1134" w:bottom="1701" w:left="1134" w:header="709"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D612C" w14:textId="77777777" w:rsidR="00DA0C5F" w:rsidRDefault="00DA0C5F" w:rsidP="002B5E6E">
      <w:pPr>
        <w:spacing w:after="0" w:line="240" w:lineRule="auto"/>
      </w:pPr>
      <w:r>
        <w:separator/>
      </w:r>
    </w:p>
  </w:endnote>
  <w:endnote w:type="continuationSeparator" w:id="0">
    <w:p w14:paraId="33D2DA0E" w14:textId="77777777" w:rsidR="00DA0C5F" w:rsidRDefault="00DA0C5F" w:rsidP="002B5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436261"/>
      <w:docPartObj>
        <w:docPartGallery w:val="Page Numbers (Bottom of Page)"/>
        <w:docPartUnique/>
      </w:docPartObj>
    </w:sdtPr>
    <w:sdtContent>
      <w:p w14:paraId="4E6C29D6" w14:textId="3C32B7FF" w:rsidR="00DA0C5F" w:rsidRDefault="00DA0C5F">
        <w:pPr>
          <w:pStyle w:val="Rodap"/>
          <w:jc w:val="center"/>
        </w:pPr>
        <w:r>
          <w:rPr>
            <w:noProof/>
          </w:rPr>
          <mc:AlternateContent>
            <mc:Choice Requires="wps">
              <w:drawing>
                <wp:inline distT="0" distB="0" distL="0" distR="0" wp14:anchorId="04F86F56" wp14:editId="385551DF">
                  <wp:extent cx="5467350" cy="54610"/>
                  <wp:effectExtent l="6985" t="15240" r="12065" b="15875"/>
                  <wp:docPr id="7" name="Fluxograma: Decisão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726F5D" id="_x0000_t110" coordsize="21600,21600" o:spt="110" path="m10800,l,10800,10800,21600,21600,10800xe">
                  <v:stroke joinstyle="miter"/>
                  <v:path gradientshapeok="t" o:connecttype="rect" textboxrect="5400,5400,16200,16200"/>
                </v:shapetype>
                <v:shape id="Fluxograma: Decisão 26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" fillcolor="#bfbfbf [2412]" strokecolor="#bfbfbf [2412]">
                  <w10:anchorlock/>
                </v:shape>
              </w:pict>
            </mc:Fallback>
          </mc:AlternateContent>
        </w:r>
      </w:p>
      <w:p w14:paraId="268DC724" w14:textId="514C4D92" w:rsidR="00DA0C5F" w:rsidRPr="00693EF7" w:rsidRDefault="00DA0C5F" w:rsidP="00BF23F9">
        <w:pPr>
          <w:pStyle w:val="Rodap"/>
          <w:jc w:val="center"/>
        </w:pPr>
        <w:r w:rsidRPr="00693EF7">
          <w:fldChar w:fldCharType="begin"/>
        </w:r>
        <w:r w:rsidRPr="00693EF7">
          <w:instrText>PAGE    \* MERGEFORMAT</w:instrText>
        </w:r>
        <w:r w:rsidRPr="00693EF7">
          <w:fldChar w:fldCharType="separate"/>
        </w:r>
        <w:r w:rsidR="002537E7">
          <w:rPr>
            <w:noProof/>
          </w:rPr>
          <w:t>22</w:t>
        </w:r>
        <w:r w:rsidRPr="00693EF7">
          <w:fldChar w:fldCharType="end"/>
        </w:r>
        <w:r w:rsidRPr="00693EF7">
          <w:t>/</w:t>
        </w:r>
        <w:r>
          <w:t>84</w:t>
        </w:r>
      </w:p>
    </w:sdtContent>
  </w:sdt>
  <w:p w14:paraId="161464C6" w14:textId="77777777" w:rsidR="00DA0C5F" w:rsidRDefault="00DA0C5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444148"/>
      <w:docPartObj>
        <w:docPartGallery w:val="Page Numbers (Bottom of Page)"/>
        <w:docPartUnique/>
      </w:docPartObj>
    </w:sdtPr>
    <w:sdtContent>
      <w:p w14:paraId="297F221D" w14:textId="49BDC243" w:rsidR="00DA0C5F" w:rsidRDefault="00DA0C5F">
        <w:pPr>
          <w:pStyle w:val="Rodap"/>
          <w:jc w:val="center"/>
        </w:pPr>
        <w:r>
          <w:rPr>
            <w:noProof/>
          </w:rPr>
          <mc:AlternateContent>
            <mc:Choice Requires="wps">
              <w:drawing>
                <wp:inline distT="0" distB="0" distL="0" distR="0" wp14:anchorId="16C2A26F" wp14:editId="684C1490">
                  <wp:extent cx="5467350" cy="54610"/>
                  <wp:effectExtent l="9525" t="19050" r="9525" b="12065"/>
                  <wp:docPr id="1" name="Fluxograma: Decisão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C42F01" id="_x0000_t110" coordsize="21600,21600" o:spt="110" path="m10800,l,10800,10800,21600,21600,10800xe">
                  <v:stroke joinstyle="miter"/>
                  <v:path gradientshapeok="t" o:connecttype="rect" textboxrect="5400,5400,16200,16200"/>
                </v:shapetype>
                <v:shape id="Fluxograma: Decisão 259"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0D4C6C29" w14:textId="5B5FFB34" w:rsidR="00DA0C5F" w:rsidRDefault="00DA0C5F">
        <w:pPr>
          <w:pStyle w:val="Rodap"/>
          <w:jc w:val="center"/>
        </w:pPr>
        <w:r>
          <w:fldChar w:fldCharType="begin"/>
        </w:r>
        <w:r>
          <w:instrText>PAGE    \* MERGEFORMAT</w:instrText>
        </w:r>
        <w:r>
          <w:fldChar w:fldCharType="separate"/>
        </w:r>
        <w:r>
          <w:t>2</w:t>
        </w:r>
        <w:r>
          <w:fldChar w:fldCharType="end"/>
        </w:r>
      </w:p>
    </w:sdtContent>
  </w:sdt>
  <w:p w14:paraId="46A78977" w14:textId="77777777" w:rsidR="00DA0C5F" w:rsidRDefault="00DA0C5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2ED90" w14:textId="77777777" w:rsidR="00DA0C5F" w:rsidRDefault="00DA0C5F" w:rsidP="002B5E6E">
      <w:pPr>
        <w:spacing w:after="0" w:line="240" w:lineRule="auto"/>
      </w:pPr>
      <w:r>
        <w:separator/>
      </w:r>
    </w:p>
  </w:footnote>
  <w:footnote w:type="continuationSeparator" w:id="0">
    <w:p w14:paraId="583405C4" w14:textId="77777777" w:rsidR="00DA0C5F" w:rsidRDefault="00DA0C5F" w:rsidP="002B5E6E">
      <w:pPr>
        <w:spacing w:after="0" w:line="240" w:lineRule="auto"/>
      </w:pPr>
      <w:r>
        <w:continuationSeparator/>
      </w:r>
    </w:p>
  </w:footnote>
  <w:footnote w:id="1">
    <w:p w14:paraId="070739E0" w14:textId="6C3831FB" w:rsidR="00DA0C5F" w:rsidRPr="001E6CF7" w:rsidRDefault="00DA0C5F" w:rsidP="001E6CF7">
      <w:pPr>
        <w:spacing w:line="360" w:lineRule="auto"/>
        <w:ind w:firstLine="851"/>
        <w:jc w:val="both"/>
        <w:rPr>
          <w:sz w:val="16"/>
          <w:szCs w:val="16"/>
        </w:rPr>
      </w:pPr>
      <w:r>
        <w:rPr>
          <w:rStyle w:val="Refdenotaderodap"/>
        </w:rPr>
        <w:footnoteRef/>
      </w:r>
      <w:r>
        <w:t xml:space="preserve"> </w:t>
      </w:r>
      <w:r w:rsidRPr="001E6CF7">
        <w:rPr>
          <w:rFonts w:ascii="Segoe UI" w:hAnsi="Segoe UI" w:cs="Segoe UI"/>
          <w:color w:val="242424"/>
          <w:sz w:val="24"/>
          <w:szCs w:val="24"/>
          <w:shd w:val="clear" w:color="auto" w:fill="FFFFFF"/>
        </w:rPr>
        <w:t xml:space="preserve"> </w:t>
      </w:r>
      <w:r w:rsidRPr="001E6CF7">
        <w:rPr>
          <w:sz w:val="16"/>
          <w:szCs w:val="16"/>
        </w:rPr>
        <w:t xml:space="preserve">§ 1º Os valores das anuidades serão reajustados de acordo com a variação integral do Índice Nacional de Preços ao Consumidor - INPC, calculado pela Fundação Instituto Brasileiro de Geografia e Estatística - IBGE, nos termos de ato do CAU/BR.  </w:t>
      </w:r>
    </w:p>
    <w:p w14:paraId="7594B08B" w14:textId="3B44058A" w:rsidR="00DA0C5F" w:rsidRDefault="00DA0C5F">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855E8" w14:textId="57C18B16" w:rsidR="00DA0C5F" w:rsidRDefault="00DA0C5F" w:rsidP="00EA71B5">
    <w:pPr>
      <w:pStyle w:val="Cabealho"/>
      <w:tabs>
        <w:tab w:val="clear" w:pos="4252"/>
        <w:tab w:val="clear" w:pos="8504"/>
        <w:tab w:val="left" w:pos="5535"/>
      </w:tabs>
    </w:pPr>
    <w:r>
      <w:rPr>
        <w:noProof/>
        <w:lang w:eastAsia="pt-BR"/>
      </w:rPr>
      <w:drawing>
        <wp:anchor distT="0" distB="0" distL="114300" distR="114300" simplePos="0" relativeHeight="251657216" behindDoc="1" locked="0" layoutInCell="1" allowOverlap="1" wp14:anchorId="7DC855EF" wp14:editId="7DC855F0">
          <wp:simplePos x="0" y="0"/>
          <wp:positionH relativeFrom="column">
            <wp:posOffset>-1084391</wp:posOffset>
          </wp:positionH>
          <wp:positionV relativeFrom="paragraph">
            <wp:posOffset>-471198</wp:posOffset>
          </wp:positionV>
          <wp:extent cx="7562215" cy="956945"/>
          <wp:effectExtent l="0" t="0" r="635" b="0"/>
          <wp:wrapNone/>
          <wp:docPr id="45" name="Imagem 45"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6221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855E9" w14:textId="77777777" w:rsidR="00DA0C5F" w:rsidRDefault="00DA0C5F" w:rsidP="00A524B7">
    <w:pPr>
      <w:pStyle w:val="Cabealho"/>
      <w:tabs>
        <w:tab w:val="clear" w:pos="4252"/>
        <w:tab w:val="clear" w:pos="8504"/>
        <w:tab w:val="left" w:pos="5528"/>
      </w:tabs>
    </w:pPr>
    <w:r>
      <w:tab/>
    </w:r>
  </w:p>
  <w:p w14:paraId="7DC855EA" w14:textId="77777777" w:rsidR="00DA0C5F" w:rsidRDefault="00DA0C5F" w:rsidP="00F571E9">
    <w:pPr>
      <w:tabs>
        <w:tab w:val="left" w:pos="804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855EE" w14:textId="77777777" w:rsidR="00DA0C5F" w:rsidRDefault="00DA0C5F">
    <w:pPr>
      <w:pStyle w:val="Cabealho"/>
    </w:pPr>
    <w:r>
      <w:rPr>
        <w:noProof/>
        <w:lang w:eastAsia="pt-BR"/>
      </w:rPr>
      <w:drawing>
        <wp:inline distT="0" distB="0" distL="0" distR="0" wp14:anchorId="7DC855F3" wp14:editId="7DC855F4">
          <wp:extent cx="3343275" cy="343319"/>
          <wp:effectExtent l="0" t="0" r="0" b="0"/>
          <wp:docPr id="47" name="Imagem 1" desc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001.jpg"/>
                  <pic:cNvPicPr>
                    <a:picLocks noChangeAspect="1" noChangeArrowheads="1"/>
                  </pic:cNvPicPr>
                </pic:nvPicPr>
                <pic:blipFill>
                  <a:blip r:embed="rId1"/>
                  <a:srcRect/>
                  <a:stretch>
                    <a:fillRect/>
                  </a:stretch>
                </pic:blipFill>
                <pic:spPr bwMode="auto">
                  <a:xfrm>
                    <a:off x="0" y="0"/>
                    <a:ext cx="3762057" cy="38632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878D5"/>
    <w:multiLevelType w:val="hybridMultilevel"/>
    <w:tmpl w:val="9782C128"/>
    <w:lvl w:ilvl="0" w:tplc="04160001">
      <w:start w:val="1"/>
      <w:numFmt w:val="bullet"/>
      <w:lvlText w:val=""/>
      <w:lvlJc w:val="left"/>
      <w:pPr>
        <w:ind w:left="1352" w:hanging="360"/>
      </w:pPr>
      <w:rPr>
        <w:rFonts w:ascii="Symbol" w:hAnsi="Symbol" w:hint="default"/>
      </w:rPr>
    </w:lvl>
    <w:lvl w:ilvl="1" w:tplc="04160003">
      <w:start w:val="1"/>
      <w:numFmt w:val="bullet"/>
      <w:lvlText w:val="o"/>
      <w:lvlJc w:val="left"/>
      <w:pPr>
        <w:ind w:left="2072" w:hanging="360"/>
      </w:pPr>
      <w:rPr>
        <w:rFonts w:ascii="Courier New" w:hAnsi="Courier New" w:cs="Courier New" w:hint="default"/>
      </w:rPr>
    </w:lvl>
    <w:lvl w:ilvl="2" w:tplc="04160005" w:tentative="1">
      <w:start w:val="1"/>
      <w:numFmt w:val="bullet"/>
      <w:lvlText w:val=""/>
      <w:lvlJc w:val="left"/>
      <w:pPr>
        <w:ind w:left="2792" w:hanging="360"/>
      </w:pPr>
      <w:rPr>
        <w:rFonts w:ascii="Wingdings" w:hAnsi="Wingdings" w:hint="default"/>
      </w:rPr>
    </w:lvl>
    <w:lvl w:ilvl="3" w:tplc="04160001" w:tentative="1">
      <w:start w:val="1"/>
      <w:numFmt w:val="bullet"/>
      <w:lvlText w:val=""/>
      <w:lvlJc w:val="left"/>
      <w:pPr>
        <w:ind w:left="3512" w:hanging="360"/>
      </w:pPr>
      <w:rPr>
        <w:rFonts w:ascii="Symbol" w:hAnsi="Symbol" w:hint="default"/>
      </w:rPr>
    </w:lvl>
    <w:lvl w:ilvl="4" w:tplc="04160003" w:tentative="1">
      <w:start w:val="1"/>
      <w:numFmt w:val="bullet"/>
      <w:lvlText w:val="o"/>
      <w:lvlJc w:val="left"/>
      <w:pPr>
        <w:ind w:left="4232" w:hanging="360"/>
      </w:pPr>
      <w:rPr>
        <w:rFonts w:ascii="Courier New" w:hAnsi="Courier New" w:cs="Courier New" w:hint="default"/>
      </w:rPr>
    </w:lvl>
    <w:lvl w:ilvl="5" w:tplc="04160005" w:tentative="1">
      <w:start w:val="1"/>
      <w:numFmt w:val="bullet"/>
      <w:lvlText w:val=""/>
      <w:lvlJc w:val="left"/>
      <w:pPr>
        <w:ind w:left="4952" w:hanging="360"/>
      </w:pPr>
      <w:rPr>
        <w:rFonts w:ascii="Wingdings" w:hAnsi="Wingdings" w:hint="default"/>
      </w:rPr>
    </w:lvl>
    <w:lvl w:ilvl="6" w:tplc="04160001" w:tentative="1">
      <w:start w:val="1"/>
      <w:numFmt w:val="bullet"/>
      <w:lvlText w:val=""/>
      <w:lvlJc w:val="left"/>
      <w:pPr>
        <w:ind w:left="5672" w:hanging="360"/>
      </w:pPr>
      <w:rPr>
        <w:rFonts w:ascii="Symbol" w:hAnsi="Symbol" w:hint="default"/>
      </w:rPr>
    </w:lvl>
    <w:lvl w:ilvl="7" w:tplc="04160003" w:tentative="1">
      <w:start w:val="1"/>
      <w:numFmt w:val="bullet"/>
      <w:lvlText w:val="o"/>
      <w:lvlJc w:val="left"/>
      <w:pPr>
        <w:ind w:left="6392" w:hanging="360"/>
      </w:pPr>
      <w:rPr>
        <w:rFonts w:ascii="Courier New" w:hAnsi="Courier New" w:cs="Courier New" w:hint="default"/>
      </w:rPr>
    </w:lvl>
    <w:lvl w:ilvl="8" w:tplc="04160005" w:tentative="1">
      <w:start w:val="1"/>
      <w:numFmt w:val="bullet"/>
      <w:lvlText w:val=""/>
      <w:lvlJc w:val="left"/>
      <w:pPr>
        <w:ind w:left="7112" w:hanging="360"/>
      </w:pPr>
      <w:rPr>
        <w:rFonts w:ascii="Wingdings" w:hAnsi="Wingdings" w:hint="default"/>
      </w:rPr>
    </w:lvl>
  </w:abstractNum>
  <w:abstractNum w:abstractNumId="1" w15:restartNumberingAfterBreak="0">
    <w:nsid w:val="06B44DF0"/>
    <w:multiLevelType w:val="hybridMultilevel"/>
    <w:tmpl w:val="5E10E076"/>
    <w:lvl w:ilvl="0" w:tplc="04160001">
      <w:start w:val="1"/>
      <w:numFmt w:val="bullet"/>
      <w:lvlText w:val=""/>
      <w:lvlJc w:val="left"/>
      <w:pPr>
        <w:ind w:left="1712" w:hanging="360"/>
      </w:pPr>
      <w:rPr>
        <w:rFonts w:ascii="Symbol" w:hAnsi="Symbo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2" w15:restartNumberingAfterBreak="0">
    <w:nsid w:val="07155387"/>
    <w:multiLevelType w:val="hybridMultilevel"/>
    <w:tmpl w:val="509CD82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B950FDE"/>
    <w:multiLevelType w:val="hybridMultilevel"/>
    <w:tmpl w:val="7EE4611C"/>
    <w:lvl w:ilvl="0" w:tplc="F6BC239A">
      <w:start w:val="1"/>
      <w:numFmt w:val="lowerLetter"/>
      <w:lvlText w:val="%1."/>
      <w:lvlJc w:val="left"/>
      <w:pPr>
        <w:ind w:left="2061" w:hanging="360"/>
      </w:pPr>
      <w:rPr>
        <w:rFonts w:ascii="Calibri" w:eastAsiaTheme="minorEastAsia" w:hAnsi="Calibri" w:cs="Calibri" w:hint="default"/>
        <w:b/>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910FA5"/>
    <w:multiLevelType w:val="hybridMultilevel"/>
    <w:tmpl w:val="9230E318"/>
    <w:lvl w:ilvl="0" w:tplc="04160013">
      <w:start w:val="1"/>
      <w:numFmt w:val="upperRoman"/>
      <w:lvlText w:val="%1."/>
      <w:lvlJc w:val="right"/>
      <w:pPr>
        <w:ind w:left="1571" w:hanging="360"/>
      </w:pPr>
    </w:lvl>
    <w:lvl w:ilvl="1" w:tplc="A852EC00">
      <w:numFmt w:val="bullet"/>
      <w:lvlText w:val="•"/>
      <w:lvlJc w:val="left"/>
      <w:pPr>
        <w:ind w:left="2291" w:hanging="360"/>
      </w:pPr>
      <w:rPr>
        <w:rFonts w:ascii="Calibri" w:eastAsia="Arial Unicode MS" w:hAnsi="Calibri" w:cs="Calibri" w:hint="default"/>
      </w:r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5" w15:restartNumberingAfterBreak="0">
    <w:nsid w:val="0F76663F"/>
    <w:multiLevelType w:val="hybridMultilevel"/>
    <w:tmpl w:val="D398FECA"/>
    <w:lvl w:ilvl="0" w:tplc="04160013">
      <w:start w:val="1"/>
      <w:numFmt w:val="upperRoman"/>
      <w:lvlText w:val="%1."/>
      <w:lvlJc w:val="right"/>
      <w:pPr>
        <w:ind w:left="1571" w:hanging="360"/>
      </w:pPr>
    </w:lvl>
    <w:lvl w:ilvl="1" w:tplc="04160019">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6" w15:restartNumberingAfterBreak="0">
    <w:nsid w:val="13A264DD"/>
    <w:multiLevelType w:val="hybridMultilevel"/>
    <w:tmpl w:val="75C8F3F0"/>
    <w:lvl w:ilvl="0" w:tplc="0416001B">
      <w:start w:val="1"/>
      <w:numFmt w:val="low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179D1535"/>
    <w:multiLevelType w:val="hybridMultilevel"/>
    <w:tmpl w:val="47F617A4"/>
    <w:lvl w:ilvl="0" w:tplc="3996B6D0">
      <w:start w:val="1"/>
      <w:numFmt w:val="lowerLetter"/>
      <w:lvlText w:val="%1."/>
      <w:lvlJc w:val="left"/>
      <w:pPr>
        <w:ind w:left="2138" w:hanging="360"/>
      </w:pPr>
      <w:rPr>
        <w:b/>
        <w:bCs/>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8" w15:restartNumberingAfterBreak="0">
    <w:nsid w:val="1D824551"/>
    <w:multiLevelType w:val="hybridMultilevel"/>
    <w:tmpl w:val="DF9E5972"/>
    <w:lvl w:ilvl="0" w:tplc="988CA476">
      <w:start w:val="1"/>
      <w:numFmt w:val="decimal"/>
      <w:lvlText w:val="%1."/>
      <w:lvlJc w:val="left"/>
      <w:pPr>
        <w:ind w:left="2487" w:hanging="360"/>
      </w:pPr>
      <w:rPr>
        <w:rFonts w:hint="default"/>
      </w:rPr>
    </w:lvl>
    <w:lvl w:ilvl="1" w:tplc="04160019" w:tentative="1">
      <w:start w:val="1"/>
      <w:numFmt w:val="lowerLetter"/>
      <w:lvlText w:val="%2."/>
      <w:lvlJc w:val="left"/>
      <w:pPr>
        <w:ind w:left="3207" w:hanging="360"/>
      </w:pPr>
    </w:lvl>
    <w:lvl w:ilvl="2" w:tplc="0416001B" w:tentative="1">
      <w:start w:val="1"/>
      <w:numFmt w:val="lowerRoman"/>
      <w:lvlText w:val="%3."/>
      <w:lvlJc w:val="right"/>
      <w:pPr>
        <w:ind w:left="3927" w:hanging="180"/>
      </w:pPr>
    </w:lvl>
    <w:lvl w:ilvl="3" w:tplc="0416000F" w:tentative="1">
      <w:start w:val="1"/>
      <w:numFmt w:val="decimal"/>
      <w:lvlText w:val="%4."/>
      <w:lvlJc w:val="left"/>
      <w:pPr>
        <w:ind w:left="4647" w:hanging="360"/>
      </w:pPr>
    </w:lvl>
    <w:lvl w:ilvl="4" w:tplc="04160019" w:tentative="1">
      <w:start w:val="1"/>
      <w:numFmt w:val="lowerLetter"/>
      <w:lvlText w:val="%5."/>
      <w:lvlJc w:val="left"/>
      <w:pPr>
        <w:ind w:left="5367" w:hanging="360"/>
      </w:pPr>
    </w:lvl>
    <w:lvl w:ilvl="5" w:tplc="0416001B" w:tentative="1">
      <w:start w:val="1"/>
      <w:numFmt w:val="lowerRoman"/>
      <w:lvlText w:val="%6."/>
      <w:lvlJc w:val="right"/>
      <w:pPr>
        <w:ind w:left="6087" w:hanging="180"/>
      </w:pPr>
    </w:lvl>
    <w:lvl w:ilvl="6" w:tplc="0416000F" w:tentative="1">
      <w:start w:val="1"/>
      <w:numFmt w:val="decimal"/>
      <w:lvlText w:val="%7."/>
      <w:lvlJc w:val="left"/>
      <w:pPr>
        <w:ind w:left="6807" w:hanging="360"/>
      </w:pPr>
    </w:lvl>
    <w:lvl w:ilvl="7" w:tplc="04160019" w:tentative="1">
      <w:start w:val="1"/>
      <w:numFmt w:val="lowerLetter"/>
      <w:lvlText w:val="%8."/>
      <w:lvlJc w:val="left"/>
      <w:pPr>
        <w:ind w:left="7527" w:hanging="360"/>
      </w:pPr>
    </w:lvl>
    <w:lvl w:ilvl="8" w:tplc="0416001B" w:tentative="1">
      <w:start w:val="1"/>
      <w:numFmt w:val="lowerRoman"/>
      <w:lvlText w:val="%9."/>
      <w:lvlJc w:val="right"/>
      <w:pPr>
        <w:ind w:left="8247" w:hanging="180"/>
      </w:pPr>
    </w:lvl>
  </w:abstractNum>
  <w:abstractNum w:abstractNumId="9" w15:restartNumberingAfterBreak="0">
    <w:nsid w:val="1E137276"/>
    <w:multiLevelType w:val="hybridMultilevel"/>
    <w:tmpl w:val="67D0F6FA"/>
    <w:lvl w:ilvl="0" w:tplc="A02052E2">
      <w:start w:val="1"/>
      <w:numFmt w:val="lowerLetter"/>
      <w:lvlText w:val="%1)"/>
      <w:lvlJc w:val="left"/>
      <w:pPr>
        <w:ind w:left="1778" w:hanging="360"/>
      </w:pPr>
      <w:rPr>
        <w:b/>
        <w:bCs w:val="0"/>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EB35F30"/>
    <w:multiLevelType w:val="hybridMultilevel"/>
    <w:tmpl w:val="0D443E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F2B6F0E"/>
    <w:multiLevelType w:val="hybridMultilevel"/>
    <w:tmpl w:val="37A4EAEA"/>
    <w:lvl w:ilvl="0" w:tplc="B93EFE0E">
      <w:start w:val="1"/>
      <w:numFmt w:val="decimal"/>
      <w:pStyle w:val="Verdesimples"/>
      <w:lvlText w:val="%1."/>
      <w:lvlJc w:val="left"/>
      <w:pPr>
        <w:ind w:left="720" w:hanging="360"/>
      </w:pPr>
      <w:rPr>
        <w:rFonts w:hint="default"/>
        <w:color w:val="00666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1A278C2"/>
    <w:multiLevelType w:val="hybridMultilevel"/>
    <w:tmpl w:val="74FA10F4"/>
    <w:lvl w:ilvl="0" w:tplc="04160001">
      <w:start w:val="1"/>
      <w:numFmt w:val="bullet"/>
      <w:lvlText w:val=""/>
      <w:lvlJc w:val="left"/>
      <w:pPr>
        <w:ind w:left="1421" w:hanging="570"/>
      </w:pPr>
      <w:rPr>
        <w:rFonts w:ascii="Symbol" w:hAnsi="Symbol" w:hint="default"/>
      </w:rPr>
    </w:lvl>
    <w:lvl w:ilvl="1" w:tplc="04160019">
      <w:start w:val="1"/>
      <w:numFmt w:val="lowerLetter"/>
      <w:lvlText w:val="%2."/>
      <w:lvlJc w:val="left"/>
      <w:pPr>
        <w:ind w:left="1931" w:hanging="360"/>
      </w:pPr>
    </w:lvl>
    <w:lvl w:ilvl="2" w:tplc="C344C268">
      <w:start w:val="1"/>
      <w:numFmt w:val="lowerLetter"/>
      <w:lvlText w:val="%3)"/>
      <w:lvlJc w:val="left"/>
      <w:pPr>
        <w:ind w:left="2831" w:hanging="360"/>
      </w:pPr>
      <w:rPr>
        <w:rFonts w:hint="default"/>
        <w:b/>
      </w:r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3" w15:restartNumberingAfterBreak="0">
    <w:nsid w:val="238B373C"/>
    <w:multiLevelType w:val="hybridMultilevel"/>
    <w:tmpl w:val="7228D71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15:restartNumberingAfterBreak="0">
    <w:nsid w:val="24E34FCD"/>
    <w:multiLevelType w:val="hybridMultilevel"/>
    <w:tmpl w:val="F312AF04"/>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360"/>
      </w:pPr>
      <w:rPr>
        <w:rFonts w:ascii="Courier New" w:hAnsi="Courier New" w:cs="Courier New" w:hint="default"/>
      </w:rPr>
    </w:lvl>
    <w:lvl w:ilvl="3" w:tplc="04160003">
      <w:start w:val="1"/>
      <w:numFmt w:val="bullet"/>
      <w:lvlText w:val="o"/>
      <w:lvlJc w:val="left"/>
      <w:pPr>
        <w:ind w:left="2880" w:hanging="360"/>
      </w:pPr>
      <w:rPr>
        <w:rFonts w:ascii="Courier New" w:hAnsi="Courier New" w:cs="Courier New" w:hint="default"/>
      </w:rPr>
    </w:lvl>
    <w:lvl w:ilvl="4" w:tplc="21EA5A3A">
      <w:start w:val="1"/>
      <w:numFmt w:val="decimal"/>
      <w:lvlText w:val="%5-"/>
      <w:lvlJc w:val="left"/>
      <w:pPr>
        <w:ind w:left="3600" w:hanging="360"/>
      </w:pPr>
      <w:rPr>
        <w:rFonts w:hint="default"/>
      </w:rPr>
    </w:lvl>
    <w:lvl w:ilvl="5" w:tplc="55F622A4">
      <w:start w:val="1"/>
      <w:numFmt w:val="lowerLetter"/>
      <w:lvlText w:val="%6."/>
      <w:lvlJc w:val="left"/>
      <w:pPr>
        <w:ind w:left="4320" w:hanging="360"/>
      </w:pPr>
      <w:rPr>
        <w:rFonts w:asciiTheme="minorHAnsi" w:eastAsiaTheme="minorHAnsi" w:hAnsiTheme="minorHAnsi" w:cs="Calibri"/>
        <w:b/>
      </w:rPr>
    </w:lvl>
    <w:lvl w:ilvl="6" w:tplc="3642D6F6">
      <w:start w:val="1"/>
      <w:numFmt w:val="lowerRoman"/>
      <w:lvlText w:val="(%7)"/>
      <w:lvlJc w:val="left"/>
      <w:pPr>
        <w:ind w:left="5400" w:hanging="720"/>
      </w:pPr>
      <w:rPr>
        <w:rFonts w:hint="default"/>
        <w:b/>
        <w:color w:val="000099"/>
        <w:sz w:val="20"/>
      </w:rPr>
    </w:lvl>
    <w:lvl w:ilvl="7" w:tplc="04160003">
      <w:start w:val="1"/>
      <w:numFmt w:val="bullet"/>
      <w:lvlText w:val="o"/>
      <w:lvlJc w:val="left"/>
      <w:pPr>
        <w:ind w:left="5760" w:hanging="360"/>
      </w:pPr>
      <w:rPr>
        <w:rFonts w:ascii="Courier New" w:hAnsi="Courier New" w:cs="Courier New" w:hint="default"/>
      </w:rPr>
    </w:lvl>
    <w:lvl w:ilvl="8" w:tplc="FDFC5B90">
      <w:start w:val="5"/>
      <w:numFmt w:val="upperLetter"/>
      <w:lvlText w:val="%9."/>
      <w:lvlJc w:val="left"/>
      <w:pPr>
        <w:ind w:left="6480" w:hanging="360"/>
      </w:pPr>
      <w:rPr>
        <w:rFonts w:hint="default"/>
      </w:rPr>
    </w:lvl>
  </w:abstractNum>
  <w:abstractNum w:abstractNumId="15" w15:restartNumberingAfterBreak="0">
    <w:nsid w:val="25F31692"/>
    <w:multiLevelType w:val="hybridMultilevel"/>
    <w:tmpl w:val="93C4499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6A66DD0"/>
    <w:multiLevelType w:val="multilevel"/>
    <w:tmpl w:val="0EE0181E"/>
    <w:lvl w:ilvl="0">
      <w:start w:val="1"/>
      <w:numFmt w:val="decimal"/>
      <w:lvlText w:val="%1."/>
      <w:lvlJc w:val="left"/>
      <w:pPr>
        <w:ind w:left="1788" w:hanging="360"/>
      </w:pPr>
      <w:rPr>
        <w:rFonts w:hint="default"/>
      </w:rPr>
    </w:lvl>
    <w:lvl w:ilvl="1">
      <w:start w:val="2"/>
      <w:numFmt w:val="decimal"/>
      <w:isLgl/>
      <w:lvlText w:val="%1.%2"/>
      <w:lvlJc w:val="left"/>
      <w:pPr>
        <w:ind w:left="1788" w:hanging="360"/>
      </w:pPr>
      <w:rPr>
        <w:rFonts w:hint="default"/>
        <w:b/>
      </w:rPr>
    </w:lvl>
    <w:lvl w:ilvl="2">
      <w:start w:val="1"/>
      <w:numFmt w:val="decimal"/>
      <w:isLgl/>
      <w:lvlText w:val="%1.%2.%3"/>
      <w:lvlJc w:val="left"/>
      <w:pPr>
        <w:ind w:left="2148" w:hanging="720"/>
      </w:pPr>
      <w:rPr>
        <w:rFonts w:hint="default"/>
        <w:b/>
      </w:rPr>
    </w:lvl>
    <w:lvl w:ilvl="3">
      <w:start w:val="1"/>
      <w:numFmt w:val="decimal"/>
      <w:isLgl/>
      <w:lvlText w:val="%1.%2.%3.%4"/>
      <w:lvlJc w:val="left"/>
      <w:pPr>
        <w:ind w:left="2148" w:hanging="720"/>
      </w:pPr>
      <w:rPr>
        <w:rFonts w:hint="default"/>
        <w:b/>
      </w:rPr>
    </w:lvl>
    <w:lvl w:ilvl="4">
      <w:start w:val="1"/>
      <w:numFmt w:val="decimal"/>
      <w:isLgl/>
      <w:lvlText w:val="%1.%2.%3.%4.%5"/>
      <w:lvlJc w:val="left"/>
      <w:pPr>
        <w:ind w:left="2508" w:hanging="1080"/>
      </w:pPr>
      <w:rPr>
        <w:rFonts w:hint="default"/>
        <w:b/>
      </w:rPr>
    </w:lvl>
    <w:lvl w:ilvl="5">
      <w:start w:val="1"/>
      <w:numFmt w:val="decimal"/>
      <w:isLgl/>
      <w:lvlText w:val="%1.%2.%3.%4.%5.%6"/>
      <w:lvlJc w:val="left"/>
      <w:pPr>
        <w:ind w:left="2508" w:hanging="1080"/>
      </w:pPr>
      <w:rPr>
        <w:rFonts w:hint="default"/>
        <w:b/>
      </w:rPr>
    </w:lvl>
    <w:lvl w:ilvl="6">
      <w:start w:val="1"/>
      <w:numFmt w:val="decimal"/>
      <w:isLgl/>
      <w:lvlText w:val="%1.%2.%3.%4.%5.%6.%7"/>
      <w:lvlJc w:val="left"/>
      <w:pPr>
        <w:ind w:left="2868" w:hanging="1440"/>
      </w:pPr>
      <w:rPr>
        <w:rFonts w:hint="default"/>
        <w:b/>
      </w:rPr>
    </w:lvl>
    <w:lvl w:ilvl="7">
      <w:start w:val="1"/>
      <w:numFmt w:val="decimal"/>
      <w:isLgl/>
      <w:lvlText w:val="%1.%2.%3.%4.%5.%6.%7.%8"/>
      <w:lvlJc w:val="left"/>
      <w:pPr>
        <w:ind w:left="2868" w:hanging="1440"/>
      </w:pPr>
      <w:rPr>
        <w:rFonts w:hint="default"/>
        <w:b/>
      </w:rPr>
    </w:lvl>
    <w:lvl w:ilvl="8">
      <w:start w:val="1"/>
      <w:numFmt w:val="decimal"/>
      <w:isLgl/>
      <w:lvlText w:val="%1.%2.%3.%4.%5.%6.%7.%8.%9"/>
      <w:lvlJc w:val="left"/>
      <w:pPr>
        <w:ind w:left="3228" w:hanging="1800"/>
      </w:pPr>
      <w:rPr>
        <w:rFonts w:hint="default"/>
        <w:b/>
      </w:rPr>
    </w:lvl>
  </w:abstractNum>
  <w:abstractNum w:abstractNumId="17" w15:restartNumberingAfterBreak="0">
    <w:nsid w:val="2C56226A"/>
    <w:multiLevelType w:val="hybridMultilevel"/>
    <w:tmpl w:val="67D0F6FA"/>
    <w:lvl w:ilvl="0" w:tplc="A02052E2">
      <w:start w:val="1"/>
      <w:numFmt w:val="lowerLetter"/>
      <w:lvlText w:val="%1)"/>
      <w:lvlJc w:val="left"/>
      <w:pPr>
        <w:ind w:left="1778" w:hanging="360"/>
      </w:pPr>
      <w:rPr>
        <w:b/>
        <w:bCs w:val="0"/>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8" w15:restartNumberingAfterBreak="0">
    <w:nsid w:val="2EFB1F88"/>
    <w:multiLevelType w:val="hybridMultilevel"/>
    <w:tmpl w:val="7286DBAC"/>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9" w15:restartNumberingAfterBreak="0">
    <w:nsid w:val="328B3B69"/>
    <w:multiLevelType w:val="hybridMultilevel"/>
    <w:tmpl w:val="301879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35651F51"/>
    <w:multiLevelType w:val="hybridMultilevel"/>
    <w:tmpl w:val="1EFCFEE4"/>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36355DC2"/>
    <w:multiLevelType w:val="hybridMultilevel"/>
    <w:tmpl w:val="3B3269D2"/>
    <w:lvl w:ilvl="0" w:tplc="C344C268">
      <w:start w:val="1"/>
      <w:numFmt w:val="lowerLetter"/>
      <w:lvlText w:val="%1)"/>
      <w:lvlJc w:val="left"/>
      <w:pPr>
        <w:ind w:left="2831"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B2A7A18"/>
    <w:multiLevelType w:val="hybridMultilevel"/>
    <w:tmpl w:val="F52E892C"/>
    <w:lvl w:ilvl="0" w:tplc="D90C46C2">
      <w:start w:val="1"/>
      <w:numFmt w:val="lowerLetter"/>
      <w:lvlText w:val="%1)"/>
      <w:lvlJc w:val="left"/>
      <w:pPr>
        <w:ind w:left="1919" w:hanging="360"/>
      </w:pPr>
      <w:rPr>
        <w:rFonts w:cstheme="minorBidi" w:hint="default"/>
      </w:rPr>
    </w:lvl>
    <w:lvl w:ilvl="1" w:tplc="04160019" w:tentative="1">
      <w:start w:val="1"/>
      <w:numFmt w:val="lowerLetter"/>
      <w:lvlText w:val="%2."/>
      <w:lvlJc w:val="left"/>
      <w:pPr>
        <w:ind w:left="2639" w:hanging="360"/>
      </w:pPr>
    </w:lvl>
    <w:lvl w:ilvl="2" w:tplc="0416001B" w:tentative="1">
      <w:start w:val="1"/>
      <w:numFmt w:val="lowerRoman"/>
      <w:lvlText w:val="%3."/>
      <w:lvlJc w:val="right"/>
      <w:pPr>
        <w:ind w:left="3359" w:hanging="180"/>
      </w:pPr>
    </w:lvl>
    <w:lvl w:ilvl="3" w:tplc="0416000F" w:tentative="1">
      <w:start w:val="1"/>
      <w:numFmt w:val="decimal"/>
      <w:lvlText w:val="%4."/>
      <w:lvlJc w:val="left"/>
      <w:pPr>
        <w:ind w:left="4079" w:hanging="360"/>
      </w:pPr>
    </w:lvl>
    <w:lvl w:ilvl="4" w:tplc="04160019" w:tentative="1">
      <w:start w:val="1"/>
      <w:numFmt w:val="lowerLetter"/>
      <w:lvlText w:val="%5."/>
      <w:lvlJc w:val="left"/>
      <w:pPr>
        <w:ind w:left="4799" w:hanging="360"/>
      </w:pPr>
    </w:lvl>
    <w:lvl w:ilvl="5" w:tplc="0416001B" w:tentative="1">
      <w:start w:val="1"/>
      <w:numFmt w:val="lowerRoman"/>
      <w:lvlText w:val="%6."/>
      <w:lvlJc w:val="right"/>
      <w:pPr>
        <w:ind w:left="5519" w:hanging="180"/>
      </w:pPr>
    </w:lvl>
    <w:lvl w:ilvl="6" w:tplc="0416000F" w:tentative="1">
      <w:start w:val="1"/>
      <w:numFmt w:val="decimal"/>
      <w:lvlText w:val="%7."/>
      <w:lvlJc w:val="left"/>
      <w:pPr>
        <w:ind w:left="6239" w:hanging="360"/>
      </w:pPr>
    </w:lvl>
    <w:lvl w:ilvl="7" w:tplc="04160019" w:tentative="1">
      <w:start w:val="1"/>
      <w:numFmt w:val="lowerLetter"/>
      <w:lvlText w:val="%8."/>
      <w:lvlJc w:val="left"/>
      <w:pPr>
        <w:ind w:left="6959" w:hanging="360"/>
      </w:pPr>
    </w:lvl>
    <w:lvl w:ilvl="8" w:tplc="0416001B" w:tentative="1">
      <w:start w:val="1"/>
      <w:numFmt w:val="lowerRoman"/>
      <w:lvlText w:val="%9."/>
      <w:lvlJc w:val="right"/>
      <w:pPr>
        <w:ind w:left="7679" w:hanging="180"/>
      </w:pPr>
    </w:lvl>
  </w:abstractNum>
  <w:abstractNum w:abstractNumId="23" w15:restartNumberingAfterBreak="0">
    <w:nsid w:val="3F206E01"/>
    <w:multiLevelType w:val="hybridMultilevel"/>
    <w:tmpl w:val="D27207DA"/>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4" w15:restartNumberingAfterBreak="0">
    <w:nsid w:val="48872460"/>
    <w:multiLevelType w:val="hybridMultilevel"/>
    <w:tmpl w:val="396677B0"/>
    <w:lvl w:ilvl="0" w:tplc="0416000B">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D1D2275"/>
    <w:multiLevelType w:val="hybridMultilevel"/>
    <w:tmpl w:val="583C90E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6" w15:restartNumberingAfterBreak="0">
    <w:nsid w:val="5DC22018"/>
    <w:multiLevelType w:val="hybridMultilevel"/>
    <w:tmpl w:val="E266ED5A"/>
    <w:lvl w:ilvl="0" w:tplc="04160017">
      <w:start w:val="1"/>
      <w:numFmt w:val="lowerLetter"/>
      <w:lvlText w:val="%1)"/>
      <w:lvlJc w:val="left"/>
      <w:pPr>
        <w:ind w:left="4492" w:hanging="360"/>
      </w:pPr>
    </w:lvl>
    <w:lvl w:ilvl="1" w:tplc="04160019" w:tentative="1">
      <w:start w:val="1"/>
      <w:numFmt w:val="lowerLetter"/>
      <w:lvlText w:val="%2."/>
      <w:lvlJc w:val="left"/>
      <w:pPr>
        <w:ind w:left="5212" w:hanging="360"/>
      </w:pPr>
    </w:lvl>
    <w:lvl w:ilvl="2" w:tplc="0416001B" w:tentative="1">
      <w:start w:val="1"/>
      <w:numFmt w:val="lowerRoman"/>
      <w:lvlText w:val="%3."/>
      <w:lvlJc w:val="right"/>
      <w:pPr>
        <w:ind w:left="5932" w:hanging="180"/>
      </w:pPr>
    </w:lvl>
    <w:lvl w:ilvl="3" w:tplc="0416000F" w:tentative="1">
      <w:start w:val="1"/>
      <w:numFmt w:val="decimal"/>
      <w:lvlText w:val="%4."/>
      <w:lvlJc w:val="left"/>
      <w:pPr>
        <w:ind w:left="6652" w:hanging="360"/>
      </w:pPr>
    </w:lvl>
    <w:lvl w:ilvl="4" w:tplc="04160019" w:tentative="1">
      <w:start w:val="1"/>
      <w:numFmt w:val="lowerLetter"/>
      <w:lvlText w:val="%5."/>
      <w:lvlJc w:val="left"/>
      <w:pPr>
        <w:ind w:left="7372" w:hanging="360"/>
      </w:pPr>
    </w:lvl>
    <w:lvl w:ilvl="5" w:tplc="0416001B" w:tentative="1">
      <w:start w:val="1"/>
      <w:numFmt w:val="lowerRoman"/>
      <w:lvlText w:val="%6."/>
      <w:lvlJc w:val="right"/>
      <w:pPr>
        <w:ind w:left="8092" w:hanging="180"/>
      </w:pPr>
    </w:lvl>
    <w:lvl w:ilvl="6" w:tplc="0416000F" w:tentative="1">
      <w:start w:val="1"/>
      <w:numFmt w:val="decimal"/>
      <w:lvlText w:val="%7."/>
      <w:lvlJc w:val="left"/>
      <w:pPr>
        <w:ind w:left="8812" w:hanging="360"/>
      </w:pPr>
    </w:lvl>
    <w:lvl w:ilvl="7" w:tplc="04160019" w:tentative="1">
      <w:start w:val="1"/>
      <w:numFmt w:val="lowerLetter"/>
      <w:lvlText w:val="%8."/>
      <w:lvlJc w:val="left"/>
      <w:pPr>
        <w:ind w:left="9532" w:hanging="360"/>
      </w:pPr>
    </w:lvl>
    <w:lvl w:ilvl="8" w:tplc="0416001B" w:tentative="1">
      <w:start w:val="1"/>
      <w:numFmt w:val="lowerRoman"/>
      <w:lvlText w:val="%9."/>
      <w:lvlJc w:val="right"/>
      <w:pPr>
        <w:ind w:left="10252" w:hanging="180"/>
      </w:pPr>
    </w:lvl>
  </w:abstractNum>
  <w:abstractNum w:abstractNumId="27" w15:restartNumberingAfterBreak="0">
    <w:nsid w:val="5EB7523B"/>
    <w:multiLevelType w:val="multilevel"/>
    <w:tmpl w:val="AE0EF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60704B"/>
    <w:multiLevelType w:val="hybridMultilevel"/>
    <w:tmpl w:val="9210F2C2"/>
    <w:lvl w:ilvl="0" w:tplc="04160003">
      <w:start w:val="1"/>
      <w:numFmt w:val="bullet"/>
      <w:lvlText w:val="o"/>
      <w:lvlJc w:val="left"/>
      <w:pPr>
        <w:ind w:left="3349" w:hanging="360"/>
      </w:pPr>
      <w:rPr>
        <w:rFonts w:ascii="Courier New" w:hAnsi="Courier New" w:cs="Courier New" w:hint="default"/>
      </w:rPr>
    </w:lvl>
    <w:lvl w:ilvl="1" w:tplc="FFFFFFFF" w:tentative="1">
      <w:start w:val="1"/>
      <w:numFmt w:val="bullet"/>
      <w:lvlText w:val="o"/>
      <w:lvlJc w:val="left"/>
      <w:pPr>
        <w:ind w:left="4069" w:hanging="360"/>
      </w:pPr>
      <w:rPr>
        <w:rFonts w:ascii="Courier New" w:hAnsi="Courier New" w:cs="Courier New" w:hint="default"/>
      </w:rPr>
    </w:lvl>
    <w:lvl w:ilvl="2" w:tplc="FFFFFFFF" w:tentative="1">
      <w:start w:val="1"/>
      <w:numFmt w:val="bullet"/>
      <w:lvlText w:val=""/>
      <w:lvlJc w:val="left"/>
      <w:pPr>
        <w:ind w:left="4789" w:hanging="360"/>
      </w:pPr>
      <w:rPr>
        <w:rFonts w:ascii="Wingdings" w:hAnsi="Wingdings" w:hint="default"/>
      </w:rPr>
    </w:lvl>
    <w:lvl w:ilvl="3" w:tplc="FFFFFFFF" w:tentative="1">
      <w:start w:val="1"/>
      <w:numFmt w:val="bullet"/>
      <w:lvlText w:val=""/>
      <w:lvlJc w:val="left"/>
      <w:pPr>
        <w:ind w:left="5509" w:hanging="360"/>
      </w:pPr>
      <w:rPr>
        <w:rFonts w:ascii="Symbol" w:hAnsi="Symbol" w:hint="default"/>
      </w:rPr>
    </w:lvl>
    <w:lvl w:ilvl="4" w:tplc="FFFFFFFF" w:tentative="1">
      <w:start w:val="1"/>
      <w:numFmt w:val="bullet"/>
      <w:lvlText w:val="o"/>
      <w:lvlJc w:val="left"/>
      <w:pPr>
        <w:ind w:left="6229" w:hanging="360"/>
      </w:pPr>
      <w:rPr>
        <w:rFonts w:ascii="Courier New" w:hAnsi="Courier New" w:cs="Courier New" w:hint="default"/>
      </w:rPr>
    </w:lvl>
    <w:lvl w:ilvl="5" w:tplc="FFFFFFFF" w:tentative="1">
      <w:start w:val="1"/>
      <w:numFmt w:val="bullet"/>
      <w:lvlText w:val=""/>
      <w:lvlJc w:val="left"/>
      <w:pPr>
        <w:ind w:left="6949" w:hanging="360"/>
      </w:pPr>
      <w:rPr>
        <w:rFonts w:ascii="Wingdings" w:hAnsi="Wingdings" w:hint="default"/>
      </w:rPr>
    </w:lvl>
    <w:lvl w:ilvl="6" w:tplc="FFFFFFFF" w:tentative="1">
      <w:start w:val="1"/>
      <w:numFmt w:val="bullet"/>
      <w:lvlText w:val=""/>
      <w:lvlJc w:val="left"/>
      <w:pPr>
        <w:ind w:left="7669" w:hanging="360"/>
      </w:pPr>
      <w:rPr>
        <w:rFonts w:ascii="Symbol" w:hAnsi="Symbol" w:hint="default"/>
      </w:rPr>
    </w:lvl>
    <w:lvl w:ilvl="7" w:tplc="FFFFFFFF" w:tentative="1">
      <w:start w:val="1"/>
      <w:numFmt w:val="bullet"/>
      <w:lvlText w:val="o"/>
      <w:lvlJc w:val="left"/>
      <w:pPr>
        <w:ind w:left="8389" w:hanging="360"/>
      </w:pPr>
      <w:rPr>
        <w:rFonts w:ascii="Courier New" w:hAnsi="Courier New" w:cs="Courier New" w:hint="default"/>
      </w:rPr>
    </w:lvl>
    <w:lvl w:ilvl="8" w:tplc="FFFFFFFF" w:tentative="1">
      <w:start w:val="1"/>
      <w:numFmt w:val="bullet"/>
      <w:lvlText w:val=""/>
      <w:lvlJc w:val="left"/>
      <w:pPr>
        <w:ind w:left="9109" w:hanging="360"/>
      </w:pPr>
      <w:rPr>
        <w:rFonts w:ascii="Wingdings" w:hAnsi="Wingdings" w:hint="default"/>
      </w:rPr>
    </w:lvl>
  </w:abstractNum>
  <w:abstractNum w:abstractNumId="29" w15:restartNumberingAfterBreak="0">
    <w:nsid w:val="66953EB6"/>
    <w:multiLevelType w:val="hybridMultilevel"/>
    <w:tmpl w:val="0B587A28"/>
    <w:lvl w:ilvl="0" w:tplc="1B68E1BE">
      <w:start w:val="1"/>
      <w:numFmt w:val="bullet"/>
      <w:lvlText w:val=""/>
      <w:lvlJc w:val="left"/>
      <w:pPr>
        <w:ind w:left="1353" w:hanging="360"/>
      </w:pPr>
      <w:rPr>
        <w:rFonts w:ascii="Symbol" w:hAnsi="Symbol" w:hint="default"/>
        <w:color w:val="006666"/>
      </w:rPr>
    </w:lvl>
    <w:lvl w:ilvl="1" w:tplc="04160003">
      <w:start w:val="1"/>
      <w:numFmt w:val="bullet"/>
      <w:lvlText w:val="o"/>
      <w:lvlJc w:val="left"/>
      <w:pPr>
        <w:ind w:left="2160" w:hanging="360"/>
      </w:pPr>
      <w:rPr>
        <w:rFonts w:ascii="Courier New" w:hAnsi="Courier New" w:cs="Courier New" w:hint="default"/>
      </w:rPr>
    </w:lvl>
    <w:lvl w:ilvl="2" w:tplc="72602D26">
      <w:start w:val="1"/>
      <w:numFmt w:val="lowerLetter"/>
      <w:lvlText w:val="%3."/>
      <w:lvlJc w:val="left"/>
      <w:pPr>
        <w:ind w:left="1920" w:hanging="360"/>
      </w:pPr>
      <w:rPr>
        <w:rFonts w:ascii="Calibri" w:eastAsiaTheme="minorEastAsia" w:hAnsi="Calibri" w:cs="Calibri"/>
        <w:b/>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6E27223B"/>
    <w:multiLevelType w:val="hybridMultilevel"/>
    <w:tmpl w:val="96D4E658"/>
    <w:lvl w:ilvl="0" w:tplc="BC92C8EC">
      <w:start w:val="1"/>
      <w:numFmt w:val="lowerRoman"/>
      <w:lvlText w:val="(%1)"/>
      <w:lvlJc w:val="left"/>
      <w:pPr>
        <w:ind w:left="2433" w:hanging="720"/>
      </w:pPr>
      <w:rPr>
        <w:rFonts w:hint="default"/>
      </w:rPr>
    </w:lvl>
    <w:lvl w:ilvl="1" w:tplc="04160019" w:tentative="1">
      <w:start w:val="1"/>
      <w:numFmt w:val="lowerLetter"/>
      <w:lvlText w:val="%2."/>
      <w:lvlJc w:val="left"/>
      <w:pPr>
        <w:ind w:left="2793" w:hanging="360"/>
      </w:pPr>
    </w:lvl>
    <w:lvl w:ilvl="2" w:tplc="0416001B" w:tentative="1">
      <w:start w:val="1"/>
      <w:numFmt w:val="lowerRoman"/>
      <w:lvlText w:val="%3."/>
      <w:lvlJc w:val="right"/>
      <w:pPr>
        <w:ind w:left="3513" w:hanging="180"/>
      </w:pPr>
    </w:lvl>
    <w:lvl w:ilvl="3" w:tplc="0416000F" w:tentative="1">
      <w:start w:val="1"/>
      <w:numFmt w:val="decimal"/>
      <w:lvlText w:val="%4."/>
      <w:lvlJc w:val="left"/>
      <w:pPr>
        <w:ind w:left="4233" w:hanging="360"/>
      </w:pPr>
    </w:lvl>
    <w:lvl w:ilvl="4" w:tplc="04160019" w:tentative="1">
      <w:start w:val="1"/>
      <w:numFmt w:val="lowerLetter"/>
      <w:lvlText w:val="%5."/>
      <w:lvlJc w:val="left"/>
      <w:pPr>
        <w:ind w:left="4953" w:hanging="360"/>
      </w:pPr>
    </w:lvl>
    <w:lvl w:ilvl="5" w:tplc="0416001B" w:tentative="1">
      <w:start w:val="1"/>
      <w:numFmt w:val="lowerRoman"/>
      <w:lvlText w:val="%6."/>
      <w:lvlJc w:val="right"/>
      <w:pPr>
        <w:ind w:left="5673" w:hanging="180"/>
      </w:pPr>
    </w:lvl>
    <w:lvl w:ilvl="6" w:tplc="0416000F" w:tentative="1">
      <w:start w:val="1"/>
      <w:numFmt w:val="decimal"/>
      <w:lvlText w:val="%7."/>
      <w:lvlJc w:val="left"/>
      <w:pPr>
        <w:ind w:left="6393" w:hanging="360"/>
      </w:pPr>
    </w:lvl>
    <w:lvl w:ilvl="7" w:tplc="04160019" w:tentative="1">
      <w:start w:val="1"/>
      <w:numFmt w:val="lowerLetter"/>
      <w:lvlText w:val="%8."/>
      <w:lvlJc w:val="left"/>
      <w:pPr>
        <w:ind w:left="7113" w:hanging="360"/>
      </w:pPr>
    </w:lvl>
    <w:lvl w:ilvl="8" w:tplc="0416001B" w:tentative="1">
      <w:start w:val="1"/>
      <w:numFmt w:val="lowerRoman"/>
      <w:lvlText w:val="%9."/>
      <w:lvlJc w:val="right"/>
      <w:pPr>
        <w:ind w:left="7833" w:hanging="180"/>
      </w:pPr>
    </w:lvl>
  </w:abstractNum>
  <w:abstractNum w:abstractNumId="31" w15:restartNumberingAfterBreak="0">
    <w:nsid w:val="7B054D82"/>
    <w:multiLevelType w:val="multilevel"/>
    <w:tmpl w:val="17B0FBC0"/>
    <w:lvl w:ilvl="0">
      <w:start w:val="1"/>
      <w:numFmt w:val="decimal"/>
      <w:pStyle w:val="Ttulo1"/>
      <w:lvlText w:val="%1."/>
      <w:lvlJc w:val="left"/>
      <w:pPr>
        <w:ind w:left="1778" w:hanging="360"/>
      </w:pPr>
      <w:rPr>
        <w:rFonts w:hint="default"/>
      </w:rPr>
    </w:lvl>
    <w:lvl w:ilvl="1">
      <w:start w:val="1"/>
      <w:numFmt w:val="decimal"/>
      <w:pStyle w:val="Ttulo2"/>
      <w:isLgl/>
      <w:lvlText w:val="%1.%2"/>
      <w:lvlJc w:val="left"/>
      <w:pPr>
        <w:ind w:left="360" w:hanging="360"/>
      </w:pPr>
      <w:rPr>
        <w:rFonts w:hint="default"/>
      </w:rPr>
    </w:lvl>
    <w:lvl w:ilvl="2">
      <w:start w:val="1"/>
      <w:numFmt w:val="decimal"/>
      <w:pStyle w:val="Ttulo3"/>
      <w:isLgl/>
      <w:lvlText w:val="%1.%2.%3"/>
      <w:lvlJc w:val="left"/>
      <w:pPr>
        <w:ind w:left="1429"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32" w15:restartNumberingAfterBreak="0">
    <w:nsid w:val="7E903FF2"/>
    <w:multiLevelType w:val="hybridMultilevel"/>
    <w:tmpl w:val="AC20CCC4"/>
    <w:lvl w:ilvl="0" w:tplc="04160003">
      <w:start w:val="1"/>
      <w:numFmt w:val="bullet"/>
      <w:lvlText w:val="o"/>
      <w:lvlJc w:val="left"/>
      <w:pPr>
        <w:ind w:left="2895" w:hanging="360"/>
      </w:pPr>
      <w:rPr>
        <w:rFonts w:ascii="Courier New" w:hAnsi="Courier New" w:cs="Courier New" w:hint="default"/>
      </w:rPr>
    </w:lvl>
    <w:lvl w:ilvl="1" w:tplc="04160003" w:tentative="1">
      <w:start w:val="1"/>
      <w:numFmt w:val="bullet"/>
      <w:lvlText w:val="o"/>
      <w:lvlJc w:val="left"/>
      <w:pPr>
        <w:ind w:left="3615" w:hanging="360"/>
      </w:pPr>
      <w:rPr>
        <w:rFonts w:ascii="Courier New" w:hAnsi="Courier New" w:cs="Courier New" w:hint="default"/>
      </w:rPr>
    </w:lvl>
    <w:lvl w:ilvl="2" w:tplc="04160005" w:tentative="1">
      <w:start w:val="1"/>
      <w:numFmt w:val="bullet"/>
      <w:lvlText w:val=""/>
      <w:lvlJc w:val="left"/>
      <w:pPr>
        <w:ind w:left="4335" w:hanging="360"/>
      </w:pPr>
      <w:rPr>
        <w:rFonts w:ascii="Wingdings" w:hAnsi="Wingdings" w:hint="default"/>
      </w:rPr>
    </w:lvl>
    <w:lvl w:ilvl="3" w:tplc="04160001" w:tentative="1">
      <w:start w:val="1"/>
      <w:numFmt w:val="bullet"/>
      <w:lvlText w:val=""/>
      <w:lvlJc w:val="left"/>
      <w:pPr>
        <w:ind w:left="5055" w:hanging="360"/>
      </w:pPr>
      <w:rPr>
        <w:rFonts w:ascii="Symbol" w:hAnsi="Symbol" w:hint="default"/>
      </w:rPr>
    </w:lvl>
    <w:lvl w:ilvl="4" w:tplc="04160003" w:tentative="1">
      <w:start w:val="1"/>
      <w:numFmt w:val="bullet"/>
      <w:lvlText w:val="o"/>
      <w:lvlJc w:val="left"/>
      <w:pPr>
        <w:ind w:left="5775" w:hanging="360"/>
      </w:pPr>
      <w:rPr>
        <w:rFonts w:ascii="Courier New" w:hAnsi="Courier New" w:cs="Courier New" w:hint="default"/>
      </w:rPr>
    </w:lvl>
    <w:lvl w:ilvl="5" w:tplc="04160005" w:tentative="1">
      <w:start w:val="1"/>
      <w:numFmt w:val="bullet"/>
      <w:lvlText w:val=""/>
      <w:lvlJc w:val="left"/>
      <w:pPr>
        <w:ind w:left="6495" w:hanging="360"/>
      </w:pPr>
      <w:rPr>
        <w:rFonts w:ascii="Wingdings" w:hAnsi="Wingdings" w:hint="default"/>
      </w:rPr>
    </w:lvl>
    <w:lvl w:ilvl="6" w:tplc="04160001" w:tentative="1">
      <w:start w:val="1"/>
      <w:numFmt w:val="bullet"/>
      <w:lvlText w:val=""/>
      <w:lvlJc w:val="left"/>
      <w:pPr>
        <w:ind w:left="7215" w:hanging="360"/>
      </w:pPr>
      <w:rPr>
        <w:rFonts w:ascii="Symbol" w:hAnsi="Symbol" w:hint="default"/>
      </w:rPr>
    </w:lvl>
    <w:lvl w:ilvl="7" w:tplc="04160003" w:tentative="1">
      <w:start w:val="1"/>
      <w:numFmt w:val="bullet"/>
      <w:lvlText w:val="o"/>
      <w:lvlJc w:val="left"/>
      <w:pPr>
        <w:ind w:left="7935" w:hanging="360"/>
      </w:pPr>
      <w:rPr>
        <w:rFonts w:ascii="Courier New" w:hAnsi="Courier New" w:cs="Courier New" w:hint="default"/>
      </w:rPr>
    </w:lvl>
    <w:lvl w:ilvl="8" w:tplc="04160005" w:tentative="1">
      <w:start w:val="1"/>
      <w:numFmt w:val="bullet"/>
      <w:lvlText w:val=""/>
      <w:lvlJc w:val="left"/>
      <w:pPr>
        <w:ind w:left="8655" w:hanging="360"/>
      </w:pPr>
      <w:rPr>
        <w:rFonts w:ascii="Wingdings" w:hAnsi="Wingdings" w:hint="default"/>
      </w:rPr>
    </w:lvl>
  </w:abstractNum>
  <w:num w:numId="1">
    <w:abstractNumId w:val="1"/>
  </w:num>
  <w:num w:numId="2">
    <w:abstractNumId w:val="29"/>
  </w:num>
  <w:num w:numId="3">
    <w:abstractNumId w:val="18"/>
  </w:num>
  <w:num w:numId="4">
    <w:abstractNumId w:val="14"/>
  </w:num>
  <w:num w:numId="5">
    <w:abstractNumId w:val="31"/>
  </w:num>
  <w:num w:numId="6">
    <w:abstractNumId w:val="11"/>
  </w:num>
  <w:num w:numId="7">
    <w:abstractNumId w:val="2"/>
  </w:num>
  <w:num w:numId="8">
    <w:abstractNumId w:val="23"/>
  </w:num>
  <w:num w:numId="9">
    <w:abstractNumId w:val="4"/>
  </w:num>
  <w:num w:numId="10">
    <w:abstractNumId w:val="31"/>
    <w:lvlOverride w:ilvl="0">
      <w:startOverride w:val="3"/>
    </w:lvlOverride>
  </w:num>
  <w:num w:numId="11">
    <w:abstractNumId w:val="16"/>
  </w:num>
  <w:num w:numId="12">
    <w:abstractNumId w:val="31"/>
    <w:lvlOverride w:ilvl="0">
      <w:startOverride w:val="5"/>
    </w:lvlOverride>
    <w:lvlOverride w:ilvl="1">
      <w:startOverride w:val="1"/>
    </w:lvlOverride>
  </w:num>
  <w:num w:numId="13">
    <w:abstractNumId w:val="3"/>
  </w:num>
  <w:num w:numId="14">
    <w:abstractNumId w:val="0"/>
  </w:num>
  <w:num w:numId="15">
    <w:abstractNumId w:val="12"/>
  </w:num>
  <w:num w:numId="16">
    <w:abstractNumId w:val="15"/>
  </w:num>
  <w:num w:numId="17">
    <w:abstractNumId w:val="17"/>
  </w:num>
  <w:num w:numId="18">
    <w:abstractNumId w:val="30"/>
  </w:num>
  <w:num w:numId="19">
    <w:abstractNumId w:val="9"/>
  </w:num>
  <w:num w:numId="20">
    <w:abstractNumId w:val="21"/>
  </w:num>
  <w:num w:numId="21">
    <w:abstractNumId w:val="10"/>
  </w:num>
  <w:num w:numId="22">
    <w:abstractNumId w:val="5"/>
  </w:num>
  <w:num w:numId="23">
    <w:abstractNumId w:val="26"/>
  </w:num>
  <w:num w:numId="24">
    <w:abstractNumId w:val="19"/>
  </w:num>
  <w:num w:numId="25">
    <w:abstractNumId w:val="22"/>
  </w:num>
  <w:num w:numId="26">
    <w:abstractNumId w:val="7"/>
  </w:num>
  <w:num w:numId="27">
    <w:abstractNumId w:val="32"/>
  </w:num>
  <w:num w:numId="28">
    <w:abstractNumId w:val="24"/>
  </w:num>
  <w:num w:numId="29">
    <w:abstractNumId w:val="28"/>
  </w:num>
  <w:num w:numId="30">
    <w:abstractNumId w:val="8"/>
  </w:num>
  <w:num w:numId="31">
    <w:abstractNumId w:val="13"/>
  </w:num>
  <w:num w:numId="32">
    <w:abstractNumId w:val="6"/>
  </w:num>
  <w:num w:numId="33">
    <w:abstractNumId w:val="20"/>
  </w:num>
  <w:num w:numId="34">
    <w:abstractNumId w:val="25"/>
  </w:num>
  <w:num w:numId="35">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0" w:nlCheck="1" w:checkStyle="0"/>
  <w:activeWritingStyle w:appName="MSWord" w:lang="pt-BR" w:vendorID="64" w:dllVersion="4096" w:nlCheck="1" w:checkStyle="0"/>
  <w:activeWritingStyle w:appName="MSWord" w:lang="pt-BR" w:vendorID="64" w:dllVersion="6" w:nlCheck="1" w:checkStyle="0"/>
  <w:activeWritingStyle w:appName="MSWord" w:lang="pt-BR"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characterSpacingControl w:val="doNotCompress"/>
  <w:hdrShapeDefaults>
    <o:shapedefaults v:ext="edit" spidmax="12289">
      <o:colormru v:ext="edit" colors="#3f62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73"/>
    <w:rsid w:val="000002A7"/>
    <w:rsid w:val="00000F2C"/>
    <w:rsid w:val="0000152B"/>
    <w:rsid w:val="00001C69"/>
    <w:rsid w:val="00001E3F"/>
    <w:rsid w:val="00002A08"/>
    <w:rsid w:val="00002BA3"/>
    <w:rsid w:val="00002D6B"/>
    <w:rsid w:val="00002E12"/>
    <w:rsid w:val="00003F9B"/>
    <w:rsid w:val="000058A9"/>
    <w:rsid w:val="000058F9"/>
    <w:rsid w:val="000062C3"/>
    <w:rsid w:val="00006474"/>
    <w:rsid w:val="00006F57"/>
    <w:rsid w:val="0000737A"/>
    <w:rsid w:val="000075EF"/>
    <w:rsid w:val="00010262"/>
    <w:rsid w:val="00011D0A"/>
    <w:rsid w:val="0001220C"/>
    <w:rsid w:val="000126FD"/>
    <w:rsid w:val="00012D40"/>
    <w:rsid w:val="00013F95"/>
    <w:rsid w:val="00015102"/>
    <w:rsid w:val="00015299"/>
    <w:rsid w:val="000153D1"/>
    <w:rsid w:val="00015E29"/>
    <w:rsid w:val="000160B3"/>
    <w:rsid w:val="00016442"/>
    <w:rsid w:val="00017341"/>
    <w:rsid w:val="00017D37"/>
    <w:rsid w:val="000204AE"/>
    <w:rsid w:val="0002077E"/>
    <w:rsid w:val="00020DD3"/>
    <w:rsid w:val="0002160F"/>
    <w:rsid w:val="00021AB6"/>
    <w:rsid w:val="00021CBE"/>
    <w:rsid w:val="00022005"/>
    <w:rsid w:val="00023166"/>
    <w:rsid w:val="0002412B"/>
    <w:rsid w:val="00024F4C"/>
    <w:rsid w:val="000267BC"/>
    <w:rsid w:val="00027243"/>
    <w:rsid w:val="000276F1"/>
    <w:rsid w:val="00030623"/>
    <w:rsid w:val="00030BBE"/>
    <w:rsid w:val="00031BDB"/>
    <w:rsid w:val="00032EE6"/>
    <w:rsid w:val="0003400C"/>
    <w:rsid w:val="00035F7A"/>
    <w:rsid w:val="00036CC1"/>
    <w:rsid w:val="00036CD2"/>
    <w:rsid w:val="00037115"/>
    <w:rsid w:val="00037337"/>
    <w:rsid w:val="00040142"/>
    <w:rsid w:val="00040A7B"/>
    <w:rsid w:val="00040E6C"/>
    <w:rsid w:val="00040F72"/>
    <w:rsid w:val="00042400"/>
    <w:rsid w:val="00042657"/>
    <w:rsid w:val="00043538"/>
    <w:rsid w:val="00043A1A"/>
    <w:rsid w:val="00043C5B"/>
    <w:rsid w:val="00044181"/>
    <w:rsid w:val="000442E7"/>
    <w:rsid w:val="000444D4"/>
    <w:rsid w:val="0004502C"/>
    <w:rsid w:val="000457E6"/>
    <w:rsid w:val="00045D83"/>
    <w:rsid w:val="00047CDA"/>
    <w:rsid w:val="00050890"/>
    <w:rsid w:val="00050FA8"/>
    <w:rsid w:val="00051044"/>
    <w:rsid w:val="0005147A"/>
    <w:rsid w:val="00051522"/>
    <w:rsid w:val="00051E49"/>
    <w:rsid w:val="0005212A"/>
    <w:rsid w:val="000524F1"/>
    <w:rsid w:val="00052850"/>
    <w:rsid w:val="00052AD1"/>
    <w:rsid w:val="0005322A"/>
    <w:rsid w:val="00053694"/>
    <w:rsid w:val="000543DD"/>
    <w:rsid w:val="0005445C"/>
    <w:rsid w:val="00054F2E"/>
    <w:rsid w:val="00055234"/>
    <w:rsid w:val="000557C3"/>
    <w:rsid w:val="000557FF"/>
    <w:rsid w:val="00056EEF"/>
    <w:rsid w:val="0005718F"/>
    <w:rsid w:val="00057A0A"/>
    <w:rsid w:val="000600C3"/>
    <w:rsid w:val="0006019B"/>
    <w:rsid w:val="000602DC"/>
    <w:rsid w:val="000606CC"/>
    <w:rsid w:val="000608D3"/>
    <w:rsid w:val="00061CE2"/>
    <w:rsid w:val="00061D50"/>
    <w:rsid w:val="00061FC7"/>
    <w:rsid w:val="0006200F"/>
    <w:rsid w:val="0006270C"/>
    <w:rsid w:val="00062DD6"/>
    <w:rsid w:val="00063129"/>
    <w:rsid w:val="00064113"/>
    <w:rsid w:val="0006671D"/>
    <w:rsid w:val="00067AF7"/>
    <w:rsid w:val="00067E4A"/>
    <w:rsid w:val="00070273"/>
    <w:rsid w:val="00070C0B"/>
    <w:rsid w:val="00070FB6"/>
    <w:rsid w:val="00071951"/>
    <w:rsid w:val="0007213D"/>
    <w:rsid w:val="0007266B"/>
    <w:rsid w:val="0007308D"/>
    <w:rsid w:val="00073350"/>
    <w:rsid w:val="0007365C"/>
    <w:rsid w:val="00073874"/>
    <w:rsid w:val="00074234"/>
    <w:rsid w:val="00074D7F"/>
    <w:rsid w:val="00074F3F"/>
    <w:rsid w:val="00075D70"/>
    <w:rsid w:val="000765AB"/>
    <w:rsid w:val="00076890"/>
    <w:rsid w:val="00077694"/>
    <w:rsid w:val="000800F8"/>
    <w:rsid w:val="000803C5"/>
    <w:rsid w:val="0008044C"/>
    <w:rsid w:val="0008258E"/>
    <w:rsid w:val="0008367C"/>
    <w:rsid w:val="000838C9"/>
    <w:rsid w:val="00083C6E"/>
    <w:rsid w:val="00083E53"/>
    <w:rsid w:val="00084874"/>
    <w:rsid w:val="00084A9C"/>
    <w:rsid w:val="00084B29"/>
    <w:rsid w:val="00085400"/>
    <w:rsid w:val="000865E4"/>
    <w:rsid w:val="00086D54"/>
    <w:rsid w:val="000871D4"/>
    <w:rsid w:val="00087B34"/>
    <w:rsid w:val="00087BF3"/>
    <w:rsid w:val="00087EE1"/>
    <w:rsid w:val="00090024"/>
    <w:rsid w:val="00090355"/>
    <w:rsid w:val="00090536"/>
    <w:rsid w:val="00091D40"/>
    <w:rsid w:val="0009325F"/>
    <w:rsid w:val="000955D8"/>
    <w:rsid w:val="00095833"/>
    <w:rsid w:val="00095F1F"/>
    <w:rsid w:val="00096622"/>
    <w:rsid w:val="000966FA"/>
    <w:rsid w:val="0009699D"/>
    <w:rsid w:val="00097379"/>
    <w:rsid w:val="000977A2"/>
    <w:rsid w:val="000979DA"/>
    <w:rsid w:val="00097E1B"/>
    <w:rsid w:val="000A0ED2"/>
    <w:rsid w:val="000A169E"/>
    <w:rsid w:val="000A1738"/>
    <w:rsid w:val="000A17FE"/>
    <w:rsid w:val="000A19E6"/>
    <w:rsid w:val="000A2AEA"/>
    <w:rsid w:val="000A2E88"/>
    <w:rsid w:val="000A32C4"/>
    <w:rsid w:val="000A3D62"/>
    <w:rsid w:val="000A3DEC"/>
    <w:rsid w:val="000A47D2"/>
    <w:rsid w:val="000A48A1"/>
    <w:rsid w:val="000A4CFB"/>
    <w:rsid w:val="000A5395"/>
    <w:rsid w:val="000A5D71"/>
    <w:rsid w:val="000A68B2"/>
    <w:rsid w:val="000A6B2B"/>
    <w:rsid w:val="000A7074"/>
    <w:rsid w:val="000A768F"/>
    <w:rsid w:val="000A7AEB"/>
    <w:rsid w:val="000A7CC7"/>
    <w:rsid w:val="000B01C8"/>
    <w:rsid w:val="000B021B"/>
    <w:rsid w:val="000B0F27"/>
    <w:rsid w:val="000B119A"/>
    <w:rsid w:val="000B21CB"/>
    <w:rsid w:val="000B27F2"/>
    <w:rsid w:val="000B289C"/>
    <w:rsid w:val="000B3015"/>
    <w:rsid w:val="000B4F25"/>
    <w:rsid w:val="000B5771"/>
    <w:rsid w:val="000B59A3"/>
    <w:rsid w:val="000B5A9D"/>
    <w:rsid w:val="000B61B1"/>
    <w:rsid w:val="000B62F6"/>
    <w:rsid w:val="000B6453"/>
    <w:rsid w:val="000B7012"/>
    <w:rsid w:val="000B71DC"/>
    <w:rsid w:val="000B746D"/>
    <w:rsid w:val="000B7786"/>
    <w:rsid w:val="000C0014"/>
    <w:rsid w:val="000C08F8"/>
    <w:rsid w:val="000C0F7D"/>
    <w:rsid w:val="000C1C0C"/>
    <w:rsid w:val="000C2450"/>
    <w:rsid w:val="000C33F1"/>
    <w:rsid w:val="000C39C5"/>
    <w:rsid w:val="000C3B60"/>
    <w:rsid w:val="000C3D8E"/>
    <w:rsid w:val="000C3F54"/>
    <w:rsid w:val="000C4162"/>
    <w:rsid w:val="000C42BF"/>
    <w:rsid w:val="000C4307"/>
    <w:rsid w:val="000C47A0"/>
    <w:rsid w:val="000C4881"/>
    <w:rsid w:val="000C4DD2"/>
    <w:rsid w:val="000C510D"/>
    <w:rsid w:val="000C5FB6"/>
    <w:rsid w:val="000C6093"/>
    <w:rsid w:val="000C6F09"/>
    <w:rsid w:val="000C78F3"/>
    <w:rsid w:val="000D037C"/>
    <w:rsid w:val="000D05E5"/>
    <w:rsid w:val="000D1167"/>
    <w:rsid w:val="000D12FC"/>
    <w:rsid w:val="000D13D0"/>
    <w:rsid w:val="000D1596"/>
    <w:rsid w:val="000D1B7B"/>
    <w:rsid w:val="000D22B6"/>
    <w:rsid w:val="000D2E46"/>
    <w:rsid w:val="000D2F06"/>
    <w:rsid w:val="000D344E"/>
    <w:rsid w:val="000D3BE1"/>
    <w:rsid w:val="000D4C4D"/>
    <w:rsid w:val="000D57EB"/>
    <w:rsid w:val="000D5818"/>
    <w:rsid w:val="000D6ECB"/>
    <w:rsid w:val="000D7057"/>
    <w:rsid w:val="000E0E2D"/>
    <w:rsid w:val="000E1AFF"/>
    <w:rsid w:val="000E1BFF"/>
    <w:rsid w:val="000E1C06"/>
    <w:rsid w:val="000E1F86"/>
    <w:rsid w:val="000E237E"/>
    <w:rsid w:val="000E24B4"/>
    <w:rsid w:val="000E2929"/>
    <w:rsid w:val="000E2C0A"/>
    <w:rsid w:val="000E3201"/>
    <w:rsid w:val="000E36AD"/>
    <w:rsid w:val="000E397A"/>
    <w:rsid w:val="000E3BDC"/>
    <w:rsid w:val="000E4BE9"/>
    <w:rsid w:val="000E4DE5"/>
    <w:rsid w:val="000E4E85"/>
    <w:rsid w:val="000E5943"/>
    <w:rsid w:val="000E5CA4"/>
    <w:rsid w:val="000E64B8"/>
    <w:rsid w:val="000E6B8F"/>
    <w:rsid w:val="000E7B19"/>
    <w:rsid w:val="000F0CBD"/>
    <w:rsid w:val="000F0EE6"/>
    <w:rsid w:val="000F14DF"/>
    <w:rsid w:val="000F3035"/>
    <w:rsid w:val="000F577B"/>
    <w:rsid w:val="000F58E4"/>
    <w:rsid w:val="000F652B"/>
    <w:rsid w:val="000F6CE8"/>
    <w:rsid w:val="000F75EB"/>
    <w:rsid w:val="000F764F"/>
    <w:rsid w:val="000F7A12"/>
    <w:rsid w:val="00100380"/>
    <w:rsid w:val="00100763"/>
    <w:rsid w:val="0010196C"/>
    <w:rsid w:val="00101A62"/>
    <w:rsid w:val="00101D8A"/>
    <w:rsid w:val="00101FBC"/>
    <w:rsid w:val="00102273"/>
    <w:rsid w:val="00102285"/>
    <w:rsid w:val="0010276B"/>
    <w:rsid w:val="001029AF"/>
    <w:rsid w:val="0010362B"/>
    <w:rsid w:val="00103BE5"/>
    <w:rsid w:val="00104471"/>
    <w:rsid w:val="00104C65"/>
    <w:rsid w:val="00105840"/>
    <w:rsid w:val="0010605D"/>
    <w:rsid w:val="00106577"/>
    <w:rsid w:val="00106F75"/>
    <w:rsid w:val="00107E1D"/>
    <w:rsid w:val="00107E48"/>
    <w:rsid w:val="00107F26"/>
    <w:rsid w:val="00110185"/>
    <w:rsid w:val="00110DEC"/>
    <w:rsid w:val="00111191"/>
    <w:rsid w:val="00111EA4"/>
    <w:rsid w:val="00112648"/>
    <w:rsid w:val="00112A59"/>
    <w:rsid w:val="00112DF3"/>
    <w:rsid w:val="00112F8F"/>
    <w:rsid w:val="001133C1"/>
    <w:rsid w:val="00113797"/>
    <w:rsid w:val="00114E85"/>
    <w:rsid w:val="00115033"/>
    <w:rsid w:val="00115607"/>
    <w:rsid w:val="00115B8A"/>
    <w:rsid w:val="00115DEB"/>
    <w:rsid w:val="001163A9"/>
    <w:rsid w:val="00116727"/>
    <w:rsid w:val="001168BC"/>
    <w:rsid w:val="00116F18"/>
    <w:rsid w:val="001171DB"/>
    <w:rsid w:val="00117915"/>
    <w:rsid w:val="00117A4F"/>
    <w:rsid w:val="0012025B"/>
    <w:rsid w:val="001205DD"/>
    <w:rsid w:val="00120AED"/>
    <w:rsid w:val="00121919"/>
    <w:rsid w:val="0012216F"/>
    <w:rsid w:val="001228DF"/>
    <w:rsid w:val="001229EF"/>
    <w:rsid w:val="00122CEF"/>
    <w:rsid w:val="0012325A"/>
    <w:rsid w:val="00123315"/>
    <w:rsid w:val="0012418F"/>
    <w:rsid w:val="001249FE"/>
    <w:rsid w:val="0012523D"/>
    <w:rsid w:val="0012555C"/>
    <w:rsid w:val="001255E6"/>
    <w:rsid w:val="001258B7"/>
    <w:rsid w:val="0012621F"/>
    <w:rsid w:val="00126546"/>
    <w:rsid w:val="00126EF4"/>
    <w:rsid w:val="00127328"/>
    <w:rsid w:val="00130434"/>
    <w:rsid w:val="0013060D"/>
    <w:rsid w:val="00130E82"/>
    <w:rsid w:val="00131043"/>
    <w:rsid w:val="001312E0"/>
    <w:rsid w:val="00131376"/>
    <w:rsid w:val="00131958"/>
    <w:rsid w:val="00133518"/>
    <w:rsid w:val="00133DE5"/>
    <w:rsid w:val="00133E99"/>
    <w:rsid w:val="00134B7E"/>
    <w:rsid w:val="00134E0E"/>
    <w:rsid w:val="00134FF8"/>
    <w:rsid w:val="00135376"/>
    <w:rsid w:val="00135AD3"/>
    <w:rsid w:val="001365E2"/>
    <w:rsid w:val="0013759B"/>
    <w:rsid w:val="00137785"/>
    <w:rsid w:val="00140492"/>
    <w:rsid w:val="00140627"/>
    <w:rsid w:val="001407BD"/>
    <w:rsid w:val="00141172"/>
    <w:rsid w:val="00141320"/>
    <w:rsid w:val="00143AB6"/>
    <w:rsid w:val="001440C4"/>
    <w:rsid w:val="00144B63"/>
    <w:rsid w:val="00144D87"/>
    <w:rsid w:val="0014501F"/>
    <w:rsid w:val="00145476"/>
    <w:rsid w:val="001455A8"/>
    <w:rsid w:val="001456B2"/>
    <w:rsid w:val="00145955"/>
    <w:rsid w:val="00145A61"/>
    <w:rsid w:val="00145BA6"/>
    <w:rsid w:val="00145F2C"/>
    <w:rsid w:val="0014618B"/>
    <w:rsid w:val="001469AD"/>
    <w:rsid w:val="00146A10"/>
    <w:rsid w:val="00146A9E"/>
    <w:rsid w:val="00150BA5"/>
    <w:rsid w:val="00153994"/>
    <w:rsid w:val="001539F1"/>
    <w:rsid w:val="001539F5"/>
    <w:rsid w:val="00154918"/>
    <w:rsid w:val="00154D61"/>
    <w:rsid w:val="001551B3"/>
    <w:rsid w:val="001557A4"/>
    <w:rsid w:val="00155B8A"/>
    <w:rsid w:val="00155C06"/>
    <w:rsid w:val="00155E97"/>
    <w:rsid w:val="001570E3"/>
    <w:rsid w:val="001571BF"/>
    <w:rsid w:val="00157A9D"/>
    <w:rsid w:val="00157D2A"/>
    <w:rsid w:val="001604A2"/>
    <w:rsid w:val="001605C6"/>
    <w:rsid w:val="00160AA6"/>
    <w:rsid w:val="00160D3F"/>
    <w:rsid w:val="0016122F"/>
    <w:rsid w:val="001612CB"/>
    <w:rsid w:val="0016130E"/>
    <w:rsid w:val="0016148E"/>
    <w:rsid w:val="001620F0"/>
    <w:rsid w:val="001624D2"/>
    <w:rsid w:val="0016311F"/>
    <w:rsid w:val="00163397"/>
    <w:rsid w:val="0016396A"/>
    <w:rsid w:val="00164900"/>
    <w:rsid w:val="00164AF6"/>
    <w:rsid w:val="001654C8"/>
    <w:rsid w:val="0016785F"/>
    <w:rsid w:val="0016788A"/>
    <w:rsid w:val="001679F8"/>
    <w:rsid w:val="00167B80"/>
    <w:rsid w:val="00167EC2"/>
    <w:rsid w:val="00167F8A"/>
    <w:rsid w:val="00170837"/>
    <w:rsid w:val="001712EC"/>
    <w:rsid w:val="001716CE"/>
    <w:rsid w:val="00171970"/>
    <w:rsid w:val="00171E18"/>
    <w:rsid w:val="001722CA"/>
    <w:rsid w:val="00172795"/>
    <w:rsid w:val="001728BF"/>
    <w:rsid w:val="00172C61"/>
    <w:rsid w:val="0017306A"/>
    <w:rsid w:val="001735F6"/>
    <w:rsid w:val="001737DB"/>
    <w:rsid w:val="00173988"/>
    <w:rsid w:val="00173DE9"/>
    <w:rsid w:val="001740D8"/>
    <w:rsid w:val="0017412C"/>
    <w:rsid w:val="00174B08"/>
    <w:rsid w:val="00174E09"/>
    <w:rsid w:val="0017518A"/>
    <w:rsid w:val="001753DC"/>
    <w:rsid w:val="00176121"/>
    <w:rsid w:val="0017640C"/>
    <w:rsid w:val="00176F28"/>
    <w:rsid w:val="00177C87"/>
    <w:rsid w:val="00180051"/>
    <w:rsid w:val="00180356"/>
    <w:rsid w:val="001804A3"/>
    <w:rsid w:val="00180FC8"/>
    <w:rsid w:val="00181098"/>
    <w:rsid w:val="001810AD"/>
    <w:rsid w:val="00181F16"/>
    <w:rsid w:val="00182824"/>
    <w:rsid w:val="00182EDB"/>
    <w:rsid w:val="00182F05"/>
    <w:rsid w:val="0018315F"/>
    <w:rsid w:val="0018318F"/>
    <w:rsid w:val="001832B4"/>
    <w:rsid w:val="00183D8B"/>
    <w:rsid w:val="00184B88"/>
    <w:rsid w:val="00185517"/>
    <w:rsid w:val="00187568"/>
    <w:rsid w:val="00187F20"/>
    <w:rsid w:val="001901FE"/>
    <w:rsid w:val="00190F20"/>
    <w:rsid w:val="00190F23"/>
    <w:rsid w:val="00191C38"/>
    <w:rsid w:val="00192776"/>
    <w:rsid w:val="0019298D"/>
    <w:rsid w:val="00196190"/>
    <w:rsid w:val="001965B5"/>
    <w:rsid w:val="0019669A"/>
    <w:rsid w:val="001974F0"/>
    <w:rsid w:val="00197607"/>
    <w:rsid w:val="00197BEB"/>
    <w:rsid w:val="00197FC6"/>
    <w:rsid w:val="001A0310"/>
    <w:rsid w:val="001A049D"/>
    <w:rsid w:val="001A0DC1"/>
    <w:rsid w:val="001A1286"/>
    <w:rsid w:val="001A12C8"/>
    <w:rsid w:val="001A1563"/>
    <w:rsid w:val="001A1BFA"/>
    <w:rsid w:val="001A3098"/>
    <w:rsid w:val="001A35CD"/>
    <w:rsid w:val="001A35E5"/>
    <w:rsid w:val="001A3EAA"/>
    <w:rsid w:val="001A44BA"/>
    <w:rsid w:val="001A58DA"/>
    <w:rsid w:val="001A6359"/>
    <w:rsid w:val="001A6E1E"/>
    <w:rsid w:val="001A7319"/>
    <w:rsid w:val="001A7A02"/>
    <w:rsid w:val="001A7DE7"/>
    <w:rsid w:val="001B02CE"/>
    <w:rsid w:val="001B0525"/>
    <w:rsid w:val="001B22E7"/>
    <w:rsid w:val="001B24B9"/>
    <w:rsid w:val="001B25D5"/>
    <w:rsid w:val="001B3B9E"/>
    <w:rsid w:val="001B3CC9"/>
    <w:rsid w:val="001B418A"/>
    <w:rsid w:val="001B4C8D"/>
    <w:rsid w:val="001B6B9D"/>
    <w:rsid w:val="001B7375"/>
    <w:rsid w:val="001B7CE0"/>
    <w:rsid w:val="001C1ABC"/>
    <w:rsid w:val="001C1AE6"/>
    <w:rsid w:val="001C27A1"/>
    <w:rsid w:val="001C2F40"/>
    <w:rsid w:val="001C44EB"/>
    <w:rsid w:val="001C46D2"/>
    <w:rsid w:val="001C4AFF"/>
    <w:rsid w:val="001C4D1B"/>
    <w:rsid w:val="001C59BF"/>
    <w:rsid w:val="001C6430"/>
    <w:rsid w:val="001C7692"/>
    <w:rsid w:val="001C7ED0"/>
    <w:rsid w:val="001C7F27"/>
    <w:rsid w:val="001D098D"/>
    <w:rsid w:val="001D15FD"/>
    <w:rsid w:val="001D2A3D"/>
    <w:rsid w:val="001D3B10"/>
    <w:rsid w:val="001D3EF9"/>
    <w:rsid w:val="001D5643"/>
    <w:rsid w:val="001D568E"/>
    <w:rsid w:val="001D7922"/>
    <w:rsid w:val="001E1BEB"/>
    <w:rsid w:val="001E1D19"/>
    <w:rsid w:val="001E2CF5"/>
    <w:rsid w:val="001E2E55"/>
    <w:rsid w:val="001E37C6"/>
    <w:rsid w:val="001E37CC"/>
    <w:rsid w:val="001E3EA3"/>
    <w:rsid w:val="001E3EBA"/>
    <w:rsid w:val="001E42A3"/>
    <w:rsid w:val="001E4A48"/>
    <w:rsid w:val="001E5155"/>
    <w:rsid w:val="001E6260"/>
    <w:rsid w:val="001E62AA"/>
    <w:rsid w:val="001E6A05"/>
    <w:rsid w:val="001E6A68"/>
    <w:rsid w:val="001E6CF7"/>
    <w:rsid w:val="001E6D73"/>
    <w:rsid w:val="001E7097"/>
    <w:rsid w:val="001E71EA"/>
    <w:rsid w:val="001E7393"/>
    <w:rsid w:val="001E78D3"/>
    <w:rsid w:val="001E7E80"/>
    <w:rsid w:val="001F164C"/>
    <w:rsid w:val="001F1AEF"/>
    <w:rsid w:val="001F1E43"/>
    <w:rsid w:val="001F24F1"/>
    <w:rsid w:val="001F2848"/>
    <w:rsid w:val="001F33A1"/>
    <w:rsid w:val="001F37E6"/>
    <w:rsid w:val="001F3D85"/>
    <w:rsid w:val="001F3E76"/>
    <w:rsid w:val="001F4357"/>
    <w:rsid w:val="001F46D4"/>
    <w:rsid w:val="001F4815"/>
    <w:rsid w:val="001F6616"/>
    <w:rsid w:val="001F7331"/>
    <w:rsid w:val="001F76A0"/>
    <w:rsid w:val="001F7C68"/>
    <w:rsid w:val="001F7D93"/>
    <w:rsid w:val="001F7ED4"/>
    <w:rsid w:val="002002D9"/>
    <w:rsid w:val="00200C2E"/>
    <w:rsid w:val="00200E02"/>
    <w:rsid w:val="00201128"/>
    <w:rsid w:val="00201264"/>
    <w:rsid w:val="00202114"/>
    <w:rsid w:val="00202355"/>
    <w:rsid w:val="00202991"/>
    <w:rsid w:val="00202DA1"/>
    <w:rsid w:val="00203F4C"/>
    <w:rsid w:val="00204851"/>
    <w:rsid w:val="00204999"/>
    <w:rsid w:val="00204D23"/>
    <w:rsid w:val="002054DA"/>
    <w:rsid w:val="002065D6"/>
    <w:rsid w:val="0020760B"/>
    <w:rsid w:val="00207C91"/>
    <w:rsid w:val="00207FC0"/>
    <w:rsid w:val="00210AB9"/>
    <w:rsid w:val="00210FC8"/>
    <w:rsid w:val="00211745"/>
    <w:rsid w:val="00211761"/>
    <w:rsid w:val="00211ED6"/>
    <w:rsid w:val="00212182"/>
    <w:rsid w:val="002125FD"/>
    <w:rsid w:val="0021320B"/>
    <w:rsid w:val="0021365C"/>
    <w:rsid w:val="00214286"/>
    <w:rsid w:val="00215064"/>
    <w:rsid w:val="00215268"/>
    <w:rsid w:val="002153CA"/>
    <w:rsid w:val="00215695"/>
    <w:rsid w:val="00216686"/>
    <w:rsid w:val="0021692B"/>
    <w:rsid w:val="00216C91"/>
    <w:rsid w:val="00217262"/>
    <w:rsid w:val="00220040"/>
    <w:rsid w:val="00220B98"/>
    <w:rsid w:val="00221485"/>
    <w:rsid w:val="00221D86"/>
    <w:rsid w:val="002223BF"/>
    <w:rsid w:val="00222AF1"/>
    <w:rsid w:val="0022393F"/>
    <w:rsid w:val="0022399F"/>
    <w:rsid w:val="00224711"/>
    <w:rsid w:val="00225393"/>
    <w:rsid w:val="0022555A"/>
    <w:rsid w:val="0022574F"/>
    <w:rsid w:val="00225A33"/>
    <w:rsid w:val="00226427"/>
    <w:rsid w:val="0022648E"/>
    <w:rsid w:val="002266F4"/>
    <w:rsid w:val="00226F0D"/>
    <w:rsid w:val="00226F24"/>
    <w:rsid w:val="00226FEC"/>
    <w:rsid w:val="002276E1"/>
    <w:rsid w:val="00227F7A"/>
    <w:rsid w:val="002301C9"/>
    <w:rsid w:val="00230474"/>
    <w:rsid w:val="002309F3"/>
    <w:rsid w:val="00231337"/>
    <w:rsid w:val="00231599"/>
    <w:rsid w:val="0023257D"/>
    <w:rsid w:val="002328D0"/>
    <w:rsid w:val="00232935"/>
    <w:rsid w:val="00232F03"/>
    <w:rsid w:val="002330C2"/>
    <w:rsid w:val="00233A96"/>
    <w:rsid w:val="00234003"/>
    <w:rsid w:val="002340B5"/>
    <w:rsid w:val="0023463E"/>
    <w:rsid w:val="002352AD"/>
    <w:rsid w:val="002356DD"/>
    <w:rsid w:val="00235D39"/>
    <w:rsid w:val="00236A4E"/>
    <w:rsid w:val="002374C7"/>
    <w:rsid w:val="00240BCC"/>
    <w:rsid w:val="00241217"/>
    <w:rsid w:val="00241897"/>
    <w:rsid w:val="00242267"/>
    <w:rsid w:val="00242D65"/>
    <w:rsid w:val="002430D0"/>
    <w:rsid w:val="002430D8"/>
    <w:rsid w:val="00243A80"/>
    <w:rsid w:val="00243BB1"/>
    <w:rsid w:val="00243CF2"/>
    <w:rsid w:val="00244216"/>
    <w:rsid w:val="002444AD"/>
    <w:rsid w:val="002451E0"/>
    <w:rsid w:val="00246343"/>
    <w:rsid w:val="00246403"/>
    <w:rsid w:val="00246C24"/>
    <w:rsid w:val="00247452"/>
    <w:rsid w:val="00247497"/>
    <w:rsid w:val="00247641"/>
    <w:rsid w:val="00247AB1"/>
    <w:rsid w:val="0025091D"/>
    <w:rsid w:val="00250E24"/>
    <w:rsid w:val="00250E42"/>
    <w:rsid w:val="0025101C"/>
    <w:rsid w:val="00251551"/>
    <w:rsid w:val="00251788"/>
    <w:rsid w:val="002517F3"/>
    <w:rsid w:val="00251931"/>
    <w:rsid w:val="002520C0"/>
    <w:rsid w:val="002520EB"/>
    <w:rsid w:val="002526F7"/>
    <w:rsid w:val="002537E7"/>
    <w:rsid w:val="00255DC5"/>
    <w:rsid w:val="00255E87"/>
    <w:rsid w:val="00255FD0"/>
    <w:rsid w:val="0025632A"/>
    <w:rsid w:val="0025684E"/>
    <w:rsid w:val="00256C68"/>
    <w:rsid w:val="00256EC0"/>
    <w:rsid w:val="002571F2"/>
    <w:rsid w:val="00257309"/>
    <w:rsid w:val="0025735F"/>
    <w:rsid w:val="002576AA"/>
    <w:rsid w:val="002608F4"/>
    <w:rsid w:val="0026099C"/>
    <w:rsid w:val="00261C70"/>
    <w:rsid w:val="00261F69"/>
    <w:rsid w:val="002627CD"/>
    <w:rsid w:val="002629A5"/>
    <w:rsid w:val="002636BB"/>
    <w:rsid w:val="00263EAA"/>
    <w:rsid w:val="00264DD2"/>
    <w:rsid w:val="002669E4"/>
    <w:rsid w:val="00266A18"/>
    <w:rsid w:val="00266DC2"/>
    <w:rsid w:val="002674DA"/>
    <w:rsid w:val="0027000C"/>
    <w:rsid w:val="00270575"/>
    <w:rsid w:val="00271220"/>
    <w:rsid w:val="00271C37"/>
    <w:rsid w:val="002739D0"/>
    <w:rsid w:val="002747DB"/>
    <w:rsid w:val="00274E2D"/>
    <w:rsid w:val="002754A1"/>
    <w:rsid w:val="00275817"/>
    <w:rsid w:val="002758FC"/>
    <w:rsid w:val="0027622B"/>
    <w:rsid w:val="00276BA0"/>
    <w:rsid w:val="00276BC1"/>
    <w:rsid w:val="002771B1"/>
    <w:rsid w:val="00277421"/>
    <w:rsid w:val="002777E9"/>
    <w:rsid w:val="00277995"/>
    <w:rsid w:val="002806AD"/>
    <w:rsid w:val="0028080C"/>
    <w:rsid w:val="002816B7"/>
    <w:rsid w:val="0028283C"/>
    <w:rsid w:val="0028285C"/>
    <w:rsid w:val="00282938"/>
    <w:rsid w:val="00282BE3"/>
    <w:rsid w:val="00282E63"/>
    <w:rsid w:val="0028319F"/>
    <w:rsid w:val="002831AB"/>
    <w:rsid w:val="00283348"/>
    <w:rsid w:val="00284A52"/>
    <w:rsid w:val="00284C17"/>
    <w:rsid w:val="00284D38"/>
    <w:rsid w:val="00284F49"/>
    <w:rsid w:val="00284F56"/>
    <w:rsid w:val="00285387"/>
    <w:rsid w:val="00285A07"/>
    <w:rsid w:val="00285B04"/>
    <w:rsid w:val="00286652"/>
    <w:rsid w:val="002866DE"/>
    <w:rsid w:val="00286B4D"/>
    <w:rsid w:val="0029018D"/>
    <w:rsid w:val="002902A0"/>
    <w:rsid w:val="0029084C"/>
    <w:rsid w:val="00290E01"/>
    <w:rsid w:val="0029123F"/>
    <w:rsid w:val="002916F0"/>
    <w:rsid w:val="00291F1D"/>
    <w:rsid w:val="00292C5E"/>
    <w:rsid w:val="00293CAF"/>
    <w:rsid w:val="00293CD1"/>
    <w:rsid w:val="00294303"/>
    <w:rsid w:val="00294EF8"/>
    <w:rsid w:val="002951D8"/>
    <w:rsid w:val="002953AB"/>
    <w:rsid w:val="002958E3"/>
    <w:rsid w:val="002978DF"/>
    <w:rsid w:val="00297E67"/>
    <w:rsid w:val="002A0096"/>
    <w:rsid w:val="002A0C2C"/>
    <w:rsid w:val="002A0C4E"/>
    <w:rsid w:val="002A0E02"/>
    <w:rsid w:val="002A105E"/>
    <w:rsid w:val="002A1554"/>
    <w:rsid w:val="002A1ADE"/>
    <w:rsid w:val="002A1D89"/>
    <w:rsid w:val="002A2F0C"/>
    <w:rsid w:val="002A30D7"/>
    <w:rsid w:val="002A3222"/>
    <w:rsid w:val="002A3934"/>
    <w:rsid w:val="002A397C"/>
    <w:rsid w:val="002A3F71"/>
    <w:rsid w:val="002A4910"/>
    <w:rsid w:val="002A4C28"/>
    <w:rsid w:val="002A4EB6"/>
    <w:rsid w:val="002A4F7F"/>
    <w:rsid w:val="002A5413"/>
    <w:rsid w:val="002A55A6"/>
    <w:rsid w:val="002A590E"/>
    <w:rsid w:val="002A62D2"/>
    <w:rsid w:val="002A6731"/>
    <w:rsid w:val="002A67C3"/>
    <w:rsid w:val="002A6D7D"/>
    <w:rsid w:val="002A7565"/>
    <w:rsid w:val="002A7893"/>
    <w:rsid w:val="002A7CD1"/>
    <w:rsid w:val="002A7E61"/>
    <w:rsid w:val="002B010F"/>
    <w:rsid w:val="002B01D5"/>
    <w:rsid w:val="002B0C3B"/>
    <w:rsid w:val="002B1865"/>
    <w:rsid w:val="002B216B"/>
    <w:rsid w:val="002B2571"/>
    <w:rsid w:val="002B2A6B"/>
    <w:rsid w:val="002B38CE"/>
    <w:rsid w:val="002B3923"/>
    <w:rsid w:val="002B3D1C"/>
    <w:rsid w:val="002B3EF3"/>
    <w:rsid w:val="002B5E6E"/>
    <w:rsid w:val="002B60A4"/>
    <w:rsid w:val="002B643B"/>
    <w:rsid w:val="002B6D7F"/>
    <w:rsid w:val="002B6F53"/>
    <w:rsid w:val="002B787E"/>
    <w:rsid w:val="002B7CF4"/>
    <w:rsid w:val="002B7E2B"/>
    <w:rsid w:val="002C031C"/>
    <w:rsid w:val="002C07E1"/>
    <w:rsid w:val="002C07ED"/>
    <w:rsid w:val="002C0B66"/>
    <w:rsid w:val="002C0DAC"/>
    <w:rsid w:val="002C16D1"/>
    <w:rsid w:val="002C1814"/>
    <w:rsid w:val="002C2232"/>
    <w:rsid w:val="002C2A48"/>
    <w:rsid w:val="002C2E47"/>
    <w:rsid w:val="002C34C6"/>
    <w:rsid w:val="002C41BA"/>
    <w:rsid w:val="002C437F"/>
    <w:rsid w:val="002C441F"/>
    <w:rsid w:val="002C5A67"/>
    <w:rsid w:val="002C65D1"/>
    <w:rsid w:val="002C6CD1"/>
    <w:rsid w:val="002C7049"/>
    <w:rsid w:val="002C7415"/>
    <w:rsid w:val="002C763E"/>
    <w:rsid w:val="002C7EDA"/>
    <w:rsid w:val="002D0AC8"/>
    <w:rsid w:val="002D1713"/>
    <w:rsid w:val="002D1B38"/>
    <w:rsid w:val="002D21EB"/>
    <w:rsid w:val="002D2616"/>
    <w:rsid w:val="002D2D72"/>
    <w:rsid w:val="002D34E9"/>
    <w:rsid w:val="002D38BA"/>
    <w:rsid w:val="002D4047"/>
    <w:rsid w:val="002D590D"/>
    <w:rsid w:val="002D5985"/>
    <w:rsid w:val="002D5B60"/>
    <w:rsid w:val="002D5C29"/>
    <w:rsid w:val="002D6032"/>
    <w:rsid w:val="002D75E1"/>
    <w:rsid w:val="002E0621"/>
    <w:rsid w:val="002E0938"/>
    <w:rsid w:val="002E0C3C"/>
    <w:rsid w:val="002E13B5"/>
    <w:rsid w:val="002E14EC"/>
    <w:rsid w:val="002E16E1"/>
    <w:rsid w:val="002E17F7"/>
    <w:rsid w:val="002E1A92"/>
    <w:rsid w:val="002E1CD3"/>
    <w:rsid w:val="002E42BE"/>
    <w:rsid w:val="002E4B17"/>
    <w:rsid w:val="002E603C"/>
    <w:rsid w:val="002E6B25"/>
    <w:rsid w:val="002E719C"/>
    <w:rsid w:val="002E71AB"/>
    <w:rsid w:val="002E751C"/>
    <w:rsid w:val="002E7D94"/>
    <w:rsid w:val="002F00A4"/>
    <w:rsid w:val="002F0921"/>
    <w:rsid w:val="002F0A50"/>
    <w:rsid w:val="002F0CCB"/>
    <w:rsid w:val="002F1E2E"/>
    <w:rsid w:val="002F207E"/>
    <w:rsid w:val="002F2140"/>
    <w:rsid w:val="002F2A28"/>
    <w:rsid w:val="002F2E4E"/>
    <w:rsid w:val="002F2ECE"/>
    <w:rsid w:val="002F2F32"/>
    <w:rsid w:val="002F2F4C"/>
    <w:rsid w:val="002F30F2"/>
    <w:rsid w:val="002F360B"/>
    <w:rsid w:val="002F3EFD"/>
    <w:rsid w:val="002F478D"/>
    <w:rsid w:val="002F4F78"/>
    <w:rsid w:val="002F595A"/>
    <w:rsid w:val="002F650C"/>
    <w:rsid w:val="002F6B33"/>
    <w:rsid w:val="002F6CCB"/>
    <w:rsid w:val="002F6E13"/>
    <w:rsid w:val="002F7301"/>
    <w:rsid w:val="00301E07"/>
    <w:rsid w:val="00303F4C"/>
    <w:rsid w:val="00304E16"/>
    <w:rsid w:val="00304F6A"/>
    <w:rsid w:val="00305876"/>
    <w:rsid w:val="003069E1"/>
    <w:rsid w:val="00306E0B"/>
    <w:rsid w:val="00307554"/>
    <w:rsid w:val="00307832"/>
    <w:rsid w:val="0030787B"/>
    <w:rsid w:val="00307C6F"/>
    <w:rsid w:val="00307FF4"/>
    <w:rsid w:val="00310163"/>
    <w:rsid w:val="0031098B"/>
    <w:rsid w:val="00310F3C"/>
    <w:rsid w:val="0031150E"/>
    <w:rsid w:val="00311A3C"/>
    <w:rsid w:val="00311AE4"/>
    <w:rsid w:val="0031207E"/>
    <w:rsid w:val="003121B1"/>
    <w:rsid w:val="00312320"/>
    <w:rsid w:val="003128D6"/>
    <w:rsid w:val="003132B8"/>
    <w:rsid w:val="00313450"/>
    <w:rsid w:val="0031399C"/>
    <w:rsid w:val="00313D3F"/>
    <w:rsid w:val="00313F75"/>
    <w:rsid w:val="00313FC6"/>
    <w:rsid w:val="00314A7E"/>
    <w:rsid w:val="00314AC6"/>
    <w:rsid w:val="0031564B"/>
    <w:rsid w:val="00315672"/>
    <w:rsid w:val="00315B88"/>
    <w:rsid w:val="00317050"/>
    <w:rsid w:val="00320477"/>
    <w:rsid w:val="00321B74"/>
    <w:rsid w:val="00322E27"/>
    <w:rsid w:val="00322FBC"/>
    <w:rsid w:val="003239F9"/>
    <w:rsid w:val="00323DF2"/>
    <w:rsid w:val="00323F4A"/>
    <w:rsid w:val="00324DBF"/>
    <w:rsid w:val="00325841"/>
    <w:rsid w:val="0032591A"/>
    <w:rsid w:val="00325B7A"/>
    <w:rsid w:val="003260B3"/>
    <w:rsid w:val="0032640E"/>
    <w:rsid w:val="0032717B"/>
    <w:rsid w:val="0032796B"/>
    <w:rsid w:val="00327ADB"/>
    <w:rsid w:val="00327BEB"/>
    <w:rsid w:val="00327C1D"/>
    <w:rsid w:val="0033051B"/>
    <w:rsid w:val="00331680"/>
    <w:rsid w:val="003318B9"/>
    <w:rsid w:val="003320F5"/>
    <w:rsid w:val="00332292"/>
    <w:rsid w:val="00332B6F"/>
    <w:rsid w:val="00332DD3"/>
    <w:rsid w:val="00332E29"/>
    <w:rsid w:val="003332D9"/>
    <w:rsid w:val="00333BB8"/>
    <w:rsid w:val="00333CFB"/>
    <w:rsid w:val="00334A54"/>
    <w:rsid w:val="00334F10"/>
    <w:rsid w:val="003352B7"/>
    <w:rsid w:val="00335ADA"/>
    <w:rsid w:val="00335B2F"/>
    <w:rsid w:val="00335D6C"/>
    <w:rsid w:val="00337046"/>
    <w:rsid w:val="0033795D"/>
    <w:rsid w:val="00340547"/>
    <w:rsid w:val="003406F2"/>
    <w:rsid w:val="00340B80"/>
    <w:rsid w:val="003412DA"/>
    <w:rsid w:val="003416CD"/>
    <w:rsid w:val="00342CBD"/>
    <w:rsid w:val="00343BA2"/>
    <w:rsid w:val="00344438"/>
    <w:rsid w:val="00344618"/>
    <w:rsid w:val="003451DA"/>
    <w:rsid w:val="00345496"/>
    <w:rsid w:val="00345D37"/>
    <w:rsid w:val="003463E9"/>
    <w:rsid w:val="003474C1"/>
    <w:rsid w:val="00347D65"/>
    <w:rsid w:val="00347FE9"/>
    <w:rsid w:val="00350220"/>
    <w:rsid w:val="00350870"/>
    <w:rsid w:val="003508EE"/>
    <w:rsid w:val="0035111B"/>
    <w:rsid w:val="003518B6"/>
    <w:rsid w:val="00351E1B"/>
    <w:rsid w:val="00351E5D"/>
    <w:rsid w:val="003526A5"/>
    <w:rsid w:val="003526C3"/>
    <w:rsid w:val="00352A6C"/>
    <w:rsid w:val="00352B8C"/>
    <w:rsid w:val="0035425A"/>
    <w:rsid w:val="003561A5"/>
    <w:rsid w:val="00356393"/>
    <w:rsid w:val="00356DF7"/>
    <w:rsid w:val="0036046F"/>
    <w:rsid w:val="00360D1F"/>
    <w:rsid w:val="003616DF"/>
    <w:rsid w:val="003629AB"/>
    <w:rsid w:val="00362CF2"/>
    <w:rsid w:val="0036363D"/>
    <w:rsid w:val="00363D59"/>
    <w:rsid w:val="00363DCC"/>
    <w:rsid w:val="00364159"/>
    <w:rsid w:val="00364187"/>
    <w:rsid w:val="00364A09"/>
    <w:rsid w:val="00364BB3"/>
    <w:rsid w:val="00364CE2"/>
    <w:rsid w:val="0036524E"/>
    <w:rsid w:val="00365BEF"/>
    <w:rsid w:val="00365CCB"/>
    <w:rsid w:val="00365E48"/>
    <w:rsid w:val="00366EA4"/>
    <w:rsid w:val="0036740A"/>
    <w:rsid w:val="00367C9C"/>
    <w:rsid w:val="00367CBC"/>
    <w:rsid w:val="003701AB"/>
    <w:rsid w:val="003708E1"/>
    <w:rsid w:val="0037094A"/>
    <w:rsid w:val="003720A1"/>
    <w:rsid w:val="00372863"/>
    <w:rsid w:val="0037299A"/>
    <w:rsid w:val="00372A2D"/>
    <w:rsid w:val="00372BF3"/>
    <w:rsid w:val="00372D89"/>
    <w:rsid w:val="00373D96"/>
    <w:rsid w:val="003754D0"/>
    <w:rsid w:val="00375A38"/>
    <w:rsid w:val="0037629D"/>
    <w:rsid w:val="00376728"/>
    <w:rsid w:val="00376950"/>
    <w:rsid w:val="0037729F"/>
    <w:rsid w:val="0037766D"/>
    <w:rsid w:val="00377A13"/>
    <w:rsid w:val="0038045C"/>
    <w:rsid w:val="00380AE6"/>
    <w:rsid w:val="00380C39"/>
    <w:rsid w:val="00381626"/>
    <w:rsid w:val="00381C3F"/>
    <w:rsid w:val="00382507"/>
    <w:rsid w:val="003834C5"/>
    <w:rsid w:val="00384574"/>
    <w:rsid w:val="00384A6B"/>
    <w:rsid w:val="0038596B"/>
    <w:rsid w:val="003871BF"/>
    <w:rsid w:val="00387598"/>
    <w:rsid w:val="00390A2E"/>
    <w:rsid w:val="00390A5A"/>
    <w:rsid w:val="003913AE"/>
    <w:rsid w:val="00391884"/>
    <w:rsid w:val="00392360"/>
    <w:rsid w:val="00393861"/>
    <w:rsid w:val="00393A2F"/>
    <w:rsid w:val="00393F3A"/>
    <w:rsid w:val="00394154"/>
    <w:rsid w:val="00394C79"/>
    <w:rsid w:val="00395D12"/>
    <w:rsid w:val="00395DEF"/>
    <w:rsid w:val="003965B4"/>
    <w:rsid w:val="0039705F"/>
    <w:rsid w:val="00397179"/>
    <w:rsid w:val="00397611"/>
    <w:rsid w:val="00397F08"/>
    <w:rsid w:val="003A0AD0"/>
    <w:rsid w:val="003A1509"/>
    <w:rsid w:val="003A17AD"/>
    <w:rsid w:val="003A2C1B"/>
    <w:rsid w:val="003A2CF8"/>
    <w:rsid w:val="003A3153"/>
    <w:rsid w:val="003A39A9"/>
    <w:rsid w:val="003A3AED"/>
    <w:rsid w:val="003A4816"/>
    <w:rsid w:val="003A66E9"/>
    <w:rsid w:val="003A7D2A"/>
    <w:rsid w:val="003B00DB"/>
    <w:rsid w:val="003B01B7"/>
    <w:rsid w:val="003B025A"/>
    <w:rsid w:val="003B04F1"/>
    <w:rsid w:val="003B0CCD"/>
    <w:rsid w:val="003B12E3"/>
    <w:rsid w:val="003B1641"/>
    <w:rsid w:val="003B1946"/>
    <w:rsid w:val="003B24F0"/>
    <w:rsid w:val="003B2AB5"/>
    <w:rsid w:val="003B2B8B"/>
    <w:rsid w:val="003B2DA2"/>
    <w:rsid w:val="003B2FE2"/>
    <w:rsid w:val="003B3642"/>
    <w:rsid w:val="003B4032"/>
    <w:rsid w:val="003B4F03"/>
    <w:rsid w:val="003B5119"/>
    <w:rsid w:val="003B529B"/>
    <w:rsid w:val="003B635B"/>
    <w:rsid w:val="003B67D5"/>
    <w:rsid w:val="003B6A8B"/>
    <w:rsid w:val="003B6EAA"/>
    <w:rsid w:val="003B6F33"/>
    <w:rsid w:val="003B6F93"/>
    <w:rsid w:val="003B77A2"/>
    <w:rsid w:val="003B7CB8"/>
    <w:rsid w:val="003C09CE"/>
    <w:rsid w:val="003C0B99"/>
    <w:rsid w:val="003C22D5"/>
    <w:rsid w:val="003C232B"/>
    <w:rsid w:val="003C2502"/>
    <w:rsid w:val="003C2703"/>
    <w:rsid w:val="003C2B67"/>
    <w:rsid w:val="003C2FC6"/>
    <w:rsid w:val="003C3653"/>
    <w:rsid w:val="003C3A3E"/>
    <w:rsid w:val="003C3F07"/>
    <w:rsid w:val="003C4186"/>
    <w:rsid w:val="003C58CA"/>
    <w:rsid w:val="003C5918"/>
    <w:rsid w:val="003C5952"/>
    <w:rsid w:val="003C619E"/>
    <w:rsid w:val="003C62D2"/>
    <w:rsid w:val="003C6CFF"/>
    <w:rsid w:val="003C73AF"/>
    <w:rsid w:val="003D0203"/>
    <w:rsid w:val="003D0AE6"/>
    <w:rsid w:val="003D0CFF"/>
    <w:rsid w:val="003D0D36"/>
    <w:rsid w:val="003D1CFE"/>
    <w:rsid w:val="003D26D6"/>
    <w:rsid w:val="003D2B73"/>
    <w:rsid w:val="003D3CF4"/>
    <w:rsid w:val="003D3D0A"/>
    <w:rsid w:val="003D3E22"/>
    <w:rsid w:val="003D4302"/>
    <w:rsid w:val="003D452F"/>
    <w:rsid w:val="003D5152"/>
    <w:rsid w:val="003D5E4C"/>
    <w:rsid w:val="003D6B76"/>
    <w:rsid w:val="003D70C9"/>
    <w:rsid w:val="003D7C0C"/>
    <w:rsid w:val="003E0057"/>
    <w:rsid w:val="003E0298"/>
    <w:rsid w:val="003E09D5"/>
    <w:rsid w:val="003E0B2F"/>
    <w:rsid w:val="003E12F8"/>
    <w:rsid w:val="003E354B"/>
    <w:rsid w:val="003E3646"/>
    <w:rsid w:val="003E3688"/>
    <w:rsid w:val="003E3951"/>
    <w:rsid w:val="003E3A0F"/>
    <w:rsid w:val="003E3DD9"/>
    <w:rsid w:val="003E44F1"/>
    <w:rsid w:val="003E4831"/>
    <w:rsid w:val="003E4846"/>
    <w:rsid w:val="003E484D"/>
    <w:rsid w:val="003E5D15"/>
    <w:rsid w:val="003E6B2F"/>
    <w:rsid w:val="003E7B36"/>
    <w:rsid w:val="003E7FAD"/>
    <w:rsid w:val="003F02CC"/>
    <w:rsid w:val="003F0CE7"/>
    <w:rsid w:val="003F0F56"/>
    <w:rsid w:val="003F100C"/>
    <w:rsid w:val="003F103C"/>
    <w:rsid w:val="003F16B7"/>
    <w:rsid w:val="003F1834"/>
    <w:rsid w:val="003F1AF3"/>
    <w:rsid w:val="003F1DE8"/>
    <w:rsid w:val="003F25F3"/>
    <w:rsid w:val="003F2ABF"/>
    <w:rsid w:val="003F2B37"/>
    <w:rsid w:val="003F34D8"/>
    <w:rsid w:val="003F3F2E"/>
    <w:rsid w:val="003F54F8"/>
    <w:rsid w:val="003F57F3"/>
    <w:rsid w:val="003F5D65"/>
    <w:rsid w:val="003F67D4"/>
    <w:rsid w:val="003F6BC2"/>
    <w:rsid w:val="003F73F9"/>
    <w:rsid w:val="003F7890"/>
    <w:rsid w:val="00400200"/>
    <w:rsid w:val="004002C1"/>
    <w:rsid w:val="0040170E"/>
    <w:rsid w:val="00401ACC"/>
    <w:rsid w:val="004020B2"/>
    <w:rsid w:val="00402431"/>
    <w:rsid w:val="00402CD9"/>
    <w:rsid w:val="00403727"/>
    <w:rsid w:val="00403F26"/>
    <w:rsid w:val="00403F9B"/>
    <w:rsid w:val="00404BE1"/>
    <w:rsid w:val="00404F21"/>
    <w:rsid w:val="004051FB"/>
    <w:rsid w:val="00405957"/>
    <w:rsid w:val="00406006"/>
    <w:rsid w:val="00406298"/>
    <w:rsid w:val="004063AE"/>
    <w:rsid w:val="00406686"/>
    <w:rsid w:val="00406B2A"/>
    <w:rsid w:val="0040733B"/>
    <w:rsid w:val="00407539"/>
    <w:rsid w:val="0040783F"/>
    <w:rsid w:val="00407D78"/>
    <w:rsid w:val="00407E97"/>
    <w:rsid w:val="00410835"/>
    <w:rsid w:val="00410B46"/>
    <w:rsid w:val="00410BBC"/>
    <w:rsid w:val="00410D76"/>
    <w:rsid w:val="00410D7E"/>
    <w:rsid w:val="004112A1"/>
    <w:rsid w:val="004114F0"/>
    <w:rsid w:val="004119E4"/>
    <w:rsid w:val="00412BDB"/>
    <w:rsid w:val="00413668"/>
    <w:rsid w:val="004144C9"/>
    <w:rsid w:val="00415A5D"/>
    <w:rsid w:val="00415F9B"/>
    <w:rsid w:val="0041600C"/>
    <w:rsid w:val="00416A4C"/>
    <w:rsid w:val="00417887"/>
    <w:rsid w:val="00417AEB"/>
    <w:rsid w:val="00417DFA"/>
    <w:rsid w:val="00420043"/>
    <w:rsid w:val="00420724"/>
    <w:rsid w:val="004208CD"/>
    <w:rsid w:val="00420C79"/>
    <w:rsid w:val="00421ACE"/>
    <w:rsid w:val="00421B72"/>
    <w:rsid w:val="0042328D"/>
    <w:rsid w:val="004236DC"/>
    <w:rsid w:val="00423879"/>
    <w:rsid w:val="004246B6"/>
    <w:rsid w:val="0042491D"/>
    <w:rsid w:val="00424B38"/>
    <w:rsid w:val="004256BD"/>
    <w:rsid w:val="00426020"/>
    <w:rsid w:val="00426027"/>
    <w:rsid w:val="00427754"/>
    <w:rsid w:val="00427A68"/>
    <w:rsid w:val="00430109"/>
    <w:rsid w:val="004309DB"/>
    <w:rsid w:val="00430F24"/>
    <w:rsid w:val="004322A9"/>
    <w:rsid w:val="00432ED0"/>
    <w:rsid w:val="004331E4"/>
    <w:rsid w:val="00433396"/>
    <w:rsid w:val="0043484A"/>
    <w:rsid w:val="004355CF"/>
    <w:rsid w:val="004358BA"/>
    <w:rsid w:val="0043615A"/>
    <w:rsid w:val="00436209"/>
    <w:rsid w:val="004370EC"/>
    <w:rsid w:val="004372F9"/>
    <w:rsid w:val="0043780C"/>
    <w:rsid w:val="00437FEF"/>
    <w:rsid w:val="00440A65"/>
    <w:rsid w:val="00440D0C"/>
    <w:rsid w:val="00441277"/>
    <w:rsid w:val="00441E66"/>
    <w:rsid w:val="00442EF8"/>
    <w:rsid w:val="0044424D"/>
    <w:rsid w:val="004444BD"/>
    <w:rsid w:val="00444BDE"/>
    <w:rsid w:val="004450DB"/>
    <w:rsid w:val="004460C9"/>
    <w:rsid w:val="004474A6"/>
    <w:rsid w:val="00447A78"/>
    <w:rsid w:val="00447DC5"/>
    <w:rsid w:val="00451270"/>
    <w:rsid w:val="004512BB"/>
    <w:rsid w:val="004520BF"/>
    <w:rsid w:val="004528CC"/>
    <w:rsid w:val="00453AD0"/>
    <w:rsid w:val="00453DFE"/>
    <w:rsid w:val="004542B0"/>
    <w:rsid w:val="004545A5"/>
    <w:rsid w:val="00454CCE"/>
    <w:rsid w:val="00454FC0"/>
    <w:rsid w:val="004565D5"/>
    <w:rsid w:val="00457A8A"/>
    <w:rsid w:val="00457AFA"/>
    <w:rsid w:val="00460504"/>
    <w:rsid w:val="00461C18"/>
    <w:rsid w:val="004627A8"/>
    <w:rsid w:val="00462A32"/>
    <w:rsid w:val="00463267"/>
    <w:rsid w:val="004643A0"/>
    <w:rsid w:val="00464CF2"/>
    <w:rsid w:val="00465BFC"/>
    <w:rsid w:val="00466380"/>
    <w:rsid w:val="00467482"/>
    <w:rsid w:val="00467B37"/>
    <w:rsid w:val="00470B08"/>
    <w:rsid w:val="00470FBF"/>
    <w:rsid w:val="004719E1"/>
    <w:rsid w:val="00472883"/>
    <w:rsid w:val="004730A3"/>
    <w:rsid w:val="00473EE7"/>
    <w:rsid w:val="00475120"/>
    <w:rsid w:val="00475128"/>
    <w:rsid w:val="004757AC"/>
    <w:rsid w:val="0047643B"/>
    <w:rsid w:val="00476A08"/>
    <w:rsid w:val="00476DB4"/>
    <w:rsid w:val="00476F2E"/>
    <w:rsid w:val="004775D6"/>
    <w:rsid w:val="00477CCF"/>
    <w:rsid w:val="00480383"/>
    <w:rsid w:val="00481444"/>
    <w:rsid w:val="00481778"/>
    <w:rsid w:val="0048265F"/>
    <w:rsid w:val="004827F7"/>
    <w:rsid w:val="004829C3"/>
    <w:rsid w:val="00482D33"/>
    <w:rsid w:val="00483182"/>
    <w:rsid w:val="0048395B"/>
    <w:rsid w:val="00485472"/>
    <w:rsid w:val="004859AB"/>
    <w:rsid w:val="00486C24"/>
    <w:rsid w:val="004872F6"/>
    <w:rsid w:val="00487F4C"/>
    <w:rsid w:val="0049075D"/>
    <w:rsid w:val="0049086C"/>
    <w:rsid w:val="004912F1"/>
    <w:rsid w:val="004912FB"/>
    <w:rsid w:val="00491A96"/>
    <w:rsid w:val="00491FD5"/>
    <w:rsid w:val="0049241F"/>
    <w:rsid w:val="0049288E"/>
    <w:rsid w:val="0049336C"/>
    <w:rsid w:val="0049438B"/>
    <w:rsid w:val="00494F0C"/>
    <w:rsid w:val="00495707"/>
    <w:rsid w:val="004967D2"/>
    <w:rsid w:val="00496871"/>
    <w:rsid w:val="00496F90"/>
    <w:rsid w:val="004977AC"/>
    <w:rsid w:val="004A0888"/>
    <w:rsid w:val="004A0BA1"/>
    <w:rsid w:val="004A11E5"/>
    <w:rsid w:val="004A1506"/>
    <w:rsid w:val="004A21A8"/>
    <w:rsid w:val="004A293D"/>
    <w:rsid w:val="004A4517"/>
    <w:rsid w:val="004A49E9"/>
    <w:rsid w:val="004A5389"/>
    <w:rsid w:val="004A552B"/>
    <w:rsid w:val="004A5800"/>
    <w:rsid w:val="004A5A51"/>
    <w:rsid w:val="004A5A5D"/>
    <w:rsid w:val="004A6724"/>
    <w:rsid w:val="004A729E"/>
    <w:rsid w:val="004A7A13"/>
    <w:rsid w:val="004A7D00"/>
    <w:rsid w:val="004B141F"/>
    <w:rsid w:val="004B27E0"/>
    <w:rsid w:val="004B2AA3"/>
    <w:rsid w:val="004B2AEB"/>
    <w:rsid w:val="004B2C0B"/>
    <w:rsid w:val="004B3056"/>
    <w:rsid w:val="004B35A0"/>
    <w:rsid w:val="004B3AAD"/>
    <w:rsid w:val="004B46CC"/>
    <w:rsid w:val="004B4886"/>
    <w:rsid w:val="004B51D7"/>
    <w:rsid w:val="004B5B7D"/>
    <w:rsid w:val="004B5BD0"/>
    <w:rsid w:val="004B5D42"/>
    <w:rsid w:val="004B677F"/>
    <w:rsid w:val="004B67DB"/>
    <w:rsid w:val="004B71F9"/>
    <w:rsid w:val="004B7649"/>
    <w:rsid w:val="004B7A37"/>
    <w:rsid w:val="004B7B44"/>
    <w:rsid w:val="004B7BC1"/>
    <w:rsid w:val="004B7C0B"/>
    <w:rsid w:val="004C0247"/>
    <w:rsid w:val="004C08A3"/>
    <w:rsid w:val="004C0CF9"/>
    <w:rsid w:val="004C0CFA"/>
    <w:rsid w:val="004C1E15"/>
    <w:rsid w:val="004C2029"/>
    <w:rsid w:val="004C3605"/>
    <w:rsid w:val="004C3A23"/>
    <w:rsid w:val="004C3E1D"/>
    <w:rsid w:val="004C40D9"/>
    <w:rsid w:val="004C5184"/>
    <w:rsid w:val="004C55A3"/>
    <w:rsid w:val="004C5760"/>
    <w:rsid w:val="004C67CD"/>
    <w:rsid w:val="004C6844"/>
    <w:rsid w:val="004C69C4"/>
    <w:rsid w:val="004C7477"/>
    <w:rsid w:val="004D00FC"/>
    <w:rsid w:val="004D05D5"/>
    <w:rsid w:val="004D1C6B"/>
    <w:rsid w:val="004D1D75"/>
    <w:rsid w:val="004D2D3D"/>
    <w:rsid w:val="004D2EFE"/>
    <w:rsid w:val="004D3707"/>
    <w:rsid w:val="004D39F2"/>
    <w:rsid w:val="004D4E4C"/>
    <w:rsid w:val="004D5AF8"/>
    <w:rsid w:val="004D6411"/>
    <w:rsid w:val="004D6957"/>
    <w:rsid w:val="004D69D3"/>
    <w:rsid w:val="004D6A01"/>
    <w:rsid w:val="004D715E"/>
    <w:rsid w:val="004E014F"/>
    <w:rsid w:val="004E05E8"/>
    <w:rsid w:val="004E0BC1"/>
    <w:rsid w:val="004E166A"/>
    <w:rsid w:val="004E1713"/>
    <w:rsid w:val="004E28C1"/>
    <w:rsid w:val="004E28D9"/>
    <w:rsid w:val="004E2BA3"/>
    <w:rsid w:val="004E332D"/>
    <w:rsid w:val="004E36AC"/>
    <w:rsid w:val="004E3EC6"/>
    <w:rsid w:val="004E3FD2"/>
    <w:rsid w:val="004E5310"/>
    <w:rsid w:val="004E531D"/>
    <w:rsid w:val="004E5765"/>
    <w:rsid w:val="004E5B87"/>
    <w:rsid w:val="004E6586"/>
    <w:rsid w:val="004E6A5E"/>
    <w:rsid w:val="004E6D85"/>
    <w:rsid w:val="004E7895"/>
    <w:rsid w:val="004E7939"/>
    <w:rsid w:val="004E7F8B"/>
    <w:rsid w:val="004F10DD"/>
    <w:rsid w:val="004F2504"/>
    <w:rsid w:val="004F2ABE"/>
    <w:rsid w:val="004F2BBA"/>
    <w:rsid w:val="004F2E3F"/>
    <w:rsid w:val="004F44CF"/>
    <w:rsid w:val="004F5457"/>
    <w:rsid w:val="004F66B4"/>
    <w:rsid w:val="004F6EAC"/>
    <w:rsid w:val="004F6FEA"/>
    <w:rsid w:val="004F771E"/>
    <w:rsid w:val="005000EF"/>
    <w:rsid w:val="005001DD"/>
    <w:rsid w:val="005009DF"/>
    <w:rsid w:val="0050136D"/>
    <w:rsid w:val="00501579"/>
    <w:rsid w:val="00502409"/>
    <w:rsid w:val="00502B81"/>
    <w:rsid w:val="00502BDC"/>
    <w:rsid w:val="005034B5"/>
    <w:rsid w:val="00503859"/>
    <w:rsid w:val="005042A5"/>
    <w:rsid w:val="00504A50"/>
    <w:rsid w:val="0050580D"/>
    <w:rsid w:val="00506F6D"/>
    <w:rsid w:val="00507582"/>
    <w:rsid w:val="0050787A"/>
    <w:rsid w:val="00510A01"/>
    <w:rsid w:val="00510F2E"/>
    <w:rsid w:val="00511017"/>
    <w:rsid w:val="005111D0"/>
    <w:rsid w:val="00511F6B"/>
    <w:rsid w:val="005128E6"/>
    <w:rsid w:val="00512A10"/>
    <w:rsid w:val="005135B2"/>
    <w:rsid w:val="00513982"/>
    <w:rsid w:val="00513D77"/>
    <w:rsid w:val="00514387"/>
    <w:rsid w:val="00514B72"/>
    <w:rsid w:val="00514DF5"/>
    <w:rsid w:val="00515497"/>
    <w:rsid w:val="005157A0"/>
    <w:rsid w:val="00515C63"/>
    <w:rsid w:val="00516146"/>
    <w:rsid w:val="00517126"/>
    <w:rsid w:val="00517987"/>
    <w:rsid w:val="00517F6A"/>
    <w:rsid w:val="0052041D"/>
    <w:rsid w:val="00520CEE"/>
    <w:rsid w:val="005212BB"/>
    <w:rsid w:val="005216F2"/>
    <w:rsid w:val="00522AE9"/>
    <w:rsid w:val="00522CEF"/>
    <w:rsid w:val="00522DEF"/>
    <w:rsid w:val="00522E30"/>
    <w:rsid w:val="005241B9"/>
    <w:rsid w:val="00524410"/>
    <w:rsid w:val="00524493"/>
    <w:rsid w:val="00524C7E"/>
    <w:rsid w:val="005254A0"/>
    <w:rsid w:val="0052584B"/>
    <w:rsid w:val="00525ADE"/>
    <w:rsid w:val="00525BDF"/>
    <w:rsid w:val="00525F16"/>
    <w:rsid w:val="0052615E"/>
    <w:rsid w:val="005261EE"/>
    <w:rsid w:val="00526784"/>
    <w:rsid w:val="00527515"/>
    <w:rsid w:val="00527A67"/>
    <w:rsid w:val="00527AF3"/>
    <w:rsid w:val="00527C67"/>
    <w:rsid w:val="00527FBB"/>
    <w:rsid w:val="005301D0"/>
    <w:rsid w:val="00530AE0"/>
    <w:rsid w:val="00530BE2"/>
    <w:rsid w:val="005310F7"/>
    <w:rsid w:val="00531982"/>
    <w:rsid w:val="0053235F"/>
    <w:rsid w:val="00532DB8"/>
    <w:rsid w:val="00532F78"/>
    <w:rsid w:val="005332DD"/>
    <w:rsid w:val="00534660"/>
    <w:rsid w:val="00534672"/>
    <w:rsid w:val="00534706"/>
    <w:rsid w:val="00534BD2"/>
    <w:rsid w:val="00534F47"/>
    <w:rsid w:val="00535AD4"/>
    <w:rsid w:val="00536350"/>
    <w:rsid w:val="005363EF"/>
    <w:rsid w:val="0053733C"/>
    <w:rsid w:val="00537F73"/>
    <w:rsid w:val="00540762"/>
    <w:rsid w:val="005408BB"/>
    <w:rsid w:val="00541015"/>
    <w:rsid w:val="0054105C"/>
    <w:rsid w:val="0054128B"/>
    <w:rsid w:val="0054161E"/>
    <w:rsid w:val="00541A9F"/>
    <w:rsid w:val="00543F75"/>
    <w:rsid w:val="005440D2"/>
    <w:rsid w:val="00544DD6"/>
    <w:rsid w:val="00545035"/>
    <w:rsid w:val="005469BE"/>
    <w:rsid w:val="00546A68"/>
    <w:rsid w:val="00546AB0"/>
    <w:rsid w:val="0054797E"/>
    <w:rsid w:val="00547CE4"/>
    <w:rsid w:val="005510FF"/>
    <w:rsid w:val="0055123F"/>
    <w:rsid w:val="00552864"/>
    <w:rsid w:val="00552AD6"/>
    <w:rsid w:val="00553098"/>
    <w:rsid w:val="00553807"/>
    <w:rsid w:val="00553A5A"/>
    <w:rsid w:val="00553C84"/>
    <w:rsid w:val="0055420B"/>
    <w:rsid w:val="00554926"/>
    <w:rsid w:val="0055521E"/>
    <w:rsid w:val="0055568C"/>
    <w:rsid w:val="00556277"/>
    <w:rsid w:val="00556907"/>
    <w:rsid w:val="00557A70"/>
    <w:rsid w:val="00557D0F"/>
    <w:rsid w:val="00557EF6"/>
    <w:rsid w:val="005601DB"/>
    <w:rsid w:val="0056191F"/>
    <w:rsid w:val="00561DA2"/>
    <w:rsid w:val="005622F4"/>
    <w:rsid w:val="00562415"/>
    <w:rsid w:val="00562BCA"/>
    <w:rsid w:val="00562FB5"/>
    <w:rsid w:val="005633BA"/>
    <w:rsid w:val="005638E5"/>
    <w:rsid w:val="00563EC6"/>
    <w:rsid w:val="0056455E"/>
    <w:rsid w:val="005648FE"/>
    <w:rsid w:val="005654C2"/>
    <w:rsid w:val="0056600A"/>
    <w:rsid w:val="0056699E"/>
    <w:rsid w:val="00566C3C"/>
    <w:rsid w:val="00567226"/>
    <w:rsid w:val="005674C7"/>
    <w:rsid w:val="005676ED"/>
    <w:rsid w:val="00570121"/>
    <w:rsid w:val="00570A47"/>
    <w:rsid w:val="00570F08"/>
    <w:rsid w:val="00570F6A"/>
    <w:rsid w:val="00571176"/>
    <w:rsid w:val="005714C1"/>
    <w:rsid w:val="0057156F"/>
    <w:rsid w:val="0057160A"/>
    <w:rsid w:val="0057335A"/>
    <w:rsid w:val="005747A7"/>
    <w:rsid w:val="005750D8"/>
    <w:rsid w:val="00575AA1"/>
    <w:rsid w:val="005762B5"/>
    <w:rsid w:val="00576D32"/>
    <w:rsid w:val="00580A60"/>
    <w:rsid w:val="00580CA0"/>
    <w:rsid w:val="0058148E"/>
    <w:rsid w:val="00581BF9"/>
    <w:rsid w:val="005822A0"/>
    <w:rsid w:val="00582F0C"/>
    <w:rsid w:val="005830BD"/>
    <w:rsid w:val="00583F0E"/>
    <w:rsid w:val="0058465F"/>
    <w:rsid w:val="0058589E"/>
    <w:rsid w:val="00585C35"/>
    <w:rsid w:val="00586542"/>
    <w:rsid w:val="005870FE"/>
    <w:rsid w:val="005877C4"/>
    <w:rsid w:val="00587C7D"/>
    <w:rsid w:val="00590727"/>
    <w:rsid w:val="00590B5D"/>
    <w:rsid w:val="00590C67"/>
    <w:rsid w:val="00590F15"/>
    <w:rsid w:val="005910D6"/>
    <w:rsid w:val="00591295"/>
    <w:rsid w:val="00592ECC"/>
    <w:rsid w:val="00593230"/>
    <w:rsid w:val="0059398E"/>
    <w:rsid w:val="00593DE7"/>
    <w:rsid w:val="00593DF9"/>
    <w:rsid w:val="005942CC"/>
    <w:rsid w:val="00594DE4"/>
    <w:rsid w:val="00595CE4"/>
    <w:rsid w:val="00596576"/>
    <w:rsid w:val="005965D0"/>
    <w:rsid w:val="00596746"/>
    <w:rsid w:val="0059744D"/>
    <w:rsid w:val="00597BC3"/>
    <w:rsid w:val="00597E39"/>
    <w:rsid w:val="005A01EE"/>
    <w:rsid w:val="005A14BF"/>
    <w:rsid w:val="005A1EC4"/>
    <w:rsid w:val="005A217F"/>
    <w:rsid w:val="005A3AB7"/>
    <w:rsid w:val="005A4870"/>
    <w:rsid w:val="005A5D58"/>
    <w:rsid w:val="005A5DC4"/>
    <w:rsid w:val="005A7F41"/>
    <w:rsid w:val="005B09F4"/>
    <w:rsid w:val="005B1C29"/>
    <w:rsid w:val="005B1E7F"/>
    <w:rsid w:val="005B2B10"/>
    <w:rsid w:val="005B2C8E"/>
    <w:rsid w:val="005B31C2"/>
    <w:rsid w:val="005B405B"/>
    <w:rsid w:val="005B43FC"/>
    <w:rsid w:val="005B4B21"/>
    <w:rsid w:val="005B501E"/>
    <w:rsid w:val="005B58E8"/>
    <w:rsid w:val="005B5A6B"/>
    <w:rsid w:val="005B5D81"/>
    <w:rsid w:val="005B616D"/>
    <w:rsid w:val="005B7456"/>
    <w:rsid w:val="005C146C"/>
    <w:rsid w:val="005C25FA"/>
    <w:rsid w:val="005C3018"/>
    <w:rsid w:val="005C35D8"/>
    <w:rsid w:val="005C3D5D"/>
    <w:rsid w:val="005C43C2"/>
    <w:rsid w:val="005C4F07"/>
    <w:rsid w:val="005C60D6"/>
    <w:rsid w:val="005C62B0"/>
    <w:rsid w:val="005C67E0"/>
    <w:rsid w:val="005C6FEF"/>
    <w:rsid w:val="005C738C"/>
    <w:rsid w:val="005D0C67"/>
    <w:rsid w:val="005D18A7"/>
    <w:rsid w:val="005D1CF8"/>
    <w:rsid w:val="005D2618"/>
    <w:rsid w:val="005D3174"/>
    <w:rsid w:val="005D32FD"/>
    <w:rsid w:val="005D494E"/>
    <w:rsid w:val="005D4A66"/>
    <w:rsid w:val="005D5875"/>
    <w:rsid w:val="005D5D4C"/>
    <w:rsid w:val="005D5DD4"/>
    <w:rsid w:val="005D7A9C"/>
    <w:rsid w:val="005D7D80"/>
    <w:rsid w:val="005D7F3A"/>
    <w:rsid w:val="005E0148"/>
    <w:rsid w:val="005E01D4"/>
    <w:rsid w:val="005E0914"/>
    <w:rsid w:val="005E09B3"/>
    <w:rsid w:val="005E0AFC"/>
    <w:rsid w:val="005E0BB4"/>
    <w:rsid w:val="005E0C86"/>
    <w:rsid w:val="005E1678"/>
    <w:rsid w:val="005E17B2"/>
    <w:rsid w:val="005E18FD"/>
    <w:rsid w:val="005E221B"/>
    <w:rsid w:val="005E2826"/>
    <w:rsid w:val="005E331A"/>
    <w:rsid w:val="005E38F1"/>
    <w:rsid w:val="005E3939"/>
    <w:rsid w:val="005E3B15"/>
    <w:rsid w:val="005E3D09"/>
    <w:rsid w:val="005E435D"/>
    <w:rsid w:val="005E45F9"/>
    <w:rsid w:val="005E59B2"/>
    <w:rsid w:val="005E5E04"/>
    <w:rsid w:val="005E7E63"/>
    <w:rsid w:val="005F023E"/>
    <w:rsid w:val="005F04BC"/>
    <w:rsid w:val="005F0E96"/>
    <w:rsid w:val="005F1607"/>
    <w:rsid w:val="005F1696"/>
    <w:rsid w:val="005F1896"/>
    <w:rsid w:val="005F1B2D"/>
    <w:rsid w:val="005F28D0"/>
    <w:rsid w:val="005F2F38"/>
    <w:rsid w:val="005F303A"/>
    <w:rsid w:val="005F3E7E"/>
    <w:rsid w:val="005F3E8D"/>
    <w:rsid w:val="005F4102"/>
    <w:rsid w:val="005F4216"/>
    <w:rsid w:val="005F4317"/>
    <w:rsid w:val="005F4B6C"/>
    <w:rsid w:val="005F4CEC"/>
    <w:rsid w:val="005F4DE6"/>
    <w:rsid w:val="005F57D1"/>
    <w:rsid w:val="005F659F"/>
    <w:rsid w:val="005F6D94"/>
    <w:rsid w:val="005F6FDE"/>
    <w:rsid w:val="005F71F7"/>
    <w:rsid w:val="00600A7B"/>
    <w:rsid w:val="00601D75"/>
    <w:rsid w:val="00602AB3"/>
    <w:rsid w:val="0060311D"/>
    <w:rsid w:val="00603B82"/>
    <w:rsid w:val="00603F79"/>
    <w:rsid w:val="006051F8"/>
    <w:rsid w:val="00605530"/>
    <w:rsid w:val="0060583D"/>
    <w:rsid w:val="00605BFC"/>
    <w:rsid w:val="00606FC6"/>
    <w:rsid w:val="006076EF"/>
    <w:rsid w:val="006107CF"/>
    <w:rsid w:val="00610A9D"/>
    <w:rsid w:val="00610ED3"/>
    <w:rsid w:val="00611BD7"/>
    <w:rsid w:val="00612961"/>
    <w:rsid w:val="0061327B"/>
    <w:rsid w:val="006138CE"/>
    <w:rsid w:val="00613F26"/>
    <w:rsid w:val="00614118"/>
    <w:rsid w:val="006143C5"/>
    <w:rsid w:val="00614583"/>
    <w:rsid w:val="0061526B"/>
    <w:rsid w:val="00615BBB"/>
    <w:rsid w:val="00616B5F"/>
    <w:rsid w:val="0061749A"/>
    <w:rsid w:val="006175E2"/>
    <w:rsid w:val="00617937"/>
    <w:rsid w:val="0062062C"/>
    <w:rsid w:val="00620823"/>
    <w:rsid w:val="00620EB8"/>
    <w:rsid w:val="00621851"/>
    <w:rsid w:val="00621BF7"/>
    <w:rsid w:val="00622686"/>
    <w:rsid w:val="00622D87"/>
    <w:rsid w:val="00624751"/>
    <w:rsid w:val="006248D3"/>
    <w:rsid w:val="006258A2"/>
    <w:rsid w:val="006267CD"/>
    <w:rsid w:val="00626C9D"/>
    <w:rsid w:val="0062713A"/>
    <w:rsid w:val="00627424"/>
    <w:rsid w:val="006278E3"/>
    <w:rsid w:val="006304DC"/>
    <w:rsid w:val="00630960"/>
    <w:rsid w:val="00630E8B"/>
    <w:rsid w:val="00631B5E"/>
    <w:rsid w:val="00631DAC"/>
    <w:rsid w:val="006322A1"/>
    <w:rsid w:val="00632511"/>
    <w:rsid w:val="00632965"/>
    <w:rsid w:val="00632BAD"/>
    <w:rsid w:val="0063320A"/>
    <w:rsid w:val="00633522"/>
    <w:rsid w:val="006336B2"/>
    <w:rsid w:val="00633B24"/>
    <w:rsid w:val="00634EFE"/>
    <w:rsid w:val="006356DF"/>
    <w:rsid w:val="006359A6"/>
    <w:rsid w:val="00636239"/>
    <w:rsid w:val="00636323"/>
    <w:rsid w:val="006368FE"/>
    <w:rsid w:val="00636EEA"/>
    <w:rsid w:val="0064024C"/>
    <w:rsid w:val="00641D84"/>
    <w:rsid w:val="00642ACA"/>
    <w:rsid w:val="00642CA0"/>
    <w:rsid w:val="00642CAB"/>
    <w:rsid w:val="00643371"/>
    <w:rsid w:val="006433FA"/>
    <w:rsid w:val="00644EF7"/>
    <w:rsid w:val="006455AE"/>
    <w:rsid w:val="00645F05"/>
    <w:rsid w:val="006462AE"/>
    <w:rsid w:val="0064683B"/>
    <w:rsid w:val="0064738C"/>
    <w:rsid w:val="0064754B"/>
    <w:rsid w:val="0065024A"/>
    <w:rsid w:val="00650A20"/>
    <w:rsid w:val="00650BB2"/>
    <w:rsid w:val="006511E9"/>
    <w:rsid w:val="00651829"/>
    <w:rsid w:val="00651D05"/>
    <w:rsid w:val="00652C80"/>
    <w:rsid w:val="00652E2A"/>
    <w:rsid w:val="006541F2"/>
    <w:rsid w:val="0065537E"/>
    <w:rsid w:val="0065574B"/>
    <w:rsid w:val="00655A46"/>
    <w:rsid w:val="00655F62"/>
    <w:rsid w:val="006565FC"/>
    <w:rsid w:val="00656C3F"/>
    <w:rsid w:val="00657180"/>
    <w:rsid w:val="0065739E"/>
    <w:rsid w:val="006576A2"/>
    <w:rsid w:val="00657996"/>
    <w:rsid w:val="006604E3"/>
    <w:rsid w:val="00660C3B"/>
    <w:rsid w:val="00661574"/>
    <w:rsid w:val="00661A6A"/>
    <w:rsid w:val="0066222F"/>
    <w:rsid w:val="006623A0"/>
    <w:rsid w:val="006624FA"/>
    <w:rsid w:val="006629CB"/>
    <w:rsid w:val="00662E4B"/>
    <w:rsid w:val="00663868"/>
    <w:rsid w:val="0066484B"/>
    <w:rsid w:val="00665B82"/>
    <w:rsid w:val="00665D62"/>
    <w:rsid w:val="00666471"/>
    <w:rsid w:val="00666AAF"/>
    <w:rsid w:val="00666AF0"/>
    <w:rsid w:val="00666E83"/>
    <w:rsid w:val="00667359"/>
    <w:rsid w:val="00667957"/>
    <w:rsid w:val="006679CF"/>
    <w:rsid w:val="00667C1B"/>
    <w:rsid w:val="0067185D"/>
    <w:rsid w:val="006719F4"/>
    <w:rsid w:val="00671FC5"/>
    <w:rsid w:val="00672069"/>
    <w:rsid w:val="00672732"/>
    <w:rsid w:val="00672D63"/>
    <w:rsid w:val="00672FA6"/>
    <w:rsid w:val="00674ABA"/>
    <w:rsid w:val="00674C08"/>
    <w:rsid w:val="00674C0F"/>
    <w:rsid w:val="00674F9B"/>
    <w:rsid w:val="00674FAE"/>
    <w:rsid w:val="0067561B"/>
    <w:rsid w:val="00675A1F"/>
    <w:rsid w:val="00675CE2"/>
    <w:rsid w:val="00675DC3"/>
    <w:rsid w:val="0067676C"/>
    <w:rsid w:val="00676E0E"/>
    <w:rsid w:val="0067724C"/>
    <w:rsid w:val="00677EB3"/>
    <w:rsid w:val="006805DB"/>
    <w:rsid w:val="00680723"/>
    <w:rsid w:val="0068101A"/>
    <w:rsid w:val="00681289"/>
    <w:rsid w:val="00681664"/>
    <w:rsid w:val="00681836"/>
    <w:rsid w:val="00681FD5"/>
    <w:rsid w:val="0068226D"/>
    <w:rsid w:val="0068237C"/>
    <w:rsid w:val="00682550"/>
    <w:rsid w:val="00683F02"/>
    <w:rsid w:val="00683FE1"/>
    <w:rsid w:val="00684852"/>
    <w:rsid w:val="00684BAF"/>
    <w:rsid w:val="00685377"/>
    <w:rsid w:val="0068596D"/>
    <w:rsid w:val="00685CDE"/>
    <w:rsid w:val="00685FD0"/>
    <w:rsid w:val="00686213"/>
    <w:rsid w:val="006865C8"/>
    <w:rsid w:val="00686D5A"/>
    <w:rsid w:val="00687FB1"/>
    <w:rsid w:val="00690410"/>
    <w:rsid w:val="00690883"/>
    <w:rsid w:val="00690F4B"/>
    <w:rsid w:val="006921D8"/>
    <w:rsid w:val="00692872"/>
    <w:rsid w:val="00693265"/>
    <w:rsid w:val="00693476"/>
    <w:rsid w:val="00693EF7"/>
    <w:rsid w:val="006944D0"/>
    <w:rsid w:val="00694501"/>
    <w:rsid w:val="006947D2"/>
    <w:rsid w:val="006951EB"/>
    <w:rsid w:val="0069642A"/>
    <w:rsid w:val="00696C98"/>
    <w:rsid w:val="00696E58"/>
    <w:rsid w:val="00697869"/>
    <w:rsid w:val="00697967"/>
    <w:rsid w:val="00697BD8"/>
    <w:rsid w:val="006A0960"/>
    <w:rsid w:val="006A1104"/>
    <w:rsid w:val="006A12C4"/>
    <w:rsid w:val="006A292F"/>
    <w:rsid w:val="006A2AA1"/>
    <w:rsid w:val="006A31CD"/>
    <w:rsid w:val="006A3CD9"/>
    <w:rsid w:val="006A406E"/>
    <w:rsid w:val="006A5296"/>
    <w:rsid w:val="006A563C"/>
    <w:rsid w:val="006A5C42"/>
    <w:rsid w:val="006A5DEB"/>
    <w:rsid w:val="006A71FC"/>
    <w:rsid w:val="006A7272"/>
    <w:rsid w:val="006A7A0F"/>
    <w:rsid w:val="006B012F"/>
    <w:rsid w:val="006B04FD"/>
    <w:rsid w:val="006B07D6"/>
    <w:rsid w:val="006B0C8B"/>
    <w:rsid w:val="006B0DC0"/>
    <w:rsid w:val="006B0EFB"/>
    <w:rsid w:val="006B1303"/>
    <w:rsid w:val="006B1459"/>
    <w:rsid w:val="006B14A5"/>
    <w:rsid w:val="006B31A6"/>
    <w:rsid w:val="006B3B9F"/>
    <w:rsid w:val="006B48EA"/>
    <w:rsid w:val="006B49BC"/>
    <w:rsid w:val="006B4D47"/>
    <w:rsid w:val="006B5909"/>
    <w:rsid w:val="006B5E60"/>
    <w:rsid w:val="006B6069"/>
    <w:rsid w:val="006B62F8"/>
    <w:rsid w:val="006B6C2C"/>
    <w:rsid w:val="006B733C"/>
    <w:rsid w:val="006B7E5C"/>
    <w:rsid w:val="006C02E1"/>
    <w:rsid w:val="006C051B"/>
    <w:rsid w:val="006C06A4"/>
    <w:rsid w:val="006C0CC3"/>
    <w:rsid w:val="006C1F6E"/>
    <w:rsid w:val="006C2B14"/>
    <w:rsid w:val="006C2CB3"/>
    <w:rsid w:val="006C412B"/>
    <w:rsid w:val="006C447A"/>
    <w:rsid w:val="006C6ACC"/>
    <w:rsid w:val="006D0BBB"/>
    <w:rsid w:val="006D1489"/>
    <w:rsid w:val="006D24B0"/>
    <w:rsid w:val="006D2E42"/>
    <w:rsid w:val="006D3080"/>
    <w:rsid w:val="006D3587"/>
    <w:rsid w:val="006D3ADD"/>
    <w:rsid w:val="006D3E50"/>
    <w:rsid w:val="006D5946"/>
    <w:rsid w:val="006D637A"/>
    <w:rsid w:val="006D6472"/>
    <w:rsid w:val="006D6A15"/>
    <w:rsid w:val="006D7396"/>
    <w:rsid w:val="006D74BD"/>
    <w:rsid w:val="006D7D9B"/>
    <w:rsid w:val="006D7ECD"/>
    <w:rsid w:val="006E0691"/>
    <w:rsid w:val="006E0A19"/>
    <w:rsid w:val="006E13B2"/>
    <w:rsid w:val="006E1494"/>
    <w:rsid w:val="006E1E97"/>
    <w:rsid w:val="006E3458"/>
    <w:rsid w:val="006E36C8"/>
    <w:rsid w:val="006E388C"/>
    <w:rsid w:val="006E391F"/>
    <w:rsid w:val="006E3EC8"/>
    <w:rsid w:val="006E3F8B"/>
    <w:rsid w:val="006E4822"/>
    <w:rsid w:val="006E5964"/>
    <w:rsid w:val="006E5AD8"/>
    <w:rsid w:val="006E6594"/>
    <w:rsid w:val="006E6BD0"/>
    <w:rsid w:val="006E71EC"/>
    <w:rsid w:val="006E784D"/>
    <w:rsid w:val="006E7AD2"/>
    <w:rsid w:val="006F006B"/>
    <w:rsid w:val="006F0121"/>
    <w:rsid w:val="006F057F"/>
    <w:rsid w:val="006F07D6"/>
    <w:rsid w:val="006F0DE7"/>
    <w:rsid w:val="006F10B5"/>
    <w:rsid w:val="006F16B2"/>
    <w:rsid w:val="006F18FA"/>
    <w:rsid w:val="006F1BF3"/>
    <w:rsid w:val="006F2879"/>
    <w:rsid w:val="006F32F6"/>
    <w:rsid w:val="006F38CC"/>
    <w:rsid w:val="006F3D8D"/>
    <w:rsid w:val="006F4219"/>
    <w:rsid w:val="006F4228"/>
    <w:rsid w:val="006F43A1"/>
    <w:rsid w:val="006F4685"/>
    <w:rsid w:val="006F5585"/>
    <w:rsid w:val="006F64B8"/>
    <w:rsid w:val="006F7467"/>
    <w:rsid w:val="006F774D"/>
    <w:rsid w:val="007006D6"/>
    <w:rsid w:val="00700B85"/>
    <w:rsid w:val="00700D1E"/>
    <w:rsid w:val="007024EE"/>
    <w:rsid w:val="00702518"/>
    <w:rsid w:val="00702878"/>
    <w:rsid w:val="007028BE"/>
    <w:rsid w:val="007029FE"/>
    <w:rsid w:val="00703C95"/>
    <w:rsid w:val="00704564"/>
    <w:rsid w:val="00704B48"/>
    <w:rsid w:val="00704D08"/>
    <w:rsid w:val="0070565E"/>
    <w:rsid w:val="00705A31"/>
    <w:rsid w:val="00705D7A"/>
    <w:rsid w:val="007068A3"/>
    <w:rsid w:val="00706AAE"/>
    <w:rsid w:val="00706C48"/>
    <w:rsid w:val="00706E38"/>
    <w:rsid w:val="00707960"/>
    <w:rsid w:val="007079A9"/>
    <w:rsid w:val="00707EDC"/>
    <w:rsid w:val="00710236"/>
    <w:rsid w:val="00710491"/>
    <w:rsid w:val="007109CF"/>
    <w:rsid w:val="00710C73"/>
    <w:rsid w:val="00710CAB"/>
    <w:rsid w:val="00710CDA"/>
    <w:rsid w:val="0071141F"/>
    <w:rsid w:val="00711924"/>
    <w:rsid w:val="00711B15"/>
    <w:rsid w:val="00711BFB"/>
    <w:rsid w:val="00711BFE"/>
    <w:rsid w:val="00711F6A"/>
    <w:rsid w:val="0071202B"/>
    <w:rsid w:val="00712169"/>
    <w:rsid w:val="007126F3"/>
    <w:rsid w:val="00712CF4"/>
    <w:rsid w:val="00712E03"/>
    <w:rsid w:val="007138C2"/>
    <w:rsid w:val="00713B2D"/>
    <w:rsid w:val="00714258"/>
    <w:rsid w:val="00714805"/>
    <w:rsid w:val="007148E7"/>
    <w:rsid w:val="00715300"/>
    <w:rsid w:val="007154FE"/>
    <w:rsid w:val="007157E8"/>
    <w:rsid w:val="00717062"/>
    <w:rsid w:val="00717279"/>
    <w:rsid w:val="00717388"/>
    <w:rsid w:val="0071758F"/>
    <w:rsid w:val="007175CC"/>
    <w:rsid w:val="00717751"/>
    <w:rsid w:val="00717FF8"/>
    <w:rsid w:val="00720AC5"/>
    <w:rsid w:val="00720CCC"/>
    <w:rsid w:val="00720F5C"/>
    <w:rsid w:val="007211F3"/>
    <w:rsid w:val="0072206D"/>
    <w:rsid w:val="007222A1"/>
    <w:rsid w:val="00722737"/>
    <w:rsid w:val="00722B49"/>
    <w:rsid w:val="00723039"/>
    <w:rsid w:val="00723426"/>
    <w:rsid w:val="00723A51"/>
    <w:rsid w:val="0072408A"/>
    <w:rsid w:val="007248FD"/>
    <w:rsid w:val="007249B7"/>
    <w:rsid w:val="00724BA3"/>
    <w:rsid w:val="00725D42"/>
    <w:rsid w:val="00726005"/>
    <w:rsid w:val="00726123"/>
    <w:rsid w:val="007261AC"/>
    <w:rsid w:val="007267DF"/>
    <w:rsid w:val="00727882"/>
    <w:rsid w:val="007300AE"/>
    <w:rsid w:val="007300F6"/>
    <w:rsid w:val="00731E5B"/>
    <w:rsid w:val="0073209C"/>
    <w:rsid w:val="00732AA1"/>
    <w:rsid w:val="00733F8D"/>
    <w:rsid w:val="007345C9"/>
    <w:rsid w:val="00734791"/>
    <w:rsid w:val="0073486F"/>
    <w:rsid w:val="007364A1"/>
    <w:rsid w:val="0073666D"/>
    <w:rsid w:val="00736C34"/>
    <w:rsid w:val="00736FF1"/>
    <w:rsid w:val="00737042"/>
    <w:rsid w:val="0073706A"/>
    <w:rsid w:val="007376D5"/>
    <w:rsid w:val="007378FA"/>
    <w:rsid w:val="00737A06"/>
    <w:rsid w:val="00740049"/>
    <w:rsid w:val="007403B5"/>
    <w:rsid w:val="00740700"/>
    <w:rsid w:val="00741447"/>
    <w:rsid w:val="00742347"/>
    <w:rsid w:val="00742D18"/>
    <w:rsid w:val="00742F6C"/>
    <w:rsid w:val="0074315E"/>
    <w:rsid w:val="0074325D"/>
    <w:rsid w:val="0074394C"/>
    <w:rsid w:val="007444FE"/>
    <w:rsid w:val="007459DF"/>
    <w:rsid w:val="00745CAC"/>
    <w:rsid w:val="007460C4"/>
    <w:rsid w:val="007463EC"/>
    <w:rsid w:val="007465F2"/>
    <w:rsid w:val="0074665B"/>
    <w:rsid w:val="00747079"/>
    <w:rsid w:val="00747DCB"/>
    <w:rsid w:val="00750391"/>
    <w:rsid w:val="007508A9"/>
    <w:rsid w:val="00750DA4"/>
    <w:rsid w:val="00751472"/>
    <w:rsid w:val="007516DB"/>
    <w:rsid w:val="00751B81"/>
    <w:rsid w:val="00751DE5"/>
    <w:rsid w:val="00752193"/>
    <w:rsid w:val="00752B7B"/>
    <w:rsid w:val="00752F73"/>
    <w:rsid w:val="00754393"/>
    <w:rsid w:val="00754F73"/>
    <w:rsid w:val="007561F2"/>
    <w:rsid w:val="007562CA"/>
    <w:rsid w:val="0075633C"/>
    <w:rsid w:val="00756F8A"/>
    <w:rsid w:val="0075713F"/>
    <w:rsid w:val="0075721B"/>
    <w:rsid w:val="007579DD"/>
    <w:rsid w:val="00757FD6"/>
    <w:rsid w:val="007602E1"/>
    <w:rsid w:val="007604B9"/>
    <w:rsid w:val="007606D7"/>
    <w:rsid w:val="0076077D"/>
    <w:rsid w:val="00760A45"/>
    <w:rsid w:val="0076112A"/>
    <w:rsid w:val="0076144E"/>
    <w:rsid w:val="00761712"/>
    <w:rsid w:val="007618C4"/>
    <w:rsid w:val="007629D6"/>
    <w:rsid w:val="00762C85"/>
    <w:rsid w:val="00763504"/>
    <w:rsid w:val="00763AEB"/>
    <w:rsid w:val="00764CF5"/>
    <w:rsid w:val="0076565F"/>
    <w:rsid w:val="00765B8B"/>
    <w:rsid w:val="0076606E"/>
    <w:rsid w:val="00766141"/>
    <w:rsid w:val="007662E2"/>
    <w:rsid w:val="00766500"/>
    <w:rsid w:val="00766628"/>
    <w:rsid w:val="00766A53"/>
    <w:rsid w:val="00766B02"/>
    <w:rsid w:val="007677A4"/>
    <w:rsid w:val="007679B7"/>
    <w:rsid w:val="00767DF8"/>
    <w:rsid w:val="00770561"/>
    <w:rsid w:val="00770B81"/>
    <w:rsid w:val="00770BE7"/>
    <w:rsid w:val="00770D5E"/>
    <w:rsid w:val="00771B07"/>
    <w:rsid w:val="00772649"/>
    <w:rsid w:val="00773B98"/>
    <w:rsid w:val="00773F29"/>
    <w:rsid w:val="00773F9A"/>
    <w:rsid w:val="00775001"/>
    <w:rsid w:val="00775123"/>
    <w:rsid w:val="007757C3"/>
    <w:rsid w:val="0077684C"/>
    <w:rsid w:val="00776EE6"/>
    <w:rsid w:val="00776F64"/>
    <w:rsid w:val="00777013"/>
    <w:rsid w:val="007770EB"/>
    <w:rsid w:val="00780A35"/>
    <w:rsid w:val="007820E4"/>
    <w:rsid w:val="00782156"/>
    <w:rsid w:val="0078326B"/>
    <w:rsid w:val="00783EC1"/>
    <w:rsid w:val="00785678"/>
    <w:rsid w:val="00786259"/>
    <w:rsid w:val="00786365"/>
    <w:rsid w:val="0078703C"/>
    <w:rsid w:val="007873ED"/>
    <w:rsid w:val="007875AA"/>
    <w:rsid w:val="00787F15"/>
    <w:rsid w:val="007907A1"/>
    <w:rsid w:val="00790BA0"/>
    <w:rsid w:val="00790EA5"/>
    <w:rsid w:val="007916F8"/>
    <w:rsid w:val="0079233C"/>
    <w:rsid w:val="00792374"/>
    <w:rsid w:val="0079353D"/>
    <w:rsid w:val="0079382B"/>
    <w:rsid w:val="007938C8"/>
    <w:rsid w:val="007939E4"/>
    <w:rsid w:val="00793DFE"/>
    <w:rsid w:val="007941FA"/>
    <w:rsid w:val="00794C2C"/>
    <w:rsid w:val="00794D2C"/>
    <w:rsid w:val="00794FAE"/>
    <w:rsid w:val="00795F73"/>
    <w:rsid w:val="00796726"/>
    <w:rsid w:val="0079716F"/>
    <w:rsid w:val="007977CF"/>
    <w:rsid w:val="00797D81"/>
    <w:rsid w:val="007A0389"/>
    <w:rsid w:val="007A0A99"/>
    <w:rsid w:val="007A0DAC"/>
    <w:rsid w:val="007A110B"/>
    <w:rsid w:val="007A183B"/>
    <w:rsid w:val="007A29B3"/>
    <w:rsid w:val="007A2B37"/>
    <w:rsid w:val="007A2ED9"/>
    <w:rsid w:val="007A3161"/>
    <w:rsid w:val="007A329A"/>
    <w:rsid w:val="007A370B"/>
    <w:rsid w:val="007A3C95"/>
    <w:rsid w:val="007A4297"/>
    <w:rsid w:val="007A4B4C"/>
    <w:rsid w:val="007A51B7"/>
    <w:rsid w:val="007A533D"/>
    <w:rsid w:val="007A5985"/>
    <w:rsid w:val="007A6179"/>
    <w:rsid w:val="007A6E15"/>
    <w:rsid w:val="007A6FCA"/>
    <w:rsid w:val="007A78B8"/>
    <w:rsid w:val="007A7B07"/>
    <w:rsid w:val="007A7DDD"/>
    <w:rsid w:val="007A7F3F"/>
    <w:rsid w:val="007B0AC8"/>
    <w:rsid w:val="007B1888"/>
    <w:rsid w:val="007B2062"/>
    <w:rsid w:val="007B223B"/>
    <w:rsid w:val="007B2F9E"/>
    <w:rsid w:val="007B435B"/>
    <w:rsid w:val="007B4486"/>
    <w:rsid w:val="007B462E"/>
    <w:rsid w:val="007B470F"/>
    <w:rsid w:val="007B5155"/>
    <w:rsid w:val="007B5F15"/>
    <w:rsid w:val="007B6CCC"/>
    <w:rsid w:val="007B72BD"/>
    <w:rsid w:val="007C105D"/>
    <w:rsid w:val="007C19EC"/>
    <w:rsid w:val="007C216A"/>
    <w:rsid w:val="007C2961"/>
    <w:rsid w:val="007C30F9"/>
    <w:rsid w:val="007C3178"/>
    <w:rsid w:val="007C32D9"/>
    <w:rsid w:val="007C32E1"/>
    <w:rsid w:val="007C3403"/>
    <w:rsid w:val="007C34AD"/>
    <w:rsid w:val="007C3909"/>
    <w:rsid w:val="007C4171"/>
    <w:rsid w:val="007C4193"/>
    <w:rsid w:val="007C472F"/>
    <w:rsid w:val="007C492E"/>
    <w:rsid w:val="007C541C"/>
    <w:rsid w:val="007C5811"/>
    <w:rsid w:val="007C5B32"/>
    <w:rsid w:val="007C5E75"/>
    <w:rsid w:val="007C5FA6"/>
    <w:rsid w:val="007C6052"/>
    <w:rsid w:val="007C62AA"/>
    <w:rsid w:val="007C6D2A"/>
    <w:rsid w:val="007C77BC"/>
    <w:rsid w:val="007C7FB3"/>
    <w:rsid w:val="007D0AD2"/>
    <w:rsid w:val="007D0D79"/>
    <w:rsid w:val="007D1870"/>
    <w:rsid w:val="007D255C"/>
    <w:rsid w:val="007D2FCA"/>
    <w:rsid w:val="007D32BD"/>
    <w:rsid w:val="007D3DA2"/>
    <w:rsid w:val="007D48E4"/>
    <w:rsid w:val="007D4ED6"/>
    <w:rsid w:val="007D5D65"/>
    <w:rsid w:val="007D66D2"/>
    <w:rsid w:val="007D6C0B"/>
    <w:rsid w:val="007D6D3A"/>
    <w:rsid w:val="007D7E82"/>
    <w:rsid w:val="007E00DF"/>
    <w:rsid w:val="007E0A4B"/>
    <w:rsid w:val="007E1ABE"/>
    <w:rsid w:val="007E2739"/>
    <w:rsid w:val="007E3574"/>
    <w:rsid w:val="007E3A80"/>
    <w:rsid w:val="007E3DD3"/>
    <w:rsid w:val="007E4347"/>
    <w:rsid w:val="007E45E8"/>
    <w:rsid w:val="007E561E"/>
    <w:rsid w:val="007E59AB"/>
    <w:rsid w:val="007E5C94"/>
    <w:rsid w:val="007E5FCF"/>
    <w:rsid w:val="007E6BCE"/>
    <w:rsid w:val="007E7321"/>
    <w:rsid w:val="007E76C0"/>
    <w:rsid w:val="007E78DB"/>
    <w:rsid w:val="007E7F97"/>
    <w:rsid w:val="007F078D"/>
    <w:rsid w:val="007F0C2E"/>
    <w:rsid w:val="007F1583"/>
    <w:rsid w:val="007F18FF"/>
    <w:rsid w:val="007F1DDA"/>
    <w:rsid w:val="007F2135"/>
    <w:rsid w:val="007F2840"/>
    <w:rsid w:val="007F2C82"/>
    <w:rsid w:val="007F2F54"/>
    <w:rsid w:val="007F305F"/>
    <w:rsid w:val="007F3278"/>
    <w:rsid w:val="007F3350"/>
    <w:rsid w:val="007F3452"/>
    <w:rsid w:val="007F3E58"/>
    <w:rsid w:val="007F5C98"/>
    <w:rsid w:val="007F5EE1"/>
    <w:rsid w:val="007F63FB"/>
    <w:rsid w:val="007F68E9"/>
    <w:rsid w:val="007F6A72"/>
    <w:rsid w:val="007F6D84"/>
    <w:rsid w:val="00800837"/>
    <w:rsid w:val="00800B1B"/>
    <w:rsid w:val="00800D0C"/>
    <w:rsid w:val="00801186"/>
    <w:rsid w:val="00801280"/>
    <w:rsid w:val="008014D7"/>
    <w:rsid w:val="00801762"/>
    <w:rsid w:val="00802111"/>
    <w:rsid w:val="008026E2"/>
    <w:rsid w:val="008026EB"/>
    <w:rsid w:val="00802FBA"/>
    <w:rsid w:val="008034DE"/>
    <w:rsid w:val="00803FFA"/>
    <w:rsid w:val="0080422B"/>
    <w:rsid w:val="0080499E"/>
    <w:rsid w:val="00805662"/>
    <w:rsid w:val="00806CEE"/>
    <w:rsid w:val="00807789"/>
    <w:rsid w:val="0080791A"/>
    <w:rsid w:val="00807F1E"/>
    <w:rsid w:val="00807F9F"/>
    <w:rsid w:val="00810031"/>
    <w:rsid w:val="008109D1"/>
    <w:rsid w:val="00810CD8"/>
    <w:rsid w:val="008111AA"/>
    <w:rsid w:val="00811679"/>
    <w:rsid w:val="0081173E"/>
    <w:rsid w:val="008119B7"/>
    <w:rsid w:val="00811A81"/>
    <w:rsid w:val="00811D43"/>
    <w:rsid w:val="008120D7"/>
    <w:rsid w:val="00812133"/>
    <w:rsid w:val="008136AA"/>
    <w:rsid w:val="00813FF8"/>
    <w:rsid w:val="008142AF"/>
    <w:rsid w:val="0081480D"/>
    <w:rsid w:val="00814913"/>
    <w:rsid w:val="00814CDA"/>
    <w:rsid w:val="008157CE"/>
    <w:rsid w:val="00815B91"/>
    <w:rsid w:val="008167DA"/>
    <w:rsid w:val="00816D67"/>
    <w:rsid w:val="00816E57"/>
    <w:rsid w:val="0081719E"/>
    <w:rsid w:val="0081776B"/>
    <w:rsid w:val="00817FD5"/>
    <w:rsid w:val="00820A24"/>
    <w:rsid w:val="00821666"/>
    <w:rsid w:val="00821D4D"/>
    <w:rsid w:val="0082201F"/>
    <w:rsid w:val="0082208D"/>
    <w:rsid w:val="0082297D"/>
    <w:rsid w:val="0082395D"/>
    <w:rsid w:val="00823BFD"/>
    <w:rsid w:val="0082405B"/>
    <w:rsid w:val="0082436B"/>
    <w:rsid w:val="008259CF"/>
    <w:rsid w:val="0082607B"/>
    <w:rsid w:val="008263F4"/>
    <w:rsid w:val="008266C4"/>
    <w:rsid w:val="00826D87"/>
    <w:rsid w:val="00827586"/>
    <w:rsid w:val="008279B2"/>
    <w:rsid w:val="00827E9D"/>
    <w:rsid w:val="00827F98"/>
    <w:rsid w:val="008300BB"/>
    <w:rsid w:val="0083180D"/>
    <w:rsid w:val="00831C60"/>
    <w:rsid w:val="00832008"/>
    <w:rsid w:val="00832367"/>
    <w:rsid w:val="0083281A"/>
    <w:rsid w:val="00832B14"/>
    <w:rsid w:val="00832B26"/>
    <w:rsid w:val="00832E0D"/>
    <w:rsid w:val="00833264"/>
    <w:rsid w:val="008333CF"/>
    <w:rsid w:val="0083343F"/>
    <w:rsid w:val="00833BE8"/>
    <w:rsid w:val="00833D91"/>
    <w:rsid w:val="0083455B"/>
    <w:rsid w:val="00834CF4"/>
    <w:rsid w:val="00834D52"/>
    <w:rsid w:val="00835BC3"/>
    <w:rsid w:val="0083619B"/>
    <w:rsid w:val="008368B8"/>
    <w:rsid w:val="00836A38"/>
    <w:rsid w:val="00837A35"/>
    <w:rsid w:val="00837BE6"/>
    <w:rsid w:val="00837C64"/>
    <w:rsid w:val="00837CBC"/>
    <w:rsid w:val="00837E85"/>
    <w:rsid w:val="0084027D"/>
    <w:rsid w:val="00841015"/>
    <w:rsid w:val="008415F8"/>
    <w:rsid w:val="008423CE"/>
    <w:rsid w:val="00843459"/>
    <w:rsid w:val="00843AB4"/>
    <w:rsid w:val="00843BC7"/>
    <w:rsid w:val="00843D77"/>
    <w:rsid w:val="00843EF2"/>
    <w:rsid w:val="008441FC"/>
    <w:rsid w:val="00844FCE"/>
    <w:rsid w:val="0084513E"/>
    <w:rsid w:val="00845BFD"/>
    <w:rsid w:val="008462D3"/>
    <w:rsid w:val="008463C6"/>
    <w:rsid w:val="00846CFF"/>
    <w:rsid w:val="00846F24"/>
    <w:rsid w:val="00846FCF"/>
    <w:rsid w:val="0084720F"/>
    <w:rsid w:val="0084756E"/>
    <w:rsid w:val="00847CEB"/>
    <w:rsid w:val="00847DAB"/>
    <w:rsid w:val="00850649"/>
    <w:rsid w:val="008508D8"/>
    <w:rsid w:val="008517D9"/>
    <w:rsid w:val="0085208D"/>
    <w:rsid w:val="00854580"/>
    <w:rsid w:val="008549F1"/>
    <w:rsid w:val="00855470"/>
    <w:rsid w:val="00855C7E"/>
    <w:rsid w:val="00855D35"/>
    <w:rsid w:val="00855F9D"/>
    <w:rsid w:val="00856D66"/>
    <w:rsid w:val="00857A71"/>
    <w:rsid w:val="00857E54"/>
    <w:rsid w:val="00860445"/>
    <w:rsid w:val="00860F01"/>
    <w:rsid w:val="00861523"/>
    <w:rsid w:val="00862450"/>
    <w:rsid w:val="008625C1"/>
    <w:rsid w:val="008625F7"/>
    <w:rsid w:val="0086304E"/>
    <w:rsid w:val="00864823"/>
    <w:rsid w:val="0086587C"/>
    <w:rsid w:val="00865E5A"/>
    <w:rsid w:val="00866440"/>
    <w:rsid w:val="00866813"/>
    <w:rsid w:val="00867921"/>
    <w:rsid w:val="00867C92"/>
    <w:rsid w:val="00867F2B"/>
    <w:rsid w:val="00870AEF"/>
    <w:rsid w:val="00870DEE"/>
    <w:rsid w:val="00870F9A"/>
    <w:rsid w:val="008712B5"/>
    <w:rsid w:val="0087144B"/>
    <w:rsid w:val="00871BAF"/>
    <w:rsid w:val="0087223D"/>
    <w:rsid w:val="00872939"/>
    <w:rsid w:val="008738D3"/>
    <w:rsid w:val="00873FB1"/>
    <w:rsid w:val="0087404B"/>
    <w:rsid w:val="00874476"/>
    <w:rsid w:val="00874F70"/>
    <w:rsid w:val="008750ED"/>
    <w:rsid w:val="00875544"/>
    <w:rsid w:val="00875B4F"/>
    <w:rsid w:val="00875BBE"/>
    <w:rsid w:val="008763AF"/>
    <w:rsid w:val="00876573"/>
    <w:rsid w:val="00876904"/>
    <w:rsid w:val="00876BBB"/>
    <w:rsid w:val="008775E1"/>
    <w:rsid w:val="008800A5"/>
    <w:rsid w:val="00880490"/>
    <w:rsid w:val="00881116"/>
    <w:rsid w:val="008813B0"/>
    <w:rsid w:val="00881699"/>
    <w:rsid w:val="008828B2"/>
    <w:rsid w:val="00883B03"/>
    <w:rsid w:val="00883FE8"/>
    <w:rsid w:val="00884062"/>
    <w:rsid w:val="00884335"/>
    <w:rsid w:val="008843C2"/>
    <w:rsid w:val="00885555"/>
    <w:rsid w:val="00885A33"/>
    <w:rsid w:val="00886A49"/>
    <w:rsid w:val="0088708E"/>
    <w:rsid w:val="008871FA"/>
    <w:rsid w:val="008877A3"/>
    <w:rsid w:val="008910A5"/>
    <w:rsid w:val="0089171D"/>
    <w:rsid w:val="008921FC"/>
    <w:rsid w:val="00892957"/>
    <w:rsid w:val="008935B5"/>
    <w:rsid w:val="00893BF9"/>
    <w:rsid w:val="00893D0F"/>
    <w:rsid w:val="00893EE0"/>
    <w:rsid w:val="00894DDA"/>
    <w:rsid w:val="00894E87"/>
    <w:rsid w:val="00895494"/>
    <w:rsid w:val="0089555C"/>
    <w:rsid w:val="008955F6"/>
    <w:rsid w:val="00895602"/>
    <w:rsid w:val="008956EC"/>
    <w:rsid w:val="00895A68"/>
    <w:rsid w:val="00895EB5"/>
    <w:rsid w:val="008969D3"/>
    <w:rsid w:val="00896B82"/>
    <w:rsid w:val="00896DFD"/>
    <w:rsid w:val="00897455"/>
    <w:rsid w:val="008974E6"/>
    <w:rsid w:val="008A0C11"/>
    <w:rsid w:val="008A2242"/>
    <w:rsid w:val="008A23C1"/>
    <w:rsid w:val="008A428A"/>
    <w:rsid w:val="008A4546"/>
    <w:rsid w:val="008A4685"/>
    <w:rsid w:val="008A46EB"/>
    <w:rsid w:val="008A54C2"/>
    <w:rsid w:val="008A5815"/>
    <w:rsid w:val="008A5D91"/>
    <w:rsid w:val="008A65A9"/>
    <w:rsid w:val="008A6A56"/>
    <w:rsid w:val="008A6B53"/>
    <w:rsid w:val="008A73A7"/>
    <w:rsid w:val="008A7B05"/>
    <w:rsid w:val="008A7F6C"/>
    <w:rsid w:val="008B0372"/>
    <w:rsid w:val="008B1994"/>
    <w:rsid w:val="008B1C38"/>
    <w:rsid w:val="008B29DD"/>
    <w:rsid w:val="008B2E1E"/>
    <w:rsid w:val="008B34BB"/>
    <w:rsid w:val="008B39BF"/>
    <w:rsid w:val="008B3F06"/>
    <w:rsid w:val="008B445F"/>
    <w:rsid w:val="008B483A"/>
    <w:rsid w:val="008B559C"/>
    <w:rsid w:val="008B587E"/>
    <w:rsid w:val="008B5B01"/>
    <w:rsid w:val="008B6911"/>
    <w:rsid w:val="008B6C59"/>
    <w:rsid w:val="008B72E3"/>
    <w:rsid w:val="008B74FE"/>
    <w:rsid w:val="008B7C95"/>
    <w:rsid w:val="008B7DEC"/>
    <w:rsid w:val="008B7F2C"/>
    <w:rsid w:val="008C00D3"/>
    <w:rsid w:val="008C05E4"/>
    <w:rsid w:val="008C07D3"/>
    <w:rsid w:val="008C10E2"/>
    <w:rsid w:val="008C143A"/>
    <w:rsid w:val="008C1805"/>
    <w:rsid w:val="008C1BE1"/>
    <w:rsid w:val="008C23F8"/>
    <w:rsid w:val="008C290B"/>
    <w:rsid w:val="008C4532"/>
    <w:rsid w:val="008C4A47"/>
    <w:rsid w:val="008C4B01"/>
    <w:rsid w:val="008C4C7A"/>
    <w:rsid w:val="008C4EC3"/>
    <w:rsid w:val="008C50B2"/>
    <w:rsid w:val="008C571E"/>
    <w:rsid w:val="008C5AD3"/>
    <w:rsid w:val="008C62F1"/>
    <w:rsid w:val="008C6BA2"/>
    <w:rsid w:val="008C77E1"/>
    <w:rsid w:val="008D0FBA"/>
    <w:rsid w:val="008D1871"/>
    <w:rsid w:val="008D1BE7"/>
    <w:rsid w:val="008D255A"/>
    <w:rsid w:val="008D2B23"/>
    <w:rsid w:val="008D31D5"/>
    <w:rsid w:val="008D378A"/>
    <w:rsid w:val="008D41FA"/>
    <w:rsid w:val="008D58A6"/>
    <w:rsid w:val="008D59FD"/>
    <w:rsid w:val="008D6EAC"/>
    <w:rsid w:val="008D77CA"/>
    <w:rsid w:val="008D7E64"/>
    <w:rsid w:val="008E07E4"/>
    <w:rsid w:val="008E1037"/>
    <w:rsid w:val="008E1876"/>
    <w:rsid w:val="008E18AC"/>
    <w:rsid w:val="008E290B"/>
    <w:rsid w:val="008E2DF8"/>
    <w:rsid w:val="008E2EE4"/>
    <w:rsid w:val="008E43A2"/>
    <w:rsid w:val="008E52F5"/>
    <w:rsid w:val="008E5327"/>
    <w:rsid w:val="008E55FB"/>
    <w:rsid w:val="008E66E3"/>
    <w:rsid w:val="008E67A7"/>
    <w:rsid w:val="008E6902"/>
    <w:rsid w:val="008E71AD"/>
    <w:rsid w:val="008E73F2"/>
    <w:rsid w:val="008F0286"/>
    <w:rsid w:val="008F1040"/>
    <w:rsid w:val="008F1E41"/>
    <w:rsid w:val="008F1F8A"/>
    <w:rsid w:val="008F2657"/>
    <w:rsid w:val="008F2829"/>
    <w:rsid w:val="008F2A4C"/>
    <w:rsid w:val="008F328A"/>
    <w:rsid w:val="008F37EF"/>
    <w:rsid w:val="008F47A5"/>
    <w:rsid w:val="008F48B1"/>
    <w:rsid w:val="008F509E"/>
    <w:rsid w:val="008F6EC8"/>
    <w:rsid w:val="008F7868"/>
    <w:rsid w:val="008F79C0"/>
    <w:rsid w:val="008F7CE3"/>
    <w:rsid w:val="00900660"/>
    <w:rsid w:val="00900F83"/>
    <w:rsid w:val="00901318"/>
    <w:rsid w:val="00901446"/>
    <w:rsid w:val="00901752"/>
    <w:rsid w:val="0090183C"/>
    <w:rsid w:val="00902391"/>
    <w:rsid w:val="00902739"/>
    <w:rsid w:val="00902D17"/>
    <w:rsid w:val="0090535C"/>
    <w:rsid w:val="0090607E"/>
    <w:rsid w:val="009063D6"/>
    <w:rsid w:val="009066EA"/>
    <w:rsid w:val="00906919"/>
    <w:rsid w:val="009069B8"/>
    <w:rsid w:val="00906A42"/>
    <w:rsid w:val="009070AA"/>
    <w:rsid w:val="009079B9"/>
    <w:rsid w:val="00910008"/>
    <w:rsid w:val="009102E2"/>
    <w:rsid w:val="009113DE"/>
    <w:rsid w:val="009117BB"/>
    <w:rsid w:val="00911843"/>
    <w:rsid w:val="00911991"/>
    <w:rsid w:val="00911D6B"/>
    <w:rsid w:val="0091204D"/>
    <w:rsid w:val="00912938"/>
    <w:rsid w:val="00913023"/>
    <w:rsid w:val="00913A14"/>
    <w:rsid w:val="00913B9B"/>
    <w:rsid w:val="00913F71"/>
    <w:rsid w:val="00914832"/>
    <w:rsid w:val="00914FC6"/>
    <w:rsid w:val="00915988"/>
    <w:rsid w:val="00915F84"/>
    <w:rsid w:val="0091608F"/>
    <w:rsid w:val="00916C51"/>
    <w:rsid w:val="009170AB"/>
    <w:rsid w:val="00917344"/>
    <w:rsid w:val="0091777C"/>
    <w:rsid w:val="00920294"/>
    <w:rsid w:val="0092032E"/>
    <w:rsid w:val="009211FE"/>
    <w:rsid w:val="00921AF7"/>
    <w:rsid w:val="00922284"/>
    <w:rsid w:val="009224BB"/>
    <w:rsid w:val="009228DD"/>
    <w:rsid w:val="00922DA8"/>
    <w:rsid w:val="00922EB6"/>
    <w:rsid w:val="009237B4"/>
    <w:rsid w:val="00924084"/>
    <w:rsid w:val="00924380"/>
    <w:rsid w:val="00924AD0"/>
    <w:rsid w:val="00924DB1"/>
    <w:rsid w:val="00924DD7"/>
    <w:rsid w:val="0092550D"/>
    <w:rsid w:val="00925BDD"/>
    <w:rsid w:val="00926FD8"/>
    <w:rsid w:val="00927282"/>
    <w:rsid w:val="0092756C"/>
    <w:rsid w:val="00927574"/>
    <w:rsid w:val="00927681"/>
    <w:rsid w:val="00930485"/>
    <w:rsid w:val="009304F4"/>
    <w:rsid w:val="009308A9"/>
    <w:rsid w:val="00930B59"/>
    <w:rsid w:val="00931475"/>
    <w:rsid w:val="00932E7C"/>
    <w:rsid w:val="0093307A"/>
    <w:rsid w:val="00933CF7"/>
    <w:rsid w:val="00933EDC"/>
    <w:rsid w:val="00933FF0"/>
    <w:rsid w:val="00934033"/>
    <w:rsid w:val="009362B2"/>
    <w:rsid w:val="009362CB"/>
    <w:rsid w:val="0093678C"/>
    <w:rsid w:val="00936BAF"/>
    <w:rsid w:val="00937663"/>
    <w:rsid w:val="009378A3"/>
    <w:rsid w:val="00937BA9"/>
    <w:rsid w:val="0094081F"/>
    <w:rsid w:val="009411C2"/>
    <w:rsid w:val="00941C84"/>
    <w:rsid w:val="0094297F"/>
    <w:rsid w:val="00942980"/>
    <w:rsid w:val="00944773"/>
    <w:rsid w:val="00944A9C"/>
    <w:rsid w:val="00944E71"/>
    <w:rsid w:val="00945616"/>
    <w:rsid w:val="00945D91"/>
    <w:rsid w:val="0094665F"/>
    <w:rsid w:val="00946CCC"/>
    <w:rsid w:val="00947EAC"/>
    <w:rsid w:val="00950029"/>
    <w:rsid w:val="0095114A"/>
    <w:rsid w:val="0095124A"/>
    <w:rsid w:val="009516B9"/>
    <w:rsid w:val="00951D0A"/>
    <w:rsid w:val="00952455"/>
    <w:rsid w:val="00952EA2"/>
    <w:rsid w:val="00953D9D"/>
    <w:rsid w:val="009540D2"/>
    <w:rsid w:val="009543DD"/>
    <w:rsid w:val="0095450E"/>
    <w:rsid w:val="00954A1D"/>
    <w:rsid w:val="00954D0F"/>
    <w:rsid w:val="00954F52"/>
    <w:rsid w:val="0095603F"/>
    <w:rsid w:val="00956255"/>
    <w:rsid w:val="009568C6"/>
    <w:rsid w:val="00956F74"/>
    <w:rsid w:val="00957815"/>
    <w:rsid w:val="00957A2D"/>
    <w:rsid w:val="00957A93"/>
    <w:rsid w:val="00957BD8"/>
    <w:rsid w:val="009607A1"/>
    <w:rsid w:val="00961B53"/>
    <w:rsid w:val="00961C4D"/>
    <w:rsid w:val="00961EC6"/>
    <w:rsid w:val="00963614"/>
    <w:rsid w:val="00963A77"/>
    <w:rsid w:val="00963D5D"/>
    <w:rsid w:val="00964495"/>
    <w:rsid w:val="00964D08"/>
    <w:rsid w:val="0096527E"/>
    <w:rsid w:val="009657A3"/>
    <w:rsid w:val="00965BB6"/>
    <w:rsid w:val="00966914"/>
    <w:rsid w:val="00966FCB"/>
    <w:rsid w:val="0096751B"/>
    <w:rsid w:val="009676F8"/>
    <w:rsid w:val="00967D22"/>
    <w:rsid w:val="00970EF9"/>
    <w:rsid w:val="00971274"/>
    <w:rsid w:val="00971688"/>
    <w:rsid w:val="00971DCB"/>
    <w:rsid w:val="00971DEA"/>
    <w:rsid w:val="00971F8C"/>
    <w:rsid w:val="00972CA3"/>
    <w:rsid w:val="00973E92"/>
    <w:rsid w:val="009748B3"/>
    <w:rsid w:val="00974E8B"/>
    <w:rsid w:val="0097573D"/>
    <w:rsid w:val="0097591A"/>
    <w:rsid w:val="009771B3"/>
    <w:rsid w:val="009806E3"/>
    <w:rsid w:val="009807C5"/>
    <w:rsid w:val="0098214D"/>
    <w:rsid w:val="009824C8"/>
    <w:rsid w:val="009832EC"/>
    <w:rsid w:val="009842F6"/>
    <w:rsid w:val="00984384"/>
    <w:rsid w:val="00984791"/>
    <w:rsid w:val="00985CF7"/>
    <w:rsid w:val="0098624B"/>
    <w:rsid w:val="009866FA"/>
    <w:rsid w:val="00986AE2"/>
    <w:rsid w:val="00990B7E"/>
    <w:rsid w:val="00991570"/>
    <w:rsid w:val="009916E4"/>
    <w:rsid w:val="009917A6"/>
    <w:rsid w:val="009921F8"/>
    <w:rsid w:val="00992BD4"/>
    <w:rsid w:val="00992DAF"/>
    <w:rsid w:val="00993BE9"/>
    <w:rsid w:val="009940E0"/>
    <w:rsid w:val="00995252"/>
    <w:rsid w:val="0099556A"/>
    <w:rsid w:val="0099584D"/>
    <w:rsid w:val="00996120"/>
    <w:rsid w:val="00996AB7"/>
    <w:rsid w:val="00996FD4"/>
    <w:rsid w:val="00997018"/>
    <w:rsid w:val="00997337"/>
    <w:rsid w:val="00997888"/>
    <w:rsid w:val="00997D5B"/>
    <w:rsid w:val="009A003B"/>
    <w:rsid w:val="009A0F27"/>
    <w:rsid w:val="009A1DAD"/>
    <w:rsid w:val="009A2999"/>
    <w:rsid w:val="009A2BF8"/>
    <w:rsid w:val="009A3AC3"/>
    <w:rsid w:val="009A3F05"/>
    <w:rsid w:val="009A4B7E"/>
    <w:rsid w:val="009A4C83"/>
    <w:rsid w:val="009A4F52"/>
    <w:rsid w:val="009A582F"/>
    <w:rsid w:val="009A7120"/>
    <w:rsid w:val="009A7C22"/>
    <w:rsid w:val="009B038B"/>
    <w:rsid w:val="009B078C"/>
    <w:rsid w:val="009B0D42"/>
    <w:rsid w:val="009B12F0"/>
    <w:rsid w:val="009B1625"/>
    <w:rsid w:val="009B1A8F"/>
    <w:rsid w:val="009B231F"/>
    <w:rsid w:val="009B23A9"/>
    <w:rsid w:val="009B28FA"/>
    <w:rsid w:val="009B2C87"/>
    <w:rsid w:val="009B4165"/>
    <w:rsid w:val="009B4A82"/>
    <w:rsid w:val="009B4FEA"/>
    <w:rsid w:val="009B5025"/>
    <w:rsid w:val="009B54D6"/>
    <w:rsid w:val="009B588F"/>
    <w:rsid w:val="009B6546"/>
    <w:rsid w:val="009B6A32"/>
    <w:rsid w:val="009B6C3B"/>
    <w:rsid w:val="009B6FAD"/>
    <w:rsid w:val="009B7AAA"/>
    <w:rsid w:val="009B7E9A"/>
    <w:rsid w:val="009C026A"/>
    <w:rsid w:val="009C08F9"/>
    <w:rsid w:val="009C0D11"/>
    <w:rsid w:val="009C1210"/>
    <w:rsid w:val="009C176C"/>
    <w:rsid w:val="009C2CFD"/>
    <w:rsid w:val="009C2E0D"/>
    <w:rsid w:val="009C36E1"/>
    <w:rsid w:val="009C37C2"/>
    <w:rsid w:val="009C38C1"/>
    <w:rsid w:val="009C3C3E"/>
    <w:rsid w:val="009C3E25"/>
    <w:rsid w:val="009C3FC8"/>
    <w:rsid w:val="009C443B"/>
    <w:rsid w:val="009C5712"/>
    <w:rsid w:val="009C595A"/>
    <w:rsid w:val="009C5C77"/>
    <w:rsid w:val="009C5F6F"/>
    <w:rsid w:val="009C608C"/>
    <w:rsid w:val="009C6236"/>
    <w:rsid w:val="009C62BB"/>
    <w:rsid w:val="009C69BF"/>
    <w:rsid w:val="009C6D51"/>
    <w:rsid w:val="009C704A"/>
    <w:rsid w:val="009C7342"/>
    <w:rsid w:val="009C7DC9"/>
    <w:rsid w:val="009D0130"/>
    <w:rsid w:val="009D01BA"/>
    <w:rsid w:val="009D19C0"/>
    <w:rsid w:val="009D2576"/>
    <w:rsid w:val="009D2BAE"/>
    <w:rsid w:val="009D2CFC"/>
    <w:rsid w:val="009D3873"/>
    <w:rsid w:val="009D3AEE"/>
    <w:rsid w:val="009D4865"/>
    <w:rsid w:val="009D49FC"/>
    <w:rsid w:val="009D5124"/>
    <w:rsid w:val="009D536C"/>
    <w:rsid w:val="009D55F9"/>
    <w:rsid w:val="009D5747"/>
    <w:rsid w:val="009D756E"/>
    <w:rsid w:val="009D7590"/>
    <w:rsid w:val="009D7A07"/>
    <w:rsid w:val="009D7EBF"/>
    <w:rsid w:val="009E1B59"/>
    <w:rsid w:val="009E46FE"/>
    <w:rsid w:val="009E5D2A"/>
    <w:rsid w:val="009E5E03"/>
    <w:rsid w:val="009E6309"/>
    <w:rsid w:val="009E6415"/>
    <w:rsid w:val="009E6533"/>
    <w:rsid w:val="009E6752"/>
    <w:rsid w:val="009E69CD"/>
    <w:rsid w:val="009F02E6"/>
    <w:rsid w:val="009F12A9"/>
    <w:rsid w:val="009F133E"/>
    <w:rsid w:val="009F1C0B"/>
    <w:rsid w:val="009F1C43"/>
    <w:rsid w:val="009F2387"/>
    <w:rsid w:val="009F2871"/>
    <w:rsid w:val="009F3509"/>
    <w:rsid w:val="009F42C2"/>
    <w:rsid w:val="009F5947"/>
    <w:rsid w:val="009F63AA"/>
    <w:rsid w:val="009F68A2"/>
    <w:rsid w:val="009F69A1"/>
    <w:rsid w:val="009F70AF"/>
    <w:rsid w:val="009F7884"/>
    <w:rsid w:val="00A0017A"/>
    <w:rsid w:val="00A00BA9"/>
    <w:rsid w:val="00A00D46"/>
    <w:rsid w:val="00A01A55"/>
    <w:rsid w:val="00A02139"/>
    <w:rsid w:val="00A02590"/>
    <w:rsid w:val="00A02CB0"/>
    <w:rsid w:val="00A03247"/>
    <w:rsid w:val="00A03E48"/>
    <w:rsid w:val="00A042FC"/>
    <w:rsid w:val="00A04A19"/>
    <w:rsid w:val="00A04C43"/>
    <w:rsid w:val="00A051FF"/>
    <w:rsid w:val="00A05602"/>
    <w:rsid w:val="00A0589D"/>
    <w:rsid w:val="00A05B9A"/>
    <w:rsid w:val="00A05E12"/>
    <w:rsid w:val="00A06068"/>
    <w:rsid w:val="00A06606"/>
    <w:rsid w:val="00A10235"/>
    <w:rsid w:val="00A106BC"/>
    <w:rsid w:val="00A10BC7"/>
    <w:rsid w:val="00A11100"/>
    <w:rsid w:val="00A11191"/>
    <w:rsid w:val="00A1166D"/>
    <w:rsid w:val="00A11809"/>
    <w:rsid w:val="00A11E0D"/>
    <w:rsid w:val="00A12129"/>
    <w:rsid w:val="00A1237E"/>
    <w:rsid w:val="00A12758"/>
    <w:rsid w:val="00A12B31"/>
    <w:rsid w:val="00A13701"/>
    <w:rsid w:val="00A13792"/>
    <w:rsid w:val="00A13A93"/>
    <w:rsid w:val="00A14429"/>
    <w:rsid w:val="00A144E6"/>
    <w:rsid w:val="00A146DF"/>
    <w:rsid w:val="00A14FF0"/>
    <w:rsid w:val="00A1505F"/>
    <w:rsid w:val="00A15B68"/>
    <w:rsid w:val="00A15DFF"/>
    <w:rsid w:val="00A163BE"/>
    <w:rsid w:val="00A16E0A"/>
    <w:rsid w:val="00A172AC"/>
    <w:rsid w:val="00A20365"/>
    <w:rsid w:val="00A2036B"/>
    <w:rsid w:val="00A207ED"/>
    <w:rsid w:val="00A21C83"/>
    <w:rsid w:val="00A21FCC"/>
    <w:rsid w:val="00A221EB"/>
    <w:rsid w:val="00A22617"/>
    <w:rsid w:val="00A23276"/>
    <w:rsid w:val="00A23AAF"/>
    <w:rsid w:val="00A241B9"/>
    <w:rsid w:val="00A24C74"/>
    <w:rsid w:val="00A25050"/>
    <w:rsid w:val="00A25131"/>
    <w:rsid w:val="00A2575C"/>
    <w:rsid w:val="00A25B8A"/>
    <w:rsid w:val="00A269D0"/>
    <w:rsid w:val="00A2738F"/>
    <w:rsid w:val="00A27B18"/>
    <w:rsid w:val="00A303C9"/>
    <w:rsid w:val="00A30580"/>
    <w:rsid w:val="00A30B2B"/>
    <w:rsid w:val="00A30E7A"/>
    <w:rsid w:val="00A3362D"/>
    <w:rsid w:val="00A33659"/>
    <w:rsid w:val="00A33754"/>
    <w:rsid w:val="00A33E02"/>
    <w:rsid w:val="00A340B1"/>
    <w:rsid w:val="00A340FB"/>
    <w:rsid w:val="00A3426B"/>
    <w:rsid w:val="00A34C93"/>
    <w:rsid w:val="00A357C4"/>
    <w:rsid w:val="00A35900"/>
    <w:rsid w:val="00A35D76"/>
    <w:rsid w:val="00A36140"/>
    <w:rsid w:val="00A361A8"/>
    <w:rsid w:val="00A367C4"/>
    <w:rsid w:val="00A36C3F"/>
    <w:rsid w:val="00A36DC0"/>
    <w:rsid w:val="00A375F8"/>
    <w:rsid w:val="00A4042B"/>
    <w:rsid w:val="00A4068B"/>
    <w:rsid w:val="00A41256"/>
    <w:rsid w:val="00A41827"/>
    <w:rsid w:val="00A41B16"/>
    <w:rsid w:val="00A41DC2"/>
    <w:rsid w:val="00A4250A"/>
    <w:rsid w:val="00A42D6D"/>
    <w:rsid w:val="00A43218"/>
    <w:rsid w:val="00A43272"/>
    <w:rsid w:val="00A43917"/>
    <w:rsid w:val="00A4394E"/>
    <w:rsid w:val="00A44333"/>
    <w:rsid w:val="00A446AF"/>
    <w:rsid w:val="00A446D8"/>
    <w:rsid w:val="00A44BA9"/>
    <w:rsid w:val="00A451B4"/>
    <w:rsid w:val="00A4529C"/>
    <w:rsid w:val="00A4572F"/>
    <w:rsid w:val="00A45BAF"/>
    <w:rsid w:val="00A46273"/>
    <w:rsid w:val="00A4665E"/>
    <w:rsid w:val="00A46D19"/>
    <w:rsid w:val="00A470BC"/>
    <w:rsid w:val="00A47281"/>
    <w:rsid w:val="00A474F6"/>
    <w:rsid w:val="00A47871"/>
    <w:rsid w:val="00A479B0"/>
    <w:rsid w:val="00A47A4B"/>
    <w:rsid w:val="00A47D61"/>
    <w:rsid w:val="00A47E58"/>
    <w:rsid w:val="00A500B9"/>
    <w:rsid w:val="00A50311"/>
    <w:rsid w:val="00A5059C"/>
    <w:rsid w:val="00A510B9"/>
    <w:rsid w:val="00A5127E"/>
    <w:rsid w:val="00A5173D"/>
    <w:rsid w:val="00A51790"/>
    <w:rsid w:val="00A518B0"/>
    <w:rsid w:val="00A51E6C"/>
    <w:rsid w:val="00A524B7"/>
    <w:rsid w:val="00A52DED"/>
    <w:rsid w:val="00A542E4"/>
    <w:rsid w:val="00A5544F"/>
    <w:rsid w:val="00A55907"/>
    <w:rsid w:val="00A55A0C"/>
    <w:rsid w:val="00A563F8"/>
    <w:rsid w:val="00A56F0B"/>
    <w:rsid w:val="00A572D6"/>
    <w:rsid w:val="00A57545"/>
    <w:rsid w:val="00A578C8"/>
    <w:rsid w:val="00A57BE0"/>
    <w:rsid w:val="00A57FBA"/>
    <w:rsid w:val="00A60A9F"/>
    <w:rsid w:val="00A60E6C"/>
    <w:rsid w:val="00A60F72"/>
    <w:rsid w:val="00A615C4"/>
    <w:rsid w:val="00A61B85"/>
    <w:rsid w:val="00A61C8B"/>
    <w:rsid w:val="00A628E2"/>
    <w:rsid w:val="00A62927"/>
    <w:rsid w:val="00A62FD3"/>
    <w:rsid w:val="00A63033"/>
    <w:rsid w:val="00A637A7"/>
    <w:rsid w:val="00A637AB"/>
    <w:rsid w:val="00A6452E"/>
    <w:rsid w:val="00A645BE"/>
    <w:rsid w:val="00A64C8E"/>
    <w:rsid w:val="00A65319"/>
    <w:rsid w:val="00A658AF"/>
    <w:rsid w:val="00A65F84"/>
    <w:rsid w:val="00A6664A"/>
    <w:rsid w:val="00A676CA"/>
    <w:rsid w:val="00A67DBF"/>
    <w:rsid w:val="00A7085B"/>
    <w:rsid w:val="00A70A0A"/>
    <w:rsid w:val="00A71122"/>
    <w:rsid w:val="00A72973"/>
    <w:rsid w:val="00A72DFF"/>
    <w:rsid w:val="00A72F5F"/>
    <w:rsid w:val="00A734AC"/>
    <w:rsid w:val="00A7402A"/>
    <w:rsid w:val="00A745D2"/>
    <w:rsid w:val="00A74968"/>
    <w:rsid w:val="00A749EF"/>
    <w:rsid w:val="00A75100"/>
    <w:rsid w:val="00A76CC7"/>
    <w:rsid w:val="00A813DB"/>
    <w:rsid w:val="00A82A14"/>
    <w:rsid w:val="00A82C01"/>
    <w:rsid w:val="00A8402B"/>
    <w:rsid w:val="00A8470E"/>
    <w:rsid w:val="00A84DF7"/>
    <w:rsid w:val="00A84E77"/>
    <w:rsid w:val="00A85F5F"/>
    <w:rsid w:val="00A87F96"/>
    <w:rsid w:val="00A87FAC"/>
    <w:rsid w:val="00A90160"/>
    <w:rsid w:val="00A906FB"/>
    <w:rsid w:val="00A90DB8"/>
    <w:rsid w:val="00A91A10"/>
    <w:rsid w:val="00A91DEC"/>
    <w:rsid w:val="00A91E41"/>
    <w:rsid w:val="00A924E5"/>
    <w:rsid w:val="00A928DF"/>
    <w:rsid w:val="00A92959"/>
    <w:rsid w:val="00A92ADD"/>
    <w:rsid w:val="00A93C27"/>
    <w:rsid w:val="00A941E7"/>
    <w:rsid w:val="00A948B3"/>
    <w:rsid w:val="00A95261"/>
    <w:rsid w:val="00A95B4A"/>
    <w:rsid w:val="00A95DCE"/>
    <w:rsid w:val="00A9624B"/>
    <w:rsid w:val="00A9643F"/>
    <w:rsid w:val="00AA0464"/>
    <w:rsid w:val="00AA14C6"/>
    <w:rsid w:val="00AA151E"/>
    <w:rsid w:val="00AA15FB"/>
    <w:rsid w:val="00AA1757"/>
    <w:rsid w:val="00AA2497"/>
    <w:rsid w:val="00AA2A1F"/>
    <w:rsid w:val="00AA2F4A"/>
    <w:rsid w:val="00AA32A5"/>
    <w:rsid w:val="00AA38B4"/>
    <w:rsid w:val="00AA3F6E"/>
    <w:rsid w:val="00AA48B5"/>
    <w:rsid w:val="00AA5FE4"/>
    <w:rsid w:val="00AA675F"/>
    <w:rsid w:val="00AA69AA"/>
    <w:rsid w:val="00AA6D34"/>
    <w:rsid w:val="00AA73E2"/>
    <w:rsid w:val="00AA7C60"/>
    <w:rsid w:val="00AB02BB"/>
    <w:rsid w:val="00AB042E"/>
    <w:rsid w:val="00AB0505"/>
    <w:rsid w:val="00AB0EA0"/>
    <w:rsid w:val="00AB1CA8"/>
    <w:rsid w:val="00AB2077"/>
    <w:rsid w:val="00AB249C"/>
    <w:rsid w:val="00AB2503"/>
    <w:rsid w:val="00AB2CB6"/>
    <w:rsid w:val="00AB2D93"/>
    <w:rsid w:val="00AB3648"/>
    <w:rsid w:val="00AB3EA7"/>
    <w:rsid w:val="00AB51A9"/>
    <w:rsid w:val="00AB52F5"/>
    <w:rsid w:val="00AB5394"/>
    <w:rsid w:val="00AB6172"/>
    <w:rsid w:val="00AB68B0"/>
    <w:rsid w:val="00AB6B6E"/>
    <w:rsid w:val="00AB7373"/>
    <w:rsid w:val="00AC09DB"/>
    <w:rsid w:val="00AC2058"/>
    <w:rsid w:val="00AC251B"/>
    <w:rsid w:val="00AC2CF4"/>
    <w:rsid w:val="00AC30C4"/>
    <w:rsid w:val="00AC3702"/>
    <w:rsid w:val="00AC38F4"/>
    <w:rsid w:val="00AC43E5"/>
    <w:rsid w:val="00AC4CB0"/>
    <w:rsid w:val="00AC5966"/>
    <w:rsid w:val="00AC76D1"/>
    <w:rsid w:val="00AC7750"/>
    <w:rsid w:val="00AC7D51"/>
    <w:rsid w:val="00AC7D8A"/>
    <w:rsid w:val="00AD06ED"/>
    <w:rsid w:val="00AD0FCD"/>
    <w:rsid w:val="00AD128D"/>
    <w:rsid w:val="00AD1638"/>
    <w:rsid w:val="00AD1995"/>
    <w:rsid w:val="00AD1E08"/>
    <w:rsid w:val="00AD2689"/>
    <w:rsid w:val="00AD2BA0"/>
    <w:rsid w:val="00AD2EA6"/>
    <w:rsid w:val="00AD36BE"/>
    <w:rsid w:val="00AD39F6"/>
    <w:rsid w:val="00AD3B2F"/>
    <w:rsid w:val="00AD417A"/>
    <w:rsid w:val="00AD4348"/>
    <w:rsid w:val="00AD5240"/>
    <w:rsid w:val="00AD7027"/>
    <w:rsid w:val="00AD7693"/>
    <w:rsid w:val="00AE013D"/>
    <w:rsid w:val="00AE0636"/>
    <w:rsid w:val="00AE0B5D"/>
    <w:rsid w:val="00AE156C"/>
    <w:rsid w:val="00AE179F"/>
    <w:rsid w:val="00AE1998"/>
    <w:rsid w:val="00AE1DB9"/>
    <w:rsid w:val="00AE203A"/>
    <w:rsid w:val="00AE2A46"/>
    <w:rsid w:val="00AE2AF1"/>
    <w:rsid w:val="00AE329A"/>
    <w:rsid w:val="00AE36DB"/>
    <w:rsid w:val="00AE4101"/>
    <w:rsid w:val="00AE4E3C"/>
    <w:rsid w:val="00AE5A48"/>
    <w:rsid w:val="00AE709F"/>
    <w:rsid w:val="00AE7148"/>
    <w:rsid w:val="00AE7460"/>
    <w:rsid w:val="00AF11BC"/>
    <w:rsid w:val="00AF1923"/>
    <w:rsid w:val="00AF1B4D"/>
    <w:rsid w:val="00AF1BF5"/>
    <w:rsid w:val="00AF200C"/>
    <w:rsid w:val="00AF3293"/>
    <w:rsid w:val="00AF3E77"/>
    <w:rsid w:val="00AF41C2"/>
    <w:rsid w:val="00AF47B8"/>
    <w:rsid w:val="00AF51FB"/>
    <w:rsid w:val="00AF53D7"/>
    <w:rsid w:val="00AF77DB"/>
    <w:rsid w:val="00AF7850"/>
    <w:rsid w:val="00B004A0"/>
    <w:rsid w:val="00B00759"/>
    <w:rsid w:val="00B00F19"/>
    <w:rsid w:val="00B0131B"/>
    <w:rsid w:val="00B01A62"/>
    <w:rsid w:val="00B01C0D"/>
    <w:rsid w:val="00B022D2"/>
    <w:rsid w:val="00B02DCB"/>
    <w:rsid w:val="00B02EB5"/>
    <w:rsid w:val="00B03312"/>
    <w:rsid w:val="00B03428"/>
    <w:rsid w:val="00B035AF"/>
    <w:rsid w:val="00B051D1"/>
    <w:rsid w:val="00B05426"/>
    <w:rsid w:val="00B057CE"/>
    <w:rsid w:val="00B062E6"/>
    <w:rsid w:val="00B06514"/>
    <w:rsid w:val="00B067A1"/>
    <w:rsid w:val="00B067DD"/>
    <w:rsid w:val="00B068F2"/>
    <w:rsid w:val="00B06910"/>
    <w:rsid w:val="00B06B8A"/>
    <w:rsid w:val="00B06FF3"/>
    <w:rsid w:val="00B071D8"/>
    <w:rsid w:val="00B07EF7"/>
    <w:rsid w:val="00B10073"/>
    <w:rsid w:val="00B103A0"/>
    <w:rsid w:val="00B112F8"/>
    <w:rsid w:val="00B120EF"/>
    <w:rsid w:val="00B1343A"/>
    <w:rsid w:val="00B137AE"/>
    <w:rsid w:val="00B14AA1"/>
    <w:rsid w:val="00B150C5"/>
    <w:rsid w:val="00B15241"/>
    <w:rsid w:val="00B158F3"/>
    <w:rsid w:val="00B16102"/>
    <w:rsid w:val="00B16D7B"/>
    <w:rsid w:val="00B16F60"/>
    <w:rsid w:val="00B1705F"/>
    <w:rsid w:val="00B176F4"/>
    <w:rsid w:val="00B20062"/>
    <w:rsid w:val="00B20A5D"/>
    <w:rsid w:val="00B2139E"/>
    <w:rsid w:val="00B2145D"/>
    <w:rsid w:val="00B21CD2"/>
    <w:rsid w:val="00B232EC"/>
    <w:rsid w:val="00B2344C"/>
    <w:rsid w:val="00B23A81"/>
    <w:rsid w:val="00B23AA1"/>
    <w:rsid w:val="00B25CBB"/>
    <w:rsid w:val="00B26C76"/>
    <w:rsid w:val="00B278F4"/>
    <w:rsid w:val="00B303D1"/>
    <w:rsid w:val="00B309A6"/>
    <w:rsid w:val="00B309D8"/>
    <w:rsid w:val="00B30C55"/>
    <w:rsid w:val="00B3115C"/>
    <w:rsid w:val="00B31B86"/>
    <w:rsid w:val="00B31FE2"/>
    <w:rsid w:val="00B321DC"/>
    <w:rsid w:val="00B32EB6"/>
    <w:rsid w:val="00B32F86"/>
    <w:rsid w:val="00B332AA"/>
    <w:rsid w:val="00B3331C"/>
    <w:rsid w:val="00B33A61"/>
    <w:rsid w:val="00B33B76"/>
    <w:rsid w:val="00B341B6"/>
    <w:rsid w:val="00B34D67"/>
    <w:rsid w:val="00B34F78"/>
    <w:rsid w:val="00B35010"/>
    <w:rsid w:val="00B35305"/>
    <w:rsid w:val="00B357BD"/>
    <w:rsid w:val="00B35A0F"/>
    <w:rsid w:val="00B363EA"/>
    <w:rsid w:val="00B36A1E"/>
    <w:rsid w:val="00B36BEF"/>
    <w:rsid w:val="00B36FC2"/>
    <w:rsid w:val="00B37538"/>
    <w:rsid w:val="00B376CF"/>
    <w:rsid w:val="00B3783F"/>
    <w:rsid w:val="00B37F62"/>
    <w:rsid w:val="00B4024D"/>
    <w:rsid w:val="00B40C24"/>
    <w:rsid w:val="00B41251"/>
    <w:rsid w:val="00B41C7F"/>
    <w:rsid w:val="00B42A47"/>
    <w:rsid w:val="00B435CF"/>
    <w:rsid w:val="00B446CC"/>
    <w:rsid w:val="00B456E7"/>
    <w:rsid w:val="00B46182"/>
    <w:rsid w:val="00B468F7"/>
    <w:rsid w:val="00B4726F"/>
    <w:rsid w:val="00B472AC"/>
    <w:rsid w:val="00B47607"/>
    <w:rsid w:val="00B47B37"/>
    <w:rsid w:val="00B5021B"/>
    <w:rsid w:val="00B51248"/>
    <w:rsid w:val="00B52C49"/>
    <w:rsid w:val="00B530E7"/>
    <w:rsid w:val="00B534BE"/>
    <w:rsid w:val="00B5370D"/>
    <w:rsid w:val="00B539C8"/>
    <w:rsid w:val="00B541B1"/>
    <w:rsid w:val="00B54F3B"/>
    <w:rsid w:val="00B55015"/>
    <w:rsid w:val="00B558F9"/>
    <w:rsid w:val="00B55B2A"/>
    <w:rsid w:val="00B57323"/>
    <w:rsid w:val="00B60F6F"/>
    <w:rsid w:val="00B613B2"/>
    <w:rsid w:val="00B61CCE"/>
    <w:rsid w:val="00B62955"/>
    <w:rsid w:val="00B62A2A"/>
    <w:rsid w:val="00B64484"/>
    <w:rsid w:val="00B644DC"/>
    <w:rsid w:val="00B648E9"/>
    <w:rsid w:val="00B64E41"/>
    <w:rsid w:val="00B65381"/>
    <w:rsid w:val="00B65B35"/>
    <w:rsid w:val="00B65BFA"/>
    <w:rsid w:val="00B6639E"/>
    <w:rsid w:val="00B67048"/>
    <w:rsid w:val="00B70DF5"/>
    <w:rsid w:val="00B718C8"/>
    <w:rsid w:val="00B719A6"/>
    <w:rsid w:val="00B71F81"/>
    <w:rsid w:val="00B7251F"/>
    <w:rsid w:val="00B7259B"/>
    <w:rsid w:val="00B72DE2"/>
    <w:rsid w:val="00B738F4"/>
    <w:rsid w:val="00B73CD8"/>
    <w:rsid w:val="00B73DBA"/>
    <w:rsid w:val="00B763DB"/>
    <w:rsid w:val="00B764AA"/>
    <w:rsid w:val="00B76BD9"/>
    <w:rsid w:val="00B76E8D"/>
    <w:rsid w:val="00B77DB5"/>
    <w:rsid w:val="00B80792"/>
    <w:rsid w:val="00B80866"/>
    <w:rsid w:val="00B81BE7"/>
    <w:rsid w:val="00B824B6"/>
    <w:rsid w:val="00B84661"/>
    <w:rsid w:val="00B84DFC"/>
    <w:rsid w:val="00B86B78"/>
    <w:rsid w:val="00B87B9D"/>
    <w:rsid w:val="00B87C53"/>
    <w:rsid w:val="00B904C6"/>
    <w:rsid w:val="00B92889"/>
    <w:rsid w:val="00B93364"/>
    <w:rsid w:val="00B934D4"/>
    <w:rsid w:val="00B94002"/>
    <w:rsid w:val="00B9459A"/>
    <w:rsid w:val="00B96088"/>
    <w:rsid w:val="00B96D9C"/>
    <w:rsid w:val="00B97C35"/>
    <w:rsid w:val="00B97FEA"/>
    <w:rsid w:val="00BA049A"/>
    <w:rsid w:val="00BA0A88"/>
    <w:rsid w:val="00BA14D5"/>
    <w:rsid w:val="00BA2171"/>
    <w:rsid w:val="00BA2331"/>
    <w:rsid w:val="00BA2542"/>
    <w:rsid w:val="00BA2A52"/>
    <w:rsid w:val="00BA3025"/>
    <w:rsid w:val="00BA3C6E"/>
    <w:rsid w:val="00BA47ED"/>
    <w:rsid w:val="00BA4EA5"/>
    <w:rsid w:val="00BA504F"/>
    <w:rsid w:val="00BA53D3"/>
    <w:rsid w:val="00BA5585"/>
    <w:rsid w:val="00BA5607"/>
    <w:rsid w:val="00BA5E35"/>
    <w:rsid w:val="00BA6A5A"/>
    <w:rsid w:val="00BA6D20"/>
    <w:rsid w:val="00BA72C6"/>
    <w:rsid w:val="00BA7F56"/>
    <w:rsid w:val="00BB060D"/>
    <w:rsid w:val="00BB0962"/>
    <w:rsid w:val="00BB10E5"/>
    <w:rsid w:val="00BB112B"/>
    <w:rsid w:val="00BB1710"/>
    <w:rsid w:val="00BB2080"/>
    <w:rsid w:val="00BB2561"/>
    <w:rsid w:val="00BB28B2"/>
    <w:rsid w:val="00BB2CC3"/>
    <w:rsid w:val="00BB2E59"/>
    <w:rsid w:val="00BB3850"/>
    <w:rsid w:val="00BB3914"/>
    <w:rsid w:val="00BB3C89"/>
    <w:rsid w:val="00BB4A18"/>
    <w:rsid w:val="00BB4E73"/>
    <w:rsid w:val="00BB60DC"/>
    <w:rsid w:val="00BB62A3"/>
    <w:rsid w:val="00BB6C93"/>
    <w:rsid w:val="00BB742E"/>
    <w:rsid w:val="00BB7F58"/>
    <w:rsid w:val="00BC01F8"/>
    <w:rsid w:val="00BC0ADD"/>
    <w:rsid w:val="00BC0F40"/>
    <w:rsid w:val="00BC1324"/>
    <w:rsid w:val="00BC1497"/>
    <w:rsid w:val="00BC1A18"/>
    <w:rsid w:val="00BC1A80"/>
    <w:rsid w:val="00BC1D85"/>
    <w:rsid w:val="00BC2938"/>
    <w:rsid w:val="00BC2F02"/>
    <w:rsid w:val="00BC30E0"/>
    <w:rsid w:val="00BC31FF"/>
    <w:rsid w:val="00BC32FF"/>
    <w:rsid w:val="00BC3BA8"/>
    <w:rsid w:val="00BC4157"/>
    <w:rsid w:val="00BC44F7"/>
    <w:rsid w:val="00BC464A"/>
    <w:rsid w:val="00BC4BA9"/>
    <w:rsid w:val="00BC582B"/>
    <w:rsid w:val="00BC5F5E"/>
    <w:rsid w:val="00BC6702"/>
    <w:rsid w:val="00BC7DDC"/>
    <w:rsid w:val="00BD1170"/>
    <w:rsid w:val="00BD1BB6"/>
    <w:rsid w:val="00BD2BFA"/>
    <w:rsid w:val="00BD2DA8"/>
    <w:rsid w:val="00BD3140"/>
    <w:rsid w:val="00BD3388"/>
    <w:rsid w:val="00BD3408"/>
    <w:rsid w:val="00BD3AAD"/>
    <w:rsid w:val="00BD3C8B"/>
    <w:rsid w:val="00BD4062"/>
    <w:rsid w:val="00BD457D"/>
    <w:rsid w:val="00BD47AD"/>
    <w:rsid w:val="00BD4854"/>
    <w:rsid w:val="00BD491B"/>
    <w:rsid w:val="00BD4F0F"/>
    <w:rsid w:val="00BD5072"/>
    <w:rsid w:val="00BD5360"/>
    <w:rsid w:val="00BD6503"/>
    <w:rsid w:val="00BD6D11"/>
    <w:rsid w:val="00BD7C3E"/>
    <w:rsid w:val="00BD7CC9"/>
    <w:rsid w:val="00BD7D75"/>
    <w:rsid w:val="00BE0331"/>
    <w:rsid w:val="00BE0446"/>
    <w:rsid w:val="00BE0534"/>
    <w:rsid w:val="00BE12F2"/>
    <w:rsid w:val="00BE15AF"/>
    <w:rsid w:val="00BE1BB6"/>
    <w:rsid w:val="00BE2053"/>
    <w:rsid w:val="00BE20CD"/>
    <w:rsid w:val="00BE2C0C"/>
    <w:rsid w:val="00BE2C80"/>
    <w:rsid w:val="00BE2F9F"/>
    <w:rsid w:val="00BE322E"/>
    <w:rsid w:val="00BE3FFA"/>
    <w:rsid w:val="00BE4127"/>
    <w:rsid w:val="00BE428C"/>
    <w:rsid w:val="00BE493D"/>
    <w:rsid w:val="00BE4BF3"/>
    <w:rsid w:val="00BE4E43"/>
    <w:rsid w:val="00BE5183"/>
    <w:rsid w:val="00BE58EE"/>
    <w:rsid w:val="00BE5C56"/>
    <w:rsid w:val="00BE5D51"/>
    <w:rsid w:val="00BE611F"/>
    <w:rsid w:val="00BE6328"/>
    <w:rsid w:val="00BE6C90"/>
    <w:rsid w:val="00BE70B3"/>
    <w:rsid w:val="00BE70F4"/>
    <w:rsid w:val="00BE78DE"/>
    <w:rsid w:val="00BE7D07"/>
    <w:rsid w:val="00BF0238"/>
    <w:rsid w:val="00BF02C9"/>
    <w:rsid w:val="00BF02EB"/>
    <w:rsid w:val="00BF23F9"/>
    <w:rsid w:val="00BF5735"/>
    <w:rsid w:val="00BF5B8F"/>
    <w:rsid w:val="00BF5C13"/>
    <w:rsid w:val="00BF5D54"/>
    <w:rsid w:val="00BF6630"/>
    <w:rsid w:val="00BF68E5"/>
    <w:rsid w:val="00BF6D20"/>
    <w:rsid w:val="00BF7FA6"/>
    <w:rsid w:val="00C00E37"/>
    <w:rsid w:val="00C018E7"/>
    <w:rsid w:val="00C01EF3"/>
    <w:rsid w:val="00C0270D"/>
    <w:rsid w:val="00C02844"/>
    <w:rsid w:val="00C0403A"/>
    <w:rsid w:val="00C04400"/>
    <w:rsid w:val="00C04BAF"/>
    <w:rsid w:val="00C0635A"/>
    <w:rsid w:val="00C0715F"/>
    <w:rsid w:val="00C1102F"/>
    <w:rsid w:val="00C1109C"/>
    <w:rsid w:val="00C111D1"/>
    <w:rsid w:val="00C111E2"/>
    <w:rsid w:val="00C1213F"/>
    <w:rsid w:val="00C1232A"/>
    <w:rsid w:val="00C1277E"/>
    <w:rsid w:val="00C12986"/>
    <w:rsid w:val="00C12B36"/>
    <w:rsid w:val="00C13006"/>
    <w:rsid w:val="00C133AB"/>
    <w:rsid w:val="00C148B3"/>
    <w:rsid w:val="00C15009"/>
    <w:rsid w:val="00C15550"/>
    <w:rsid w:val="00C155C4"/>
    <w:rsid w:val="00C1577A"/>
    <w:rsid w:val="00C1607D"/>
    <w:rsid w:val="00C16605"/>
    <w:rsid w:val="00C16ECF"/>
    <w:rsid w:val="00C17573"/>
    <w:rsid w:val="00C17703"/>
    <w:rsid w:val="00C179F2"/>
    <w:rsid w:val="00C200BC"/>
    <w:rsid w:val="00C2075F"/>
    <w:rsid w:val="00C20964"/>
    <w:rsid w:val="00C210D9"/>
    <w:rsid w:val="00C21EDF"/>
    <w:rsid w:val="00C2533A"/>
    <w:rsid w:val="00C25C44"/>
    <w:rsid w:val="00C2693C"/>
    <w:rsid w:val="00C26A09"/>
    <w:rsid w:val="00C279D3"/>
    <w:rsid w:val="00C27E74"/>
    <w:rsid w:val="00C3051C"/>
    <w:rsid w:val="00C30668"/>
    <w:rsid w:val="00C30C06"/>
    <w:rsid w:val="00C314D5"/>
    <w:rsid w:val="00C31C01"/>
    <w:rsid w:val="00C31F05"/>
    <w:rsid w:val="00C32FE3"/>
    <w:rsid w:val="00C3327C"/>
    <w:rsid w:val="00C33B10"/>
    <w:rsid w:val="00C343D7"/>
    <w:rsid w:val="00C343F1"/>
    <w:rsid w:val="00C3525A"/>
    <w:rsid w:val="00C368E0"/>
    <w:rsid w:val="00C373E3"/>
    <w:rsid w:val="00C4031A"/>
    <w:rsid w:val="00C40F9F"/>
    <w:rsid w:val="00C416DA"/>
    <w:rsid w:val="00C4183D"/>
    <w:rsid w:val="00C41E20"/>
    <w:rsid w:val="00C42649"/>
    <w:rsid w:val="00C435E3"/>
    <w:rsid w:val="00C4380D"/>
    <w:rsid w:val="00C43E4D"/>
    <w:rsid w:val="00C44057"/>
    <w:rsid w:val="00C452C3"/>
    <w:rsid w:val="00C4597F"/>
    <w:rsid w:val="00C45AEC"/>
    <w:rsid w:val="00C466F9"/>
    <w:rsid w:val="00C4693E"/>
    <w:rsid w:val="00C46D85"/>
    <w:rsid w:val="00C50479"/>
    <w:rsid w:val="00C505C4"/>
    <w:rsid w:val="00C50C0A"/>
    <w:rsid w:val="00C50C50"/>
    <w:rsid w:val="00C514F9"/>
    <w:rsid w:val="00C52103"/>
    <w:rsid w:val="00C532D3"/>
    <w:rsid w:val="00C53536"/>
    <w:rsid w:val="00C53A76"/>
    <w:rsid w:val="00C54143"/>
    <w:rsid w:val="00C545BC"/>
    <w:rsid w:val="00C54E5B"/>
    <w:rsid w:val="00C55632"/>
    <w:rsid w:val="00C55A9F"/>
    <w:rsid w:val="00C563CE"/>
    <w:rsid w:val="00C56968"/>
    <w:rsid w:val="00C56A90"/>
    <w:rsid w:val="00C56F4D"/>
    <w:rsid w:val="00C571B5"/>
    <w:rsid w:val="00C574EA"/>
    <w:rsid w:val="00C575B3"/>
    <w:rsid w:val="00C57845"/>
    <w:rsid w:val="00C60303"/>
    <w:rsid w:val="00C60C80"/>
    <w:rsid w:val="00C60CEB"/>
    <w:rsid w:val="00C610F1"/>
    <w:rsid w:val="00C612B2"/>
    <w:rsid w:val="00C61469"/>
    <w:rsid w:val="00C614E4"/>
    <w:rsid w:val="00C61501"/>
    <w:rsid w:val="00C61B56"/>
    <w:rsid w:val="00C61CE9"/>
    <w:rsid w:val="00C61E98"/>
    <w:rsid w:val="00C61EE7"/>
    <w:rsid w:val="00C61FE0"/>
    <w:rsid w:val="00C6218D"/>
    <w:rsid w:val="00C621C1"/>
    <w:rsid w:val="00C622E7"/>
    <w:rsid w:val="00C627A5"/>
    <w:rsid w:val="00C63A89"/>
    <w:rsid w:val="00C6418F"/>
    <w:rsid w:val="00C653A3"/>
    <w:rsid w:val="00C65946"/>
    <w:rsid w:val="00C65A75"/>
    <w:rsid w:val="00C66126"/>
    <w:rsid w:val="00C67233"/>
    <w:rsid w:val="00C67499"/>
    <w:rsid w:val="00C677E8"/>
    <w:rsid w:val="00C67977"/>
    <w:rsid w:val="00C70BF9"/>
    <w:rsid w:val="00C71017"/>
    <w:rsid w:val="00C710D7"/>
    <w:rsid w:val="00C712B2"/>
    <w:rsid w:val="00C7143A"/>
    <w:rsid w:val="00C7169C"/>
    <w:rsid w:val="00C71AC8"/>
    <w:rsid w:val="00C71F98"/>
    <w:rsid w:val="00C7218E"/>
    <w:rsid w:val="00C729D7"/>
    <w:rsid w:val="00C72B52"/>
    <w:rsid w:val="00C72C86"/>
    <w:rsid w:val="00C733F8"/>
    <w:rsid w:val="00C754F0"/>
    <w:rsid w:val="00C75ABA"/>
    <w:rsid w:val="00C75B39"/>
    <w:rsid w:val="00C76DDD"/>
    <w:rsid w:val="00C76E13"/>
    <w:rsid w:val="00C801A3"/>
    <w:rsid w:val="00C82F90"/>
    <w:rsid w:val="00C83261"/>
    <w:rsid w:val="00C838D4"/>
    <w:rsid w:val="00C839FC"/>
    <w:rsid w:val="00C83BE5"/>
    <w:rsid w:val="00C83EBB"/>
    <w:rsid w:val="00C84053"/>
    <w:rsid w:val="00C8412B"/>
    <w:rsid w:val="00C85078"/>
    <w:rsid w:val="00C85D94"/>
    <w:rsid w:val="00C86C81"/>
    <w:rsid w:val="00C86F39"/>
    <w:rsid w:val="00C90F2D"/>
    <w:rsid w:val="00C90F7C"/>
    <w:rsid w:val="00C91952"/>
    <w:rsid w:val="00C91F35"/>
    <w:rsid w:val="00C92A3C"/>
    <w:rsid w:val="00C93732"/>
    <w:rsid w:val="00C93E37"/>
    <w:rsid w:val="00C94C9F"/>
    <w:rsid w:val="00C94F07"/>
    <w:rsid w:val="00C94FE0"/>
    <w:rsid w:val="00C95242"/>
    <w:rsid w:val="00C9573E"/>
    <w:rsid w:val="00C962DD"/>
    <w:rsid w:val="00C97650"/>
    <w:rsid w:val="00C97748"/>
    <w:rsid w:val="00C97928"/>
    <w:rsid w:val="00C97C9B"/>
    <w:rsid w:val="00CA2266"/>
    <w:rsid w:val="00CA2828"/>
    <w:rsid w:val="00CA2F95"/>
    <w:rsid w:val="00CA3095"/>
    <w:rsid w:val="00CA3228"/>
    <w:rsid w:val="00CA3BB8"/>
    <w:rsid w:val="00CA3BE0"/>
    <w:rsid w:val="00CA555C"/>
    <w:rsid w:val="00CA5B5F"/>
    <w:rsid w:val="00CA60F0"/>
    <w:rsid w:val="00CA6462"/>
    <w:rsid w:val="00CA6654"/>
    <w:rsid w:val="00CA7348"/>
    <w:rsid w:val="00CB077B"/>
    <w:rsid w:val="00CB0D8B"/>
    <w:rsid w:val="00CB0FC2"/>
    <w:rsid w:val="00CB18E9"/>
    <w:rsid w:val="00CB1B2E"/>
    <w:rsid w:val="00CB1E0D"/>
    <w:rsid w:val="00CB2B0D"/>
    <w:rsid w:val="00CB34D2"/>
    <w:rsid w:val="00CB35B8"/>
    <w:rsid w:val="00CB375D"/>
    <w:rsid w:val="00CB38F9"/>
    <w:rsid w:val="00CB4047"/>
    <w:rsid w:val="00CB428A"/>
    <w:rsid w:val="00CB44AF"/>
    <w:rsid w:val="00CB455C"/>
    <w:rsid w:val="00CB4AE8"/>
    <w:rsid w:val="00CB4C3A"/>
    <w:rsid w:val="00CB4F43"/>
    <w:rsid w:val="00CB6CAF"/>
    <w:rsid w:val="00CB6CEB"/>
    <w:rsid w:val="00CB72C3"/>
    <w:rsid w:val="00CB7A48"/>
    <w:rsid w:val="00CC16F5"/>
    <w:rsid w:val="00CC1BDF"/>
    <w:rsid w:val="00CC1C46"/>
    <w:rsid w:val="00CC25CA"/>
    <w:rsid w:val="00CC25E9"/>
    <w:rsid w:val="00CC34F1"/>
    <w:rsid w:val="00CC365F"/>
    <w:rsid w:val="00CC3725"/>
    <w:rsid w:val="00CC48C6"/>
    <w:rsid w:val="00CC4B36"/>
    <w:rsid w:val="00CC4C08"/>
    <w:rsid w:val="00CC55D1"/>
    <w:rsid w:val="00CC57A7"/>
    <w:rsid w:val="00CC688A"/>
    <w:rsid w:val="00CC6A4A"/>
    <w:rsid w:val="00CC6FA0"/>
    <w:rsid w:val="00CC723E"/>
    <w:rsid w:val="00CC7822"/>
    <w:rsid w:val="00CD0C78"/>
    <w:rsid w:val="00CD0D4C"/>
    <w:rsid w:val="00CD193B"/>
    <w:rsid w:val="00CD22A7"/>
    <w:rsid w:val="00CD399A"/>
    <w:rsid w:val="00CD41B2"/>
    <w:rsid w:val="00CD4239"/>
    <w:rsid w:val="00CD48F7"/>
    <w:rsid w:val="00CD55B6"/>
    <w:rsid w:val="00CD5C90"/>
    <w:rsid w:val="00CD657E"/>
    <w:rsid w:val="00CD7359"/>
    <w:rsid w:val="00CE0403"/>
    <w:rsid w:val="00CE0688"/>
    <w:rsid w:val="00CE0EB1"/>
    <w:rsid w:val="00CE2263"/>
    <w:rsid w:val="00CE2A9A"/>
    <w:rsid w:val="00CE2AF0"/>
    <w:rsid w:val="00CE2C3C"/>
    <w:rsid w:val="00CE331A"/>
    <w:rsid w:val="00CE33EA"/>
    <w:rsid w:val="00CE3C18"/>
    <w:rsid w:val="00CE4A7B"/>
    <w:rsid w:val="00CE4E1A"/>
    <w:rsid w:val="00CE4FDD"/>
    <w:rsid w:val="00CE51EC"/>
    <w:rsid w:val="00CE5647"/>
    <w:rsid w:val="00CE571C"/>
    <w:rsid w:val="00CE57CF"/>
    <w:rsid w:val="00CE64E8"/>
    <w:rsid w:val="00CE6E2D"/>
    <w:rsid w:val="00CE717A"/>
    <w:rsid w:val="00CE7999"/>
    <w:rsid w:val="00CF02AB"/>
    <w:rsid w:val="00CF1309"/>
    <w:rsid w:val="00CF167A"/>
    <w:rsid w:val="00CF1866"/>
    <w:rsid w:val="00CF1B62"/>
    <w:rsid w:val="00CF1D3E"/>
    <w:rsid w:val="00CF2015"/>
    <w:rsid w:val="00CF39BE"/>
    <w:rsid w:val="00CF3C38"/>
    <w:rsid w:val="00CF3DE9"/>
    <w:rsid w:val="00CF47D0"/>
    <w:rsid w:val="00CF4F3B"/>
    <w:rsid w:val="00CF565F"/>
    <w:rsid w:val="00CF5753"/>
    <w:rsid w:val="00CF5E96"/>
    <w:rsid w:val="00CF646A"/>
    <w:rsid w:val="00CF6DE0"/>
    <w:rsid w:val="00CF6DEA"/>
    <w:rsid w:val="00CF7607"/>
    <w:rsid w:val="00CF7784"/>
    <w:rsid w:val="00CF7BF2"/>
    <w:rsid w:val="00D002B1"/>
    <w:rsid w:val="00D0080C"/>
    <w:rsid w:val="00D0085E"/>
    <w:rsid w:val="00D0162D"/>
    <w:rsid w:val="00D01D4E"/>
    <w:rsid w:val="00D020BB"/>
    <w:rsid w:val="00D03159"/>
    <w:rsid w:val="00D0343F"/>
    <w:rsid w:val="00D03591"/>
    <w:rsid w:val="00D03677"/>
    <w:rsid w:val="00D041FA"/>
    <w:rsid w:val="00D045B5"/>
    <w:rsid w:val="00D04C0A"/>
    <w:rsid w:val="00D05075"/>
    <w:rsid w:val="00D05376"/>
    <w:rsid w:val="00D057DA"/>
    <w:rsid w:val="00D05E82"/>
    <w:rsid w:val="00D06949"/>
    <w:rsid w:val="00D0745E"/>
    <w:rsid w:val="00D07DA7"/>
    <w:rsid w:val="00D10308"/>
    <w:rsid w:val="00D10975"/>
    <w:rsid w:val="00D125D7"/>
    <w:rsid w:val="00D12AA6"/>
    <w:rsid w:val="00D1307B"/>
    <w:rsid w:val="00D133ED"/>
    <w:rsid w:val="00D144C6"/>
    <w:rsid w:val="00D14978"/>
    <w:rsid w:val="00D14C4A"/>
    <w:rsid w:val="00D14D9E"/>
    <w:rsid w:val="00D15312"/>
    <w:rsid w:val="00D1570D"/>
    <w:rsid w:val="00D1577E"/>
    <w:rsid w:val="00D15A6F"/>
    <w:rsid w:val="00D15BA6"/>
    <w:rsid w:val="00D1611D"/>
    <w:rsid w:val="00D16ED1"/>
    <w:rsid w:val="00D17B22"/>
    <w:rsid w:val="00D21438"/>
    <w:rsid w:val="00D214E6"/>
    <w:rsid w:val="00D2286D"/>
    <w:rsid w:val="00D23148"/>
    <w:rsid w:val="00D23758"/>
    <w:rsid w:val="00D2375F"/>
    <w:rsid w:val="00D23C6C"/>
    <w:rsid w:val="00D23D27"/>
    <w:rsid w:val="00D23F5F"/>
    <w:rsid w:val="00D241CA"/>
    <w:rsid w:val="00D24F83"/>
    <w:rsid w:val="00D25A37"/>
    <w:rsid w:val="00D25B2F"/>
    <w:rsid w:val="00D25ED1"/>
    <w:rsid w:val="00D26022"/>
    <w:rsid w:val="00D2631C"/>
    <w:rsid w:val="00D26980"/>
    <w:rsid w:val="00D26B75"/>
    <w:rsid w:val="00D26BFD"/>
    <w:rsid w:val="00D26DE2"/>
    <w:rsid w:val="00D27C60"/>
    <w:rsid w:val="00D27E74"/>
    <w:rsid w:val="00D27FB8"/>
    <w:rsid w:val="00D3113E"/>
    <w:rsid w:val="00D31B40"/>
    <w:rsid w:val="00D32A5A"/>
    <w:rsid w:val="00D33379"/>
    <w:rsid w:val="00D3360B"/>
    <w:rsid w:val="00D33665"/>
    <w:rsid w:val="00D33941"/>
    <w:rsid w:val="00D34F09"/>
    <w:rsid w:val="00D35A99"/>
    <w:rsid w:val="00D3612B"/>
    <w:rsid w:val="00D373E4"/>
    <w:rsid w:val="00D375AA"/>
    <w:rsid w:val="00D37E84"/>
    <w:rsid w:val="00D40110"/>
    <w:rsid w:val="00D4090D"/>
    <w:rsid w:val="00D411F9"/>
    <w:rsid w:val="00D43248"/>
    <w:rsid w:val="00D43348"/>
    <w:rsid w:val="00D439FB"/>
    <w:rsid w:val="00D44331"/>
    <w:rsid w:val="00D44B22"/>
    <w:rsid w:val="00D453BA"/>
    <w:rsid w:val="00D45522"/>
    <w:rsid w:val="00D4600C"/>
    <w:rsid w:val="00D465D2"/>
    <w:rsid w:val="00D50315"/>
    <w:rsid w:val="00D5071D"/>
    <w:rsid w:val="00D50747"/>
    <w:rsid w:val="00D509A3"/>
    <w:rsid w:val="00D50BEB"/>
    <w:rsid w:val="00D50E81"/>
    <w:rsid w:val="00D51761"/>
    <w:rsid w:val="00D51AB0"/>
    <w:rsid w:val="00D53542"/>
    <w:rsid w:val="00D53945"/>
    <w:rsid w:val="00D53E35"/>
    <w:rsid w:val="00D541F0"/>
    <w:rsid w:val="00D55B80"/>
    <w:rsid w:val="00D567E0"/>
    <w:rsid w:val="00D56F83"/>
    <w:rsid w:val="00D571F7"/>
    <w:rsid w:val="00D6140D"/>
    <w:rsid w:val="00D61738"/>
    <w:rsid w:val="00D61CFD"/>
    <w:rsid w:val="00D6229C"/>
    <w:rsid w:val="00D62921"/>
    <w:rsid w:val="00D632E1"/>
    <w:rsid w:val="00D64882"/>
    <w:rsid w:val="00D64DAE"/>
    <w:rsid w:val="00D6509B"/>
    <w:rsid w:val="00D65633"/>
    <w:rsid w:val="00D66D96"/>
    <w:rsid w:val="00D66F51"/>
    <w:rsid w:val="00D67570"/>
    <w:rsid w:val="00D700B2"/>
    <w:rsid w:val="00D7045D"/>
    <w:rsid w:val="00D70A31"/>
    <w:rsid w:val="00D70A3E"/>
    <w:rsid w:val="00D712BE"/>
    <w:rsid w:val="00D71CF9"/>
    <w:rsid w:val="00D73099"/>
    <w:rsid w:val="00D731C4"/>
    <w:rsid w:val="00D7386E"/>
    <w:rsid w:val="00D73FD9"/>
    <w:rsid w:val="00D74C76"/>
    <w:rsid w:val="00D7502B"/>
    <w:rsid w:val="00D7529A"/>
    <w:rsid w:val="00D764BF"/>
    <w:rsid w:val="00D772C6"/>
    <w:rsid w:val="00D7736E"/>
    <w:rsid w:val="00D775AB"/>
    <w:rsid w:val="00D80A3A"/>
    <w:rsid w:val="00D80B39"/>
    <w:rsid w:val="00D813BA"/>
    <w:rsid w:val="00D81810"/>
    <w:rsid w:val="00D81CBF"/>
    <w:rsid w:val="00D82247"/>
    <w:rsid w:val="00D83959"/>
    <w:rsid w:val="00D844FE"/>
    <w:rsid w:val="00D85A0F"/>
    <w:rsid w:val="00D86B8D"/>
    <w:rsid w:val="00D86F9D"/>
    <w:rsid w:val="00D86FC8"/>
    <w:rsid w:val="00D87896"/>
    <w:rsid w:val="00D87F97"/>
    <w:rsid w:val="00D90014"/>
    <w:rsid w:val="00D90673"/>
    <w:rsid w:val="00D90877"/>
    <w:rsid w:val="00D9098D"/>
    <w:rsid w:val="00D90FFE"/>
    <w:rsid w:val="00D91689"/>
    <w:rsid w:val="00D920D1"/>
    <w:rsid w:val="00D92F9E"/>
    <w:rsid w:val="00D9309F"/>
    <w:rsid w:val="00D9407A"/>
    <w:rsid w:val="00D943C7"/>
    <w:rsid w:val="00D94EF7"/>
    <w:rsid w:val="00D95726"/>
    <w:rsid w:val="00D96775"/>
    <w:rsid w:val="00D9769C"/>
    <w:rsid w:val="00D9793F"/>
    <w:rsid w:val="00D97A30"/>
    <w:rsid w:val="00DA0C5F"/>
    <w:rsid w:val="00DA1038"/>
    <w:rsid w:val="00DA17E0"/>
    <w:rsid w:val="00DA26F2"/>
    <w:rsid w:val="00DA2FCB"/>
    <w:rsid w:val="00DA34FC"/>
    <w:rsid w:val="00DA38BD"/>
    <w:rsid w:val="00DA3B0D"/>
    <w:rsid w:val="00DA4563"/>
    <w:rsid w:val="00DA462C"/>
    <w:rsid w:val="00DA4A4F"/>
    <w:rsid w:val="00DA5291"/>
    <w:rsid w:val="00DA537C"/>
    <w:rsid w:val="00DA59D6"/>
    <w:rsid w:val="00DA5CAA"/>
    <w:rsid w:val="00DA6229"/>
    <w:rsid w:val="00DA64C8"/>
    <w:rsid w:val="00DA6E71"/>
    <w:rsid w:val="00DA6E7D"/>
    <w:rsid w:val="00DA6EBD"/>
    <w:rsid w:val="00DA7117"/>
    <w:rsid w:val="00DB0EE0"/>
    <w:rsid w:val="00DB25E8"/>
    <w:rsid w:val="00DB28A2"/>
    <w:rsid w:val="00DB2963"/>
    <w:rsid w:val="00DB36BE"/>
    <w:rsid w:val="00DB38AC"/>
    <w:rsid w:val="00DB3CA2"/>
    <w:rsid w:val="00DB4441"/>
    <w:rsid w:val="00DB4A22"/>
    <w:rsid w:val="00DB4A53"/>
    <w:rsid w:val="00DB555E"/>
    <w:rsid w:val="00DB578E"/>
    <w:rsid w:val="00DB5B8A"/>
    <w:rsid w:val="00DB5E63"/>
    <w:rsid w:val="00DB5FAF"/>
    <w:rsid w:val="00DB630F"/>
    <w:rsid w:val="00DB69C1"/>
    <w:rsid w:val="00DB6BB5"/>
    <w:rsid w:val="00DB6FCD"/>
    <w:rsid w:val="00DB73B0"/>
    <w:rsid w:val="00DB7A36"/>
    <w:rsid w:val="00DB7B04"/>
    <w:rsid w:val="00DB7BC1"/>
    <w:rsid w:val="00DB7D12"/>
    <w:rsid w:val="00DC0065"/>
    <w:rsid w:val="00DC07DF"/>
    <w:rsid w:val="00DC08A5"/>
    <w:rsid w:val="00DC0972"/>
    <w:rsid w:val="00DC1AC8"/>
    <w:rsid w:val="00DC1E4A"/>
    <w:rsid w:val="00DC1F54"/>
    <w:rsid w:val="00DC20F3"/>
    <w:rsid w:val="00DC2986"/>
    <w:rsid w:val="00DC2CFE"/>
    <w:rsid w:val="00DC4497"/>
    <w:rsid w:val="00DC4C15"/>
    <w:rsid w:val="00DC4FC0"/>
    <w:rsid w:val="00DC4FC4"/>
    <w:rsid w:val="00DC54A5"/>
    <w:rsid w:val="00DC5583"/>
    <w:rsid w:val="00DC59B5"/>
    <w:rsid w:val="00DC65D2"/>
    <w:rsid w:val="00DC6840"/>
    <w:rsid w:val="00DC6DFE"/>
    <w:rsid w:val="00DC73E0"/>
    <w:rsid w:val="00DC7ADD"/>
    <w:rsid w:val="00DC7FCF"/>
    <w:rsid w:val="00DD04EA"/>
    <w:rsid w:val="00DD1508"/>
    <w:rsid w:val="00DD16C1"/>
    <w:rsid w:val="00DD1F45"/>
    <w:rsid w:val="00DD243B"/>
    <w:rsid w:val="00DD25C3"/>
    <w:rsid w:val="00DD2C06"/>
    <w:rsid w:val="00DD32C3"/>
    <w:rsid w:val="00DD4911"/>
    <w:rsid w:val="00DD4AF1"/>
    <w:rsid w:val="00DD4C3E"/>
    <w:rsid w:val="00DD5CA0"/>
    <w:rsid w:val="00DD650C"/>
    <w:rsid w:val="00DD6F98"/>
    <w:rsid w:val="00DD70B0"/>
    <w:rsid w:val="00DD70FC"/>
    <w:rsid w:val="00DD7DD7"/>
    <w:rsid w:val="00DE02F2"/>
    <w:rsid w:val="00DE1834"/>
    <w:rsid w:val="00DE1993"/>
    <w:rsid w:val="00DE1A1F"/>
    <w:rsid w:val="00DE1B2F"/>
    <w:rsid w:val="00DE1C93"/>
    <w:rsid w:val="00DE1E3D"/>
    <w:rsid w:val="00DE31F4"/>
    <w:rsid w:val="00DE3FA4"/>
    <w:rsid w:val="00DE4164"/>
    <w:rsid w:val="00DE4E27"/>
    <w:rsid w:val="00DE53DA"/>
    <w:rsid w:val="00DE557D"/>
    <w:rsid w:val="00DE5A1D"/>
    <w:rsid w:val="00DE5B2D"/>
    <w:rsid w:val="00DE6C44"/>
    <w:rsid w:val="00DE6DA7"/>
    <w:rsid w:val="00DE6FB3"/>
    <w:rsid w:val="00DE77A4"/>
    <w:rsid w:val="00DE7EB9"/>
    <w:rsid w:val="00DF03D4"/>
    <w:rsid w:val="00DF0D6D"/>
    <w:rsid w:val="00DF13A9"/>
    <w:rsid w:val="00DF1AE9"/>
    <w:rsid w:val="00DF21A6"/>
    <w:rsid w:val="00DF231B"/>
    <w:rsid w:val="00DF3347"/>
    <w:rsid w:val="00DF3DA1"/>
    <w:rsid w:val="00DF40CF"/>
    <w:rsid w:val="00DF482E"/>
    <w:rsid w:val="00DF496C"/>
    <w:rsid w:val="00DF4AB2"/>
    <w:rsid w:val="00DF4D24"/>
    <w:rsid w:val="00DF4F57"/>
    <w:rsid w:val="00DF5A3B"/>
    <w:rsid w:val="00DF60D5"/>
    <w:rsid w:val="00DF610E"/>
    <w:rsid w:val="00DF6AFB"/>
    <w:rsid w:val="00DF6DD5"/>
    <w:rsid w:val="00DF7295"/>
    <w:rsid w:val="00DF78EF"/>
    <w:rsid w:val="00E00DBE"/>
    <w:rsid w:val="00E012D8"/>
    <w:rsid w:val="00E038DD"/>
    <w:rsid w:val="00E04341"/>
    <w:rsid w:val="00E049AD"/>
    <w:rsid w:val="00E056A8"/>
    <w:rsid w:val="00E0618F"/>
    <w:rsid w:val="00E07AA2"/>
    <w:rsid w:val="00E07C4B"/>
    <w:rsid w:val="00E1001C"/>
    <w:rsid w:val="00E1122F"/>
    <w:rsid w:val="00E11C3E"/>
    <w:rsid w:val="00E1295A"/>
    <w:rsid w:val="00E1297A"/>
    <w:rsid w:val="00E12E86"/>
    <w:rsid w:val="00E14BB0"/>
    <w:rsid w:val="00E14FA1"/>
    <w:rsid w:val="00E15DCE"/>
    <w:rsid w:val="00E15FC8"/>
    <w:rsid w:val="00E164EC"/>
    <w:rsid w:val="00E16CD7"/>
    <w:rsid w:val="00E173CF"/>
    <w:rsid w:val="00E17986"/>
    <w:rsid w:val="00E17E5D"/>
    <w:rsid w:val="00E17E78"/>
    <w:rsid w:val="00E20634"/>
    <w:rsid w:val="00E20A2B"/>
    <w:rsid w:val="00E20A70"/>
    <w:rsid w:val="00E20FAE"/>
    <w:rsid w:val="00E21343"/>
    <w:rsid w:val="00E219BA"/>
    <w:rsid w:val="00E22295"/>
    <w:rsid w:val="00E22963"/>
    <w:rsid w:val="00E23CBD"/>
    <w:rsid w:val="00E23EE0"/>
    <w:rsid w:val="00E2405E"/>
    <w:rsid w:val="00E2431A"/>
    <w:rsid w:val="00E24B97"/>
    <w:rsid w:val="00E24D8F"/>
    <w:rsid w:val="00E26DD1"/>
    <w:rsid w:val="00E27828"/>
    <w:rsid w:val="00E30853"/>
    <w:rsid w:val="00E31404"/>
    <w:rsid w:val="00E31FE4"/>
    <w:rsid w:val="00E32126"/>
    <w:rsid w:val="00E3248C"/>
    <w:rsid w:val="00E326DB"/>
    <w:rsid w:val="00E3284B"/>
    <w:rsid w:val="00E32E59"/>
    <w:rsid w:val="00E33AE6"/>
    <w:rsid w:val="00E33DA0"/>
    <w:rsid w:val="00E3409C"/>
    <w:rsid w:val="00E34212"/>
    <w:rsid w:val="00E347A7"/>
    <w:rsid w:val="00E34880"/>
    <w:rsid w:val="00E35A5E"/>
    <w:rsid w:val="00E35FDD"/>
    <w:rsid w:val="00E36C1F"/>
    <w:rsid w:val="00E379DF"/>
    <w:rsid w:val="00E41246"/>
    <w:rsid w:val="00E414A1"/>
    <w:rsid w:val="00E41C4D"/>
    <w:rsid w:val="00E41FD4"/>
    <w:rsid w:val="00E42970"/>
    <w:rsid w:val="00E43470"/>
    <w:rsid w:val="00E438CE"/>
    <w:rsid w:val="00E43976"/>
    <w:rsid w:val="00E43D68"/>
    <w:rsid w:val="00E4422C"/>
    <w:rsid w:val="00E44480"/>
    <w:rsid w:val="00E44AFC"/>
    <w:rsid w:val="00E45A85"/>
    <w:rsid w:val="00E45E4B"/>
    <w:rsid w:val="00E466D7"/>
    <w:rsid w:val="00E46915"/>
    <w:rsid w:val="00E46E12"/>
    <w:rsid w:val="00E47A3E"/>
    <w:rsid w:val="00E50F53"/>
    <w:rsid w:val="00E523A8"/>
    <w:rsid w:val="00E52C75"/>
    <w:rsid w:val="00E534D9"/>
    <w:rsid w:val="00E536E2"/>
    <w:rsid w:val="00E54C22"/>
    <w:rsid w:val="00E550DE"/>
    <w:rsid w:val="00E55A8A"/>
    <w:rsid w:val="00E55BD9"/>
    <w:rsid w:val="00E562B3"/>
    <w:rsid w:val="00E56412"/>
    <w:rsid w:val="00E566E0"/>
    <w:rsid w:val="00E5684D"/>
    <w:rsid w:val="00E568A0"/>
    <w:rsid w:val="00E56AE6"/>
    <w:rsid w:val="00E60282"/>
    <w:rsid w:val="00E6131E"/>
    <w:rsid w:val="00E6133F"/>
    <w:rsid w:val="00E6151D"/>
    <w:rsid w:val="00E61B8A"/>
    <w:rsid w:val="00E6272E"/>
    <w:rsid w:val="00E62772"/>
    <w:rsid w:val="00E62EDF"/>
    <w:rsid w:val="00E6397D"/>
    <w:rsid w:val="00E64855"/>
    <w:rsid w:val="00E65256"/>
    <w:rsid w:val="00E6528F"/>
    <w:rsid w:val="00E654FD"/>
    <w:rsid w:val="00E6585C"/>
    <w:rsid w:val="00E65B8C"/>
    <w:rsid w:val="00E6616A"/>
    <w:rsid w:val="00E66763"/>
    <w:rsid w:val="00E66856"/>
    <w:rsid w:val="00E66CA1"/>
    <w:rsid w:val="00E66F4D"/>
    <w:rsid w:val="00E678FF"/>
    <w:rsid w:val="00E7006F"/>
    <w:rsid w:val="00E702B9"/>
    <w:rsid w:val="00E704E7"/>
    <w:rsid w:val="00E71C22"/>
    <w:rsid w:val="00E722EF"/>
    <w:rsid w:val="00E72352"/>
    <w:rsid w:val="00E725A8"/>
    <w:rsid w:val="00E72733"/>
    <w:rsid w:val="00E732BB"/>
    <w:rsid w:val="00E73302"/>
    <w:rsid w:val="00E73314"/>
    <w:rsid w:val="00E73806"/>
    <w:rsid w:val="00E7384C"/>
    <w:rsid w:val="00E73B3B"/>
    <w:rsid w:val="00E73F38"/>
    <w:rsid w:val="00E74004"/>
    <w:rsid w:val="00E74372"/>
    <w:rsid w:val="00E74505"/>
    <w:rsid w:val="00E76208"/>
    <w:rsid w:val="00E76296"/>
    <w:rsid w:val="00E76DBE"/>
    <w:rsid w:val="00E779C2"/>
    <w:rsid w:val="00E77A2F"/>
    <w:rsid w:val="00E8038C"/>
    <w:rsid w:val="00E80703"/>
    <w:rsid w:val="00E80F08"/>
    <w:rsid w:val="00E815FB"/>
    <w:rsid w:val="00E81B20"/>
    <w:rsid w:val="00E82969"/>
    <w:rsid w:val="00E82A40"/>
    <w:rsid w:val="00E82D2F"/>
    <w:rsid w:val="00E82DF9"/>
    <w:rsid w:val="00E82FE0"/>
    <w:rsid w:val="00E8334F"/>
    <w:rsid w:val="00E83B05"/>
    <w:rsid w:val="00E83F05"/>
    <w:rsid w:val="00E8447D"/>
    <w:rsid w:val="00E85BE6"/>
    <w:rsid w:val="00E862B3"/>
    <w:rsid w:val="00E86393"/>
    <w:rsid w:val="00E86BCB"/>
    <w:rsid w:val="00E86CED"/>
    <w:rsid w:val="00E86DB6"/>
    <w:rsid w:val="00E874EE"/>
    <w:rsid w:val="00E875DF"/>
    <w:rsid w:val="00E87A06"/>
    <w:rsid w:val="00E90372"/>
    <w:rsid w:val="00E909AC"/>
    <w:rsid w:val="00E90B55"/>
    <w:rsid w:val="00E90D3E"/>
    <w:rsid w:val="00E91D34"/>
    <w:rsid w:val="00E91FAE"/>
    <w:rsid w:val="00E922E8"/>
    <w:rsid w:val="00E93123"/>
    <w:rsid w:val="00E9380F"/>
    <w:rsid w:val="00E940C5"/>
    <w:rsid w:val="00E94498"/>
    <w:rsid w:val="00E94894"/>
    <w:rsid w:val="00E94A98"/>
    <w:rsid w:val="00E95719"/>
    <w:rsid w:val="00E95909"/>
    <w:rsid w:val="00E964D8"/>
    <w:rsid w:val="00E96B7A"/>
    <w:rsid w:val="00E96F57"/>
    <w:rsid w:val="00E96FDD"/>
    <w:rsid w:val="00E9710E"/>
    <w:rsid w:val="00E97A42"/>
    <w:rsid w:val="00E97AEE"/>
    <w:rsid w:val="00EA0004"/>
    <w:rsid w:val="00EA00E4"/>
    <w:rsid w:val="00EA00EF"/>
    <w:rsid w:val="00EA0CEA"/>
    <w:rsid w:val="00EA0D4D"/>
    <w:rsid w:val="00EA12D9"/>
    <w:rsid w:val="00EA1942"/>
    <w:rsid w:val="00EA1E9C"/>
    <w:rsid w:val="00EA25BA"/>
    <w:rsid w:val="00EA2A64"/>
    <w:rsid w:val="00EA2D54"/>
    <w:rsid w:val="00EA302A"/>
    <w:rsid w:val="00EA3186"/>
    <w:rsid w:val="00EA359A"/>
    <w:rsid w:val="00EA37E7"/>
    <w:rsid w:val="00EA4292"/>
    <w:rsid w:val="00EA47D4"/>
    <w:rsid w:val="00EA4A0B"/>
    <w:rsid w:val="00EA4E75"/>
    <w:rsid w:val="00EA64EB"/>
    <w:rsid w:val="00EA6D11"/>
    <w:rsid w:val="00EA71B5"/>
    <w:rsid w:val="00EA72B1"/>
    <w:rsid w:val="00EA72B8"/>
    <w:rsid w:val="00EA73E5"/>
    <w:rsid w:val="00EA74C7"/>
    <w:rsid w:val="00EB07C3"/>
    <w:rsid w:val="00EB0AE6"/>
    <w:rsid w:val="00EB184B"/>
    <w:rsid w:val="00EB1C34"/>
    <w:rsid w:val="00EB203A"/>
    <w:rsid w:val="00EB229B"/>
    <w:rsid w:val="00EB22F8"/>
    <w:rsid w:val="00EB2D24"/>
    <w:rsid w:val="00EB2EAC"/>
    <w:rsid w:val="00EB31A2"/>
    <w:rsid w:val="00EB343B"/>
    <w:rsid w:val="00EB3B4D"/>
    <w:rsid w:val="00EB4351"/>
    <w:rsid w:val="00EB4369"/>
    <w:rsid w:val="00EB5753"/>
    <w:rsid w:val="00EB58A6"/>
    <w:rsid w:val="00EB65CA"/>
    <w:rsid w:val="00EB68B9"/>
    <w:rsid w:val="00EB68C2"/>
    <w:rsid w:val="00EB6CF9"/>
    <w:rsid w:val="00EB7384"/>
    <w:rsid w:val="00EB76E2"/>
    <w:rsid w:val="00EC2E2B"/>
    <w:rsid w:val="00EC32A6"/>
    <w:rsid w:val="00EC3730"/>
    <w:rsid w:val="00EC40BA"/>
    <w:rsid w:val="00EC48BC"/>
    <w:rsid w:val="00EC621D"/>
    <w:rsid w:val="00EC62D9"/>
    <w:rsid w:val="00EC6548"/>
    <w:rsid w:val="00EC73B6"/>
    <w:rsid w:val="00EC7555"/>
    <w:rsid w:val="00EC76C0"/>
    <w:rsid w:val="00EC797A"/>
    <w:rsid w:val="00ED03DC"/>
    <w:rsid w:val="00ED0713"/>
    <w:rsid w:val="00ED0E8E"/>
    <w:rsid w:val="00ED0FA7"/>
    <w:rsid w:val="00ED1184"/>
    <w:rsid w:val="00ED1544"/>
    <w:rsid w:val="00ED1867"/>
    <w:rsid w:val="00ED1B2C"/>
    <w:rsid w:val="00ED227C"/>
    <w:rsid w:val="00ED2EDB"/>
    <w:rsid w:val="00ED2FAB"/>
    <w:rsid w:val="00ED5794"/>
    <w:rsid w:val="00ED587D"/>
    <w:rsid w:val="00ED5A5B"/>
    <w:rsid w:val="00ED638E"/>
    <w:rsid w:val="00ED6E76"/>
    <w:rsid w:val="00ED700B"/>
    <w:rsid w:val="00ED71FD"/>
    <w:rsid w:val="00ED7CA4"/>
    <w:rsid w:val="00EE1258"/>
    <w:rsid w:val="00EE15EB"/>
    <w:rsid w:val="00EE1CDF"/>
    <w:rsid w:val="00EE2149"/>
    <w:rsid w:val="00EE29DD"/>
    <w:rsid w:val="00EE313B"/>
    <w:rsid w:val="00EE32C5"/>
    <w:rsid w:val="00EE33E6"/>
    <w:rsid w:val="00EE3BB7"/>
    <w:rsid w:val="00EE3E5F"/>
    <w:rsid w:val="00EE44D1"/>
    <w:rsid w:val="00EE471D"/>
    <w:rsid w:val="00EE49C1"/>
    <w:rsid w:val="00EE4AAD"/>
    <w:rsid w:val="00EE57CB"/>
    <w:rsid w:val="00EE5EE1"/>
    <w:rsid w:val="00EE5EF7"/>
    <w:rsid w:val="00EE69FB"/>
    <w:rsid w:val="00EE6E25"/>
    <w:rsid w:val="00EE7218"/>
    <w:rsid w:val="00EE7EE1"/>
    <w:rsid w:val="00EF0151"/>
    <w:rsid w:val="00EF0DBA"/>
    <w:rsid w:val="00EF10B4"/>
    <w:rsid w:val="00EF1471"/>
    <w:rsid w:val="00EF1FD6"/>
    <w:rsid w:val="00EF2861"/>
    <w:rsid w:val="00EF2A11"/>
    <w:rsid w:val="00EF2A79"/>
    <w:rsid w:val="00EF2BCD"/>
    <w:rsid w:val="00EF319B"/>
    <w:rsid w:val="00EF31F3"/>
    <w:rsid w:val="00EF430B"/>
    <w:rsid w:val="00EF4AB1"/>
    <w:rsid w:val="00EF5007"/>
    <w:rsid w:val="00EF5167"/>
    <w:rsid w:val="00EF5725"/>
    <w:rsid w:val="00EF572C"/>
    <w:rsid w:val="00EF7222"/>
    <w:rsid w:val="00EF72F8"/>
    <w:rsid w:val="00EF7F02"/>
    <w:rsid w:val="00EF7FA9"/>
    <w:rsid w:val="00F00218"/>
    <w:rsid w:val="00F012C4"/>
    <w:rsid w:val="00F01D0E"/>
    <w:rsid w:val="00F02DBF"/>
    <w:rsid w:val="00F02EA3"/>
    <w:rsid w:val="00F03DDF"/>
    <w:rsid w:val="00F04113"/>
    <w:rsid w:val="00F05DF3"/>
    <w:rsid w:val="00F05F88"/>
    <w:rsid w:val="00F05FF7"/>
    <w:rsid w:val="00F06417"/>
    <w:rsid w:val="00F07CAF"/>
    <w:rsid w:val="00F103B0"/>
    <w:rsid w:val="00F107BD"/>
    <w:rsid w:val="00F10A2C"/>
    <w:rsid w:val="00F1163A"/>
    <w:rsid w:val="00F1188C"/>
    <w:rsid w:val="00F11A00"/>
    <w:rsid w:val="00F11A02"/>
    <w:rsid w:val="00F11A8E"/>
    <w:rsid w:val="00F1213C"/>
    <w:rsid w:val="00F121A6"/>
    <w:rsid w:val="00F13C8B"/>
    <w:rsid w:val="00F14AAC"/>
    <w:rsid w:val="00F150E7"/>
    <w:rsid w:val="00F15132"/>
    <w:rsid w:val="00F15387"/>
    <w:rsid w:val="00F1566B"/>
    <w:rsid w:val="00F15FA2"/>
    <w:rsid w:val="00F16766"/>
    <w:rsid w:val="00F17537"/>
    <w:rsid w:val="00F17EF2"/>
    <w:rsid w:val="00F20281"/>
    <w:rsid w:val="00F203D0"/>
    <w:rsid w:val="00F20C2D"/>
    <w:rsid w:val="00F213FA"/>
    <w:rsid w:val="00F2178C"/>
    <w:rsid w:val="00F22384"/>
    <w:rsid w:val="00F22A3A"/>
    <w:rsid w:val="00F22FAC"/>
    <w:rsid w:val="00F23258"/>
    <w:rsid w:val="00F2394D"/>
    <w:rsid w:val="00F24078"/>
    <w:rsid w:val="00F2411B"/>
    <w:rsid w:val="00F25B6D"/>
    <w:rsid w:val="00F25D08"/>
    <w:rsid w:val="00F26387"/>
    <w:rsid w:val="00F2722C"/>
    <w:rsid w:val="00F275B1"/>
    <w:rsid w:val="00F27BA3"/>
    <w:rsid w:val="00F27E1D"/>
    <w:rsid w:val="00F27E3A"/>
    <w:rsid w:val="00F304A0"/>
    <w:rsid w:val="00F30FE2"/>
    <w:rsid w:val="00F31232"/>
    <w:rsid w:val="00F3184E"/>
    <w:rsid w:val="00F32524"/>
    <w:rsid w:val="00F3283B"/>
    <w:rsid w:val="00F32A21"/>
    <w:rsid w:val="00F32CFF"/>
    <w:rsid w:val="00F32FF2"/>
    <w:rsid w:val="00F33076"/>
    <w:rsid w:val="00F34822"/>
    <w:rsid w:val="00F354E6"/>
    <w:rsid w:val="00F361B0"/>
    <w:rsid w:val="00F361F0"/>
    <w:rsid w:val="00F37B7C"/>
    <w:rsid w:val="00F4104E"/>
    <w:rsid w:val="00F418C5"/>
    <w:rsid w:val="00F41E44"/>
    <w:rsid w:val="00F43620"/>
    <w:rsid w:val="00F44B94"/>
    <w:rsid w:val="00F45550"/>
    <w:rsid w:val="00F45829"/>
    <w:rsid w:val="00F45900"/>
    <w:rsid w:val="00F45FE7"/>
    <w:rsid w:val="00F462AE"/>
    <w:rsid w:val="00F46E06"/>
    <w:rsid w:val="00F47931"/>
    <w:rsid w:val="00F47F89"/>
    <w:rsid w:val="00F51893"/>
    <w:rsid w:val="00F51E88"/>
    <w:rsid w:val="00F523E4"/>
    <w:rsid w:val="00F52437"/>
    <w:rsid w:val="00F52E5C"/>
    <w:rsid w:val="00F532CA"/>
    <w:rsid w:val="00F53324"/>
    <w:rsid w:val="00F53E7B"/>
    <w:rsid w:val="00F5496C"/>
    <w:rsid w:val="00F5508E"/>
    <w:rsid w:val="00F55252"/>
    <w:rsid w:val="00F55467"/>
    <w:rsid w:val="00F55654"/>
    <w:rsid w:val="00F56206"/>
    <w:rsid w:val="00F56232"/>
    <w:rsid w:val="00F566F7"/>
    <w:rsid w:val="00F567F4"/>
    <w:rsid w:val="00F571E9"/>
    <w:rsid w:val="00F5776A"/>
    <w:rsid w:val="00F578C9"/>
    <w:rsid w:val="00F57B5E"/>
    <w:rsid w:val="00F57DD1"/>
    <w:rsid w:val="00F600F6"/>
    <w:rsid w:val="00F615AE"/>
    <w:rsid w:val="00F61717"/>
    <w:rsid w:val="00F61B39"/>
    <w:rsid w:val="00F6212A"/>
    <w:rsid w:val="00F628AE"/>
    <w:rsid w:val="00F6292F"/>
    <w:rsid w:val="00F62DE6"/>
    <w:rsid w:val="00F63C29"/>
    <w:rsid w:val="00F63DE4"/>
    <w:rsid w:val="00F64214"/>
    <w:rsid w:val="00F6461D"/>
    <w:rsid w:val="00F64741"/>
    <w:rsid w:val="00F6553B"/>
    <w:rsid w:val="00F657DA"/>
    <w:rsid w:val="00F664A8"/>
    <w:rsid w:val="00F666D1"/>
    <w:rsid w:val="00F676D4"/>
    <w:rsid w:val="00F67B7D"/>
    <w:rsid w:val="00F67DCF"/>
    <w:rsid w:val="00F67FE9"/>
    <w:rsid w:val="00F70125"/>
    <w:rsid w:val="00F701F1"/>
    <w:rsid w:val="00F70B83"/>
    <w:rsid w:val="00F71576"/>
    <w:rsid w:val="00F716E6"/>
    <w:rsid w:val="00F717CE"/>
    <w:rsid w:val="00F7251C"/>
    <w:rsid w:val="00F72905"/>
    <w:rsid w:val="00F72D30"/>
    <w:rsid w:val="00F72EC8"/>
    <w:rsid w:val="00F7453B"/>
    <w:rsid w:val="00F74CF0"/>
    <w:rsid w:val="00F755A3"/>
    <w:rsid w:val="00F758C2"/>
    <w:rsid w:val="00F75C5F"/>
    <w:rsid w:val="00F765D2"/>
    <w:rsid w:val="00F7675D"/>
    <w:rsid w:val="00F76B68"/>
    <w:rsid w:val="00F76F69"/>
    <w:rsid w:val="00F7727F"/>
    <w:rsid w:val="00F77455"/>
    <w:rsid w:val="00F77740"/>
    <w:rsid w:val="00F77FBA"/>
    <w:rsid w:val="00F804C9"/>
    <w:rsid w:val="00F80650"/>
    <w:rsid w:val="00F80EE0"/>
    <w:rsid w:val="00F80F5F"/>
    <w:rsid w:val="00F8173E"/>
    <w:rsid w:val="00F818B9"/>
    <w:rsid w:val="00F821D4"/>
    <w:rsid w:val="00F82275"/>
    <w:rsid w:val="00F824A1"/>
    <w:rsid w:val="00F830F9"/>
    <w:rsid w:val="00F83815"/>
    <w:rsid w:val="00F83891"/>
    <w:rsid w:val="00F83919"/>
    <w:rsid w:val="00F85572"/>
    <w:rsid w:val="00F856B6"/>
    <w:rsid w:val="00F856DC"/>
    <w:rsid w:val="00F8609D"/>
    <w:rsid w:val="00F864BA"/>
    <w:rsid w:val="00F86B24"/>
    <w:rsid w:val="00F86BFB"/>
    <w:rsid w:val="00F87DC0"/>
    <w:rsid w:val="00F87F37"/>
    <w:rsid w:val="00F900B9"/>
    <w:rsid w:val="00F908D7"/>
    <w:rsid w:val="00F90CAE"/>
    <w:rsid w:val="00F9137B"/>
    <w:rsid w:val="00F913EB"/>
    <w:rsid w:val="00F91533"/>
    <w:rsid w:val="00F928A9"/>
    <w:rsid w:val="00F92E77"/>
    <w:rsid w:val="00F93CED"/>
    <w:rsid w:val="00F94843"/>
    <w:rsid w:val="00F94C02"/>
    <w:rsid w:val="00F94E03"/>
    <w:rsid w:val="00F95068"/>
    <w:rsid w:val="00F95349"/>
    <w:rsid w:val="00F9577A"/>
    <w:rsid w:val="00F95A26"/>
    <w:rsid w:val="00F95BEC"/>
    <w:rsid w:val="00F95DF0"/>
    <w:rsid w:val="00F979F0"/>
    <w:rsid w:val="00FA07B8"/>
    <w:rsid w:val="00FA0866"/>
    <w:rsid w:val="00FA0C98"/>
    <w:rsid w:val="00FA1217"/>
    <w:rsid w:val="00FA17AC"/>
    <w:rsid w:val="00FA298A"/>
    <w:rsid w:val="00FA29D6"/>
    <w:rsid w:val="00FA2C69"/>
    <w:rsid w:val="00FA37C6"/>
    <w:rsid w:val="00FA389F"/>
    <w:rsid w:val="00FA3F9A"/>
    <w:rsid w:val="00FA4811"/>
    <w:rsid w:val="00FA52F6"/>
    <w:rsid w:val="00FA64BE"/>
    <w:rsid w:val="00FA65B7"/>
    <w:rsid w:val="00FA67A1"/>
    <w:rsid w:val="00FA7793"/>
    <w:rsid w:val="00FB0762"/>
    <w:rsid w:val="00FB0B6A"/>
    <w:rsid w:val="00FB1196"/>
    <w:rsid w:val="00FB182B"/>
    <w:rsid w:val="00FB1B71"/>
    <w:rsid w:val="00FB1BED"/>
    <w:rsid w:val="00FB272C"/>
    <w:rsid w:val="00FB2D9C"/>
    <w:rsid w:val="00FB2E82"/>
    <w:rsid w:val="00FB3EB3"/>
    <w:rsid w:val="00FB481D"/>
    <w:rsid w:val="00FB4BCD"/>
    <w:rsid w:val="00FB4CE3"/>
    <w:rsid w:val="00FB4D78"/>
    <w:rsid w:val="00FB5CB1"/>
    <w:rsid w:val="00FB737F"/>
    <w:rsid w:val="00FC00D4"/>
    <w:rsid w:val="00FC0356"/>
    <w:rsid w:val="00FC19EC"/>
    <w:rsid w:val="00FC1F38"/>
    <w:rsid w:val="00FC2021"/>
    <w:rsid w:val="00FC2FF9"/>
    <w:rsid w:val="00FC3E07"/>
    <w:rsid w:val="00FC4FC5"/>
    <w:rsid w:val="00FC596A"/>
    <w:rsid w:val="00FC5F96"/>
    <w:rsid w:val="00FC6CD7"/>
    <w:rsid w:val="00FD025B"/>
    <w:rsid w:val="00FD0D48"/>
    <w:rsid w:val="00FD0FA8"/>
    <w:rsid w:val="00FD1B50"/>
    <w:rsid w:val="00FD251B"/>
    <w:rsid w:val="00FD279D"/>
    <w:rsid w:val="00FD35BD"/>
    <w:rsid w:val="00FD39FC"/>
    <w:rsid w:val="00FD3A1E"/>
    <w:rsid w:val="00FD539E"/>
    <w:rsid w:val="00FD5496"/>
    <w:rsid w:val="00FD59F9"/>
    <w:rsid w:val="00FD6708"/>
    <w:rsid w:val="00FD6A68"/>
    <w:rsid w:val="00FD78C4"/>
    <w:rsid w:val="00FE04CC"/>
    <w:rsid w:val="00FE080E"/>
    <w:rsid w:val="00FE11B3"/>
    <w:rsid w:val="00FE1380"/>
    <w:rsid w:val="00FE1482"/>
    <w:rsid w:val="00FE1AFF"/>
    <w:rsid w:val="00FE1E64"/>
    <w:rsid w:val="00FE211A"/>
    <w:rsid w:val="00FE359E"/>
    <w:rsid w:val="00FE3607"/>
    <w:rsid w:val="00FE36EC"/>
    <w:rsid w:val="00FE3B54"/>
    <w:rsid w:val="00FE47E6"/>
    <w:rsid w:val="00FE50C1"/>
    <w:rsid w:val="00FE57D1"/>
    <w:rsid w:val="00FE59E8"/>
    <w:rsid w:val="00FE6D69"/>
    <w:rsid w:val="00FE73E1"/>
    <w:rsid w:val="00FE7823"/>
    <w:rsid w:val="00FF017F"/>
    <w:rsid w:val="00FF0181"/>
    <w:rsid w:val="00FF0A03"/>
    <w:rsid w:val="00FF2205"/>
    <w:rsid w:val="00FF24D1"/>
    <w:rsid w:val="00FF2610"/>
    <w:rsid w:val="00FF2DED"/>
    <w:rsid w:val="00FF329C"/>
    <w:rsid w:val="00FF3DA2"/>
    <w:rsid w:val="00FF3F59"/>
    <w:rsid w:val="00FF4337"/>
    <w:rsid w:val="00FF4640"/>
    <w:rsid w:val="00FF53A9"/>
    <w:rsid w:val="00FF53FF"/>
    <w:rsid w:val="00FF55B2"/>
    <w:rsid w:val="00FF5D7B"/>
    <w:rsid w:val="00FF647E"/>
    <w:rsid w:val="00FF6EB7"/>
    <w:rsid w:val="00FF7197"/>
    <w:rsid w:val="00FF72C5"/>
    <w:rsid w:val="00FF7552"/>
    <w:rsid w:val="00FF75B3"/>
    <w:rsid w:val="00FF78BB"/>
    <w:rsid w:val="00FF7C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3f6228"/>
    </o:shapedefaults>
    <o:shapelayout v:ext="edit">
      <o:idmap v:ext="edit" data="1"/>
    </o:shapelayout>
  </w:shapeDefaults>
  <w:decimalSymbol w:val=","/>
  <w:listSeparator w:val=";"/>
  <w14:docId w14:val="7DC85163"/>
  <w15:docId w15:val="{E759C5E3-3002-4594-A3FF-C605A8770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C5F"/>
  </w:style>
  <w:style w:type="paragraph" w:styleId="Ttulo1">
    <w:name w:val="heading 1"/>
    <w:basedOn w:val="PargrafodaLista"/>
    <w:next w:val="Normal"/>
    <w:link w:val="Ttulo1Char"/>
    <w:uiPriority w:val="9"/>
    <w:qFormat/>
    <w:rsid w:val="00723039"/>
    <w:pPr>
      <w:numPr>
        <w:numId w:val="5"/>
      </w:numPr>
      <w:spacing w:line="360" w:lineRule="auto"/>
      <w:outlineLvl w:val="0"/>
    </w:pPr>
    <w:rPr>
      <w:rFonts w:cs="Calibri"/>
      <w:b/>
      <w:color w:val="006666"/>
      <w:sz w:val="32"/>
    </w:rPr>
  </w:style>
  <w:style w:type="paragraph" w:styleId="Ttulo2">
    <w:name w:val="heading 2"/>
    <w:basedOn w:val="PargrafodaLista"/>
    <w:next w:val="Normal"/>
    <w:link w:val="Ttulo2Char"/>
    <w:uiPriority w:val="9"/>
    <w:unhideWhenUsed/>
    <w:qFormat/>
    <w:rsid w:val="00723039"/>
    <w:pPr>
      <w:numPr>
        <w:ilvl w:val="1"/>
        <w:numId w:val="5"/>
      </w:numPr>
      <w:tabs>
        <w:tab w:val="left" w:pos="1276"/>
        <w:tab w:val="left" w:pos="1418"/>
      </w:tabs>
      <w:spacing w:line="360" w:lineRule="auto"/>
      <w:jc w:val="both"/>
      <w:outlineLvl w:val="1"/>
    </w:pPr>
    <w:rPr>
      <w:b/>
      <w:bCs/>
      <w:color w:val="006666"/>
      <w:sz w:val="28"/>
    </w:rPr>
  </w:style>
  <w:style w:type="paragraph" w:styleId="Ttulo3">
    <w:name w:val="heading 3"/>
    <w:basedOn w:val="Ttulo2"/>
    <w:next w:val="Normal"/>
    <w:link w:val="Ttulo3Char"/>
    <w:uiPriority w:val="9"/>
    <w:unhideWhenUsed/>
    <w:qFormat/>
    <w:rsid w:val="00457A8A"/>
    <w:pPr>
      <w:numPr>
        <w:ilvl w:val="2"/>
      </w:numPr>
      <w:outlineLvl w:val="2"/>
    </w:pPr>
    <w:rPr>
      <w:sz w:val="26"/>
      <w:szCs w:val="24"/>
    </w:rPr>
  </w:style>
  <w:style w:type="paragraph" w:styleId="Ttulo4">
    <w:name w:val="heading 4"/>
    <w:basedOn w:val="Normal"/>
    <w:next w:val="Normal"/>
    <w:link w:val="Ttulo4Char"/>
    <w:uiPriority w:val="9"/>
    <w:unhideWhenUsed/>
    <w:qFormat/>
    <w:rsid w:val="008A65A9"/>
    <w:pPr>
      <w:keepNext/>
      <w:keepLines/>
      <w:spacing w:before="40" w:after="0"/>
      <w:outlineLvl w:val="3"/>
    </w:pPr>
    <w:rPr>
      <w:rFonts w:asciiTheme="majorHAnsi" w:eastAsiaTheme="majorEastAsia" w:hAnsiTheme="majorHAnsi" w:cstheme="majorBidi"/>
      <w:b/>
      <w:iCs/>
      <w:color w:val="006666"/>
      <w:sz w:val="44"/>
    </w:rPr>
  </w:style>
  <w:style w:type="paragraph" w:styleId="Ttulo5">
    <w:name w:val="heading 5"/>
    <w:basedOn w:val="Normal"/>
    <w:next w:val="Normal"/>
    <w:link w:val="Ttulo5Char"/>
    <w:uiPriority w:val="9"/>
    <w:unhideWhenUsed/>
    <w:qFormat/>
    <w:rsid w:val="00AB0505"/>
    <w:pPr>
      <w:keepNext/>
      <w:keepLines/>
      <w:spacing w:before="40" w:after="0"/>
      <w:jc w:val="right"/>
      <w:outlineLvl w:val="4"/>
    </w:pPr>
    <w:rPr>
      <w:rFonts w:asciiTheme="majorHAnsi" w:eastAsiaTheme="majorEastAsia" w:hAnsiTheme="majorHAnsi" w:cstheme="majorBidi"/>
      <w:b/>
      <w:color w:val="000000" w:themeColor="tex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752F73"/>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52F73"/>
    <w:rPr>
      <w:rFonts w:eastAsiaTheme="minorEastAsia"/>
      <w:lang w:eastAsia="pt-BR"/>
    </w:rPr>
  </w:style>
  <w:style w:type="paragraph" w:styleId="Rodap">
    <w:name w:val="footer"/>
    <w:basedOn w:val="Normal"/>
    <w:link w:val="RodapChar"/>
    <w:uiPriority w:val="99"/>
    <w:unhideWhenUsed/>
    <w:rsid w:val="002B5E6E"/>
    <w:pPr>
      <w:tabs>
        <w:tab w:val="center" w:pos="4252"/>
        <w:tab w:val="right" w:pos="8504"/>
      </w:tabs>
      <w:spacing w:after="0" w:line="240" w:lineRule="auto"/>
    </w:pPr>
    <w:rPr>
      <w:rFonts w:eastAsiaTheme="minorEastAsia"/>
      <w:lang w:eastAsia="pt-BR"/>
    </w:rPr>
  </w:style>
  <w:style w:type="character" w:customStyle="1" w:styleId="RodapChar">
    <w:name w:val="Rodapé Char"/>
    <w:basedOn w:val="Fontepargpadro"/>
    <w:link w:val="Rodap"/>
    <w:uiPriority w:val="99"/>
    <w:rsid w:val="002B5E6E"/>
    <w:rPr>
      <w:rFonts w:eastAsiaTheme="minorEastAsia"/>
      <w:lang w:eastAsia="pt-BR"/>
    </w:rPr>
  </w:style>
  <w:style w:type="paragraph" w:styleId="Cabealho">
    <w:name w:val="header"/>
    <w:basedOn w:val="Normal"/>
    <w:link w:val="CabealhoChar"/>
    <w:uiPriority w:val="99"/>
    <w:unhideWhenUsed/>
    <w:rsid w:val="002B5E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B5E6E"/>
  </w:style>
  <w:style w:type="character" w:customStyle="1" w:styleId="Ttulo1Char">
    <w:name w:val="Título 1 Char"/>
    <w:basedOn w:val="Fontepargpadro"/>
    <w:link w:val="Ttulo1"/>
    <w:uiPriority w:val="9"/>
    <w:rsid w:val="00723039"/>
    <w:rPr>
      <w:rFonts w:eastAsiaTheme="minorEastAsia" w:cs="Calibri"/>
      <w:b/>
      <w:color w:val="006666"/>
      <w:sz w:val="32"/>
      <w:lang w:eastAsia="pt-BR"/>
    </w:rPr>
  </w:style>
  <w:style w:type="paragraph" w:styleId="PargrafodaLista">
    <w:name w:val="List Paragraph"/>
    <w:basedOn w:val="Normal"/>
    <w:link w:val="PargrafodaListaChar"/>
    <w:uiPriority w:val="34"/>
    <w:qFormat/>
    <w:rsid w:val="00A02CB0"/>
    <w:pPr>
      <w:spacing w:after="200" w:line="276" w:lineRule="auto"/>
      <w:ind w:left="720"/>
      <w:contextualSpacing/>
    </w:pPr>
    <w:rPr>
      <w:rFonts w:eastAsiaTheme="minorEastAsia"/>
      <w:lang w:eastAsia="pt-BR"/>
    </w:rPr>
  </w:style>
  <w:style w:type="table" w:styleId="Tabelacomgrade">
    <w:name w:val="Table Grid"/>
    <w:basedOn w:val="Tabelanormal"/>
    <w:uiPriority w:val="39"/>
    <w:rsid w:val="00A02CB0"/>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02CB0"/>
    <w:pPr>
      <w:autoSpaceDE w:val="0"/>
      <w:autoSpaceDN w:val="0"/>
      <w:adjustRightInd w:val="0"/>
      <w:spacing w:after="0" w:line="240" w:lineRule="auto"/>
    </w:pPr>
    <w:rPr>
      <w:rFonts w:ascii="Calibri" w:eastAsia="Cambria" w:hAnsi="Calibri" w:cs="Calibri"/>
      <w:color w:val="000000"/>
      <w:sz w:val="24"/>
      <w:szCs w:val="24"/>
      <w:lang w:eastAsia="pt-BR"/>
    </w:rPr>
  </w:style>
  <w:style w:type="character" w:styleId="Hyperlink">
    <w:name w:val="Hyperlink"/>
    <w:basedOn w:val="Fontepargpadro"/>
    <w:uiPriority w:val="99"/>
    <w:unhideWhenUsed/>
    <w:rsid w:val="00A02CB0"/>
    <w:rPr>
      <w:color w:val="0563C1" w:themeColor="hyperlink"/>
      <w:u w:val="single"/>
    </w:rPr>
  </w:style>
  <w:style w:type="paragraph" w:styleId="Textodenotaderodap">
    <w:name w:val="footnote text"/>
    <w:basedOn w:val="Normal"/>
    <w:link w:val="TextodenotaderodapChar"/>
    <w:uiPriority w:val="99"/>
    <w:semiHidden/>
    <w:unhideWhenUsed/>
    <w:rsid w:val="00A02CB0"/>
    <w:pPr>
      <w:spacing w:after="0" w:line="240" w:lineRule="auto"/>
    </w:pPr>
    <w:rPr>
      <w:rFonts w:eastAsiaTheme="minorEastAsia"/>
      <w:sz w:val="20"/>
      <w:szCs w:val="20"/>
      <w:lang w:eastAsia="pt-BR"/>
    </w:rPr>
  </w:style>
  <w:style w:type="character" w:customStyle="1" w:styleId="TextodenotaderodapChar">
    <w:name w:val="Texto de nota de rodapé Char"/>
    <w:basedOn w:val="Fontepargpadro"/>
    <w:link w:val="Textodenotaderodap"/>
    <w:uiPriority w:val="99"/>
    <w:semiHidden/>
    <w:rsid w:val="00A02CB0"/>
    <w:rPr>
      <w:rFonts w:eastAsiaTheme="minorEastAsia"/>
      <w:sz w:val="20"/>
      <w:szCs w:val="20"/>
      <w:lang w:eastAsia="pt-BR"/>
    </w:rPr>
  </w:style>
  <w:style w:type="character" w:styleId="Refdenotaderodap">
    <w:name w:val="footnote reference"/>
    <w:basedOn w:val="Fontepargpadro"/>
    <w:uiPriority w:val="99"/>
    <w:semiHidden/>
    <w:unhideWhenUsed/>
    <w:rsid w:val="00A02CB0"/>
    <w:rPr>
      <w:vertAlign w:val="superscript"/>
    </w:rPr>
  </w:style>
  <w:style w:type="paragraph" w:styleId="Textodebalo">
    <w:name w:val="Balloon Text"/>
    <w:basedOn w:val="Normal"/>
    <w:link w:val="TextodebaloChar"/>
    <w:uiPriority w:val="99"/>
    <w:semiHidden/>
    <w:unhideWhenUsed/>
    <w:rsid w:val="00AA2F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2F4A"/>
    <w:rPr>
      <w:rFonts w:ascii="Tahoma" w:hAnsi="Tahoma" w:cs="Tahoma"/>
      <w:sz w:val="16"/>
      <w:szCs w:val="16"/>
    </w:rPr>
  </w:style>
  <w:style w:type="character" w:customStyle="1" w:styleId="Ttulo2Char">
    <w:name w:val="Título 2 Char"/>
    <w:basedOn w:val="Fontepargpadro"/>
    <w:link w:val="Ttulo2"/>
    <w:uiPriority w:val="9"/>
    <w:rsid w:val="00723039"/>
    <w:rPr>
      <w:rFonts w:eastAsiaTheme="minorEastAsia"/>
      <w:b/>
      <w:bCs/>
      <w:color w:val="006666"/>
      <w:sz w:val="28"/>
      <w:lang w:eastAsia="pt-BR"/>
    </w:rPr>
  </w:style>
  <w:style w:type="character" w:customStyle="1" w:styleId="Ttulo3Char">
    <w:name w:val="Título 3 Char"/>
    <w:basedOn w:val="Fontepargpadro"/>
    <w:link w:val="Ttulo3"/>
    <w:uiPriority w:val="9"/>
    <w:rsid w:val="00457A8A"/>
    <w:rPr>
      <w:rFonts w:eastAsiaTheme="minorEastAsia"/>
      <w:b/>
      <w:bCs/>
      <w:color w:val="006666"/>
      <w:sz w:val="26"/>
      <w:szCs w:val="24"/>
      <w:lang w:eastAsia="pt-BR"/>
    </w:rPr>
  </w:style>
  <w:style w:type="paragraph" w:styleId="CabealhodoSumrio">
    <w:name w:val="TOC Heading"/>
    <w:basedOn w:val="Ttulo1"/>
    <w:next w:val="Normal"/>
    <w:uiPriority w:val="39"/>
    <w:unhideWhenUsed/>
    <w:qFormat/>
    <w:rsid w:val="00EF7FA9"/>
    <w:pPr>
      <w:keepNext/>
      <w:keepLines/>
      <w:numPr>
        <w:numId w:val="0"/>
      </w:numPr>
      <w:spacing w:before="480" w:after="0" w:line="276" w:lineRule="auto"/>
      <w:contextualSpacing w:val="0"/>
      <w:outlineLvl w:val="9"/>
    </w:pPr>
    <w:rPr>
      <w:rFonts w:asciiTheme="majorHAnsi" w:eastAsiaTheme="majorEastAsia" w:hAnsiTheme="majorHAnsi" w:cstheme="majorBidi"/>
      <w:bCs/>
      <w:color w:val="2E74B5" w:themeColor="accent1" w:themeShade="BF"/>
      <w:sz w:val="28"/>
      <w:szCs w:val="28"/>
    </w:rPr>
  </w:style>
  <w:style w:type="paragraph" w:styleId="Sumrio1">
    <w:name w:val="toc 1"/>
    <w:basedOn w:val="Normal"/>
    <w:next w:val="Normal"/>
    <w:autoRedefine/>
    <w:uiPriority w:val="39"/>
    <w:unhideWhenUsed/>
    <w:qFormat/>
    <w:rsid w:val="00E704E7"/>
    <w:pPr>
      <w:tabs>
        <w:tab w:val="right" w:leader="dot" w:pos="9061"/>
      </w:tabs>
      <w:spacing w:before="120" w:after="120"/>
      <w:jc w:val="both"/>
    </w:pPr>
    <w:rPr>
      <w:rFonts w:eastAsia="Arial Unicode MS"/>
      <w:b/>
      <w:bCs/>
      <w:caps/>
      <w:noProof/>
      <w:sz w:val="18"/>
      <w:szCs w:val="18"/>
    </w:rPr>
  </w:style>
  <w:style w:type="paragraph" w:styleId="Sumrio2">
    <w:name w:val="toc 2"/>
    <w:basedOn w:val="Normal"/>
    <w:next w:val="Normal"/>
    <w:autoRedefine/>
    <w:uiPriority w:val="39"/>
    <w:unhideWhenUsed/>
    <w:qFormat/>
    <w:rsid w:val="006E3EC8"/>
    <w:pPr>
      <w:spacing w:after="0"/>
      <w:ind w:left="220"/>
    </w:pPr>
    <w:rPr>
      <w:smallCaps/>
      <w:sz w:val="20"/>
      <w:szCs w:val="20"/>
    </w:rPr>
  </w:style>
  <w:style w:type="paragraph" w:styleId="Sumrio3">
    <w:name w:val="toc 3"/>
    <w:basedOn w:val="Normal"/>
    <w:next w:val="Normal"/>
    <w:autoRedefine/>
    <w:uiPriority w:val="39"/>
    <w:unhideWhenUsed/>
    <w:qFormat/>
    <w:rsid w:val="00EF7FA9"/>
    <w:pPr>
      <w:spacing w:after="0"/>
      <w:ind w:left="440"/>
    </w:pPr>
    <w:rPr>
      <w:i/>
      <w:iCs/>
      <w:sz w:val="20"/>
      <w:szCs w:val="20"/>
    </w:rPr>
  </w:style>
  <w:style w:type="paragraph" w:customStyle="1" w:styleId="Verdesimples">
    <w:name w:val="Verde simples"/>
    <w:basedOn w:val="PargrafodaLista"/>
    <w:link w:val="VerdesimplesChar"/>
    <w:qFormat/>
    <w:rsid w:val="00736FF1"/>
    <w:pPr>
      <w:numPr>
        <w:numId w:val="6"/>
      </w:numPr>
    </w:pPr>
    <w:rPr>
      <w:rFonts w:eastAsia="Arial Unicode MS" w:cs="Calibri"/>
      <w:b/>
      <w:color w:val="006666"/>
      <w:sz w:val="32"/>
      <w:szCs w:val="32"/>
    </w:rPr>
  </w:style>
  <w:style w:type="paragraph" w:styleId="Sumrio4">
    <w:name w:val="toc 4"/>
    <w:basedOn w:val="Normal"/>
    <w:next w:val="Normal"/>
    <w:autoRedefine/>
    <w:uiPriority w:val="39"/>
    <w:unhideWhenUsed/>
    <w:rsid w:val="008738D3"/>
    <w:pPr>
      <w:spacing w:after="0"/>
      <w:ind w:left="660"/>
    </w:pPr>
    <w:rPr>
      <w:sz w:val="18"/>
      <w:szCs w:val="18"/>
    </w:rPr>
  </w:style>
  <w:style w:type="character" w:customStyle="1" w:styleId="PargrafodaListaChar">
    <w:name w:val="Parágrafo da Lista Char"/>
    <w:basedOn w:val="Fontepargpadro"/>
    <w:link w:val="PargrafodaLista"/>
    <w:uiPriority w:val="34"/>
    <w:rsid w:val="00736FF1"/>
    <w:rPr>
      <w:rFonts w:eastAsiaTheme="minorEastAsia"/>
      <w:lang w:eastAsia="pt-BR"/>
    </w:rPr>
  </w:style>
  <w:style w:type="character" w:customStyle="1" w:styleId="VerdesimplesChar">
    <w:name w:val="Verde simples Char"/>
    <w:basedOn w:val="PargrafodaListaChar"/>
    <w:link w:val="Verdesimples"/>
    <w:rsid w:val="00736FF1"/>
    <w:rPr>
      <w:rFonts w:eastAsia="Arial Unicode MS" w:cs="Calibri"/>
      <w:b/>
      <w:color w:val="006666"/>
      <w:sz w:val="32"/>
      <w:szCs w:val="32"/>
      <w:lang w:eastAsia="pt-BR"/>
    </w:rPr>
  </w:style>
  <w:style w:type="paragraph" w:styleId="Sumrio5">
    <w:name w:val="toc 5"/>
    <w:basedOn w:val="Normal"/>
    <w:next w:val="Normal"/>
    <w:autoRedefine/>
    <w:uiPriority w:val="39"/>
    <w:unhideWhenUsed/>
    <w:rsid w:val="008738D3"/>
    <w:pPr>
      <w:spacing w:after="0"/>
      <w:ind w:left="880"/>
    </w:pPr>
    <w:rPr>
      <w:sz w:val="18"/>
      <w:szCs w:val="18"/>
    </w:rPr>
  </w:style>
  <w:style w:type="paragraph" w:styleId="Sumrio6">
    <w:name w:val="toc 6"/>
    <w:basedOn w:val="Normal"/>
    <w:next w:val="Normal"/>
    <w:autoRedefine/>
    <w:uiPriority w:val="39"/>
    <w:unhideWhenUsed/>
    <w:rsid w:val="008738D3"/>
    <w:pPr>
      <w:spacing w:after="0"/>
      <w:ind w:left="1100"/>
    </w:pPr>
    <w:rPr>
      <w:sz w:val="18"/>
      <w:szCs w:val="18"/>
    </w:rPr>
  </w:style>
  <w:style w:type="paragraph" w:styleId="Sumrio7">
    <w:name w:val="toc 7"/>
    <w:basedOn w:val="Normal"/>
    <w:next w:val="Normal"/>
    <w:autoRedefine/>
    <w:uiPriority w:val="39"/>
    <w:unhideWhenUsed/>
    <w:rsid w:val="008738D3"/>
    <w:pPr>
      <w:spacing w:after="0"/>
      <w:ind w:left="1320"/>
    </w:pPr>
    <w:rPr>
      <w:sz w:val="18"/>
      <w:szCs w:val="18"/>
    </w:rPr>
  </w:style>
  <w:style w:type="paragraph" w:styleId="Sumrio8">
    <w:name w:val="toc 8"/>
    <w:basedOn w:val="Normal"/>
    <w:next w:val="Normal"/>
    <w:autoRedefine/>
    <w:uiPriority w:val="39"/>
    <w:unhideWhenUsed/>
    <w:rsid w:val="008738D3"/>
    <w:pPr>
      <w:spacing w:after="0"/>
      <w:ind w:left="1540"/>
    </w:pPr>
    <w:rPr>
      <w:sz w:val="18"/>
      <w:szCs w:val="18"/>
    </w:rPr>
  </w:style>
  <w:style w:type="paragraph" w:styleId="Sumrio9">
    <w:name w:val="toc 9"/>
    <w:basedOn w:val="Normal"/>
    <w:next w:val="Normal"/>
    <w:autoRedefine/>
    <w:uiPriority w:val="39"/>
    <w:unhideWhenUsed/>
    <w:rsid w:val="008738D3"/>
    <w:pPr>
      <w:spacing w:after="0"/>
      <w:ind w:left="1760"/>
    </w:pPr>
    <w:rPr>
      <w:sz w:val="18"/>
      <w:szCs w:val="18"/>
    </w:rPr>
  </w:style>
  <w:style w:type="character" w:customStyle="1" w:styleId="Ttulo4Char">
    <w:name w:val="Título 4 Char"/>
    <w:basedOn w:val="Fontepargpadro"/>
    <w:link w:val="Ttulo4"/>
    <w:uiPriority w:val="9"/>
    <w:rsid w:val="008A65A9"/>
    <w:rPr>
      <w:rFonts w:asciiTheme="majorHAnsi" w:eastAsiaTheme="majorEastAsia" w:hAnsiTheme="majorHAnsi" w:cstheme="majorBidi"/>
      <w:b/>
      <w:iCs/>
      <w:color w:val="006666"/>
      <w:sz w:val="44"/>
    </w:rPr>
  </w:style>
  <w:style w:type="paragraph" w:styleId="Textodenotadefim">
    <w:name w:val="endnote text"/>
    <w:basedOn w:val="Normal"/>
    <w:link w:val="TextodenotadefimChar"/>
    <w:uiPriority w:val="99"/>
    <w:semiHidden/>
    <w:unhideWhenUsed/>
    <w:rsid w:val="00C148B3"/>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148B3"/>
    <w:rPr>
      <w:sz w:val="20"/>
      <w:szCs w:val="20"/>
    </w:rPr>
  </w:style>
  <w:style w:type="character" w:styleId="Refdenotadefim">
    <w:name w:val="endnote reference"/>
    <w:basedOn w:val="Fontepargpadro"/>
    <w:uiPriority w:val="99"/>
    <w:semiHidden/>
    <w:unhideWhenUsed/>
    <w:rsid w:val="00C148B3"/>
    <w:rPr>
      <w:vertAlign w:val="superscript"/>
    </w:rPr>
  </w:style>
  <w:style w:type="character" w:styleId="HiperlinkVisitado">
    <w:name w:val="FollowedHyperlink"/>
    <w:basedOn w:val="Fontepargpadro"/>
    <w:uiPriority w:val="99"/>
    <w:semiHidden/>
    <w:unhideWhenUsed/>
    <w:rsid w:val="00304E16"/>
    <w:rPr>
      <w:color w:val="954F72" w:themeColor="followedHyperlink"/>
      <w:u w:val="single"/>
    </w:rPr>
  </w:style>
  <w:style w:type="character" w:styleId="Refdecomentrio">
    <w:name w:val="annotation reference"/>
    <w:basedOn w:val="Fontepargpadro"/>
    <w:uiPriority w:val="99"/>
    <w:semiHidden/>
    <w:unhideWhenUsed/>
    <w:rsid w:val="00777013"/>
    <w:rPr>
      <w:sz w:val="16"/>
      <w:szCs w:val="16"/>
    </w:rPr>
  </w:style>
  <w:style w:type="paragraph" w:styleId="Textodecomentrio">
    <w:name w:val="annotation text"/>
    <w:basedOn w:val="Normal"/>
    <w:link w:val="TextodecomentrioChar"/>
    <w:uiPriority w:val="99"/>
    <w:semiHidden/>
    <w:unhideWhenUsed/>
    <w:rsid w:val="007770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77013"/>
    <w:rPr>
      <w:sz w:val="20"/>
      <w:szCs w:val="20"/>
    </w:rPr>
  </w:style>
  <w:style w:type="paragraph" w:styleId="Assuntodocomentrio">
    <w:name w:val="annotation subject"/>
    <w:basedOn w:val="Textodecomentrio"/>
    <w:next w:val="Textodecomentrio"/>
    <w:link w:val="AssuntodocomentrioChar"/>
    <w:uiPriority w:val="99"/>
    <w:semiHidden/>
    <w:unhideWhenUsed/>
    <w:rsid w:val="00777013"/>
    <w:rPr>
      <w:b/>
      <w:bCs/>
    </w:rPr>
  </w:style>
  <w:style w:type="character" w:customStyle="1" w:styleId="AssuntodocomentrioChar">
    <w:name w:val="Assunto do comentário Char"/>
    <w:basedOn w:val="TextodecomentrioChar"/>
    <w:link w:val="Assuntodocomentrio"/>
    <w:uiPriority w:val="99"/>
    <w:semiHidden/>
    <w:rsid w:val="00777013"/>
    <w:rPr>
      <w:b/>
      <w:bCs/>
      <w:sz w:val="20"/>
      <w:szCs w:val="20"/>
    </w:rPr>
  </w:style>
  <w:style w:type="character" w:customStyle="1" w:styleId="Quadros">
    <w:name w:val="Quadros"/>
    <w:basedOn w:val="Fontepargpadro"/>
    <w:uiPriority w:val="1"/>
    <w:qFormat/>
    <w:rsid w:val="00CF646A"/>
    <w:rPr>
      <w:rFonts w:eastAsia="Arial Unicode MS"/>
      <w:b/>
      <w:sz w:val="20"/>
      <w:szCs w:val="20"/>
    </w:rPr>
  </w:style>
  <w:style w:type="character" w:styleId="TtulodoLivro">
    <w:name w:val="Book Title"/>
    <w:basedOn w:val="Fontepargpadro"/>
    <w:uiPriority w:val="33"/>
    <w:qFormat/>
    <w:rsid w:val="00E466D7"/>
    <w:rPr>
      <w:b/>
      <w:bCs/>
      <w:i/>
      <w:iCs/>
      <w:spacing w:val="5"/>
    </w:rPr>
  </w:style>
  <w:style w:type="character" w:customStyle="1" w:styleId="Ttulo5Char">
    <w:name w:val="Título 5 Char"/>
    <w:basedOn w:val="Fontepargpadro"/>
    <w:link w:val="Ttulo5"/>
    <w:uiPriority w:val="9"/>
    <w:rsid w:val="00AB0505"/>
    <w:rPr>
      <w:rFonts w:asciiTheme="majorHAnsi" w:eastAsiaTheme="majorEastAsia" w:hAnsiTheme="majorHAnsi" w:cstheme="majorBidi"/>
      <w:b/>
      <w:color w:val="000000" w:themeColor="text1"/>
    </w:rPr>
  </w:style>
  <w:style w:type="paragraph" w:styleId="NormalWeb">
    <w:name w:val="Normal (Web)"/>
    <w:basedOn w:val="Normal"/>
    <w:uiPriority w:val="99"/>
    <w:semiHidden/>
    <w:unhideWhenUsed/>
    <w:rsid w:val="00416A4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E0298"/>
    <w:rPr>
      <w:b/>
      <w:bCs/>
    </w:rPr>
  </w:style>
  <w:style w:type="character" w:customStyle="1" w:styleId="MenoPendente1">
    <w:name w:val="Menção Pendente1"/>
    <w:basedOn w:val="Fontepargpadro"/>
    <w:uiPriority w:val="99"/>
    <w:semiHidden/>
    <w:unhideWhenUsed/>
    <w:rsid w:val="007138C2"/>
    <w:rPr>
      <w:color w:val="605E5C"/>
      <w:shd w:val="clear" w:color="auto" w:fill="E1DFDD"/>
    </w:rPr>
  </w:style>
  <w:style w:type="character" w:customStyle="1" w:styleId="MenoPendente2">
    <w:name w:val="Menção Pendente2"/>
    <w:basedOn w:val="Fontepargpadro"/>
    <w:uiPriority w:val="99"/>
    <w:semiHidden/>
    <w:unhideWhenUsed/>
    <w:rsid w:val="00D15BA6"/>
    <w:rPr>
      <w:color w:val="605E5C"/>
      <w:shd w:val="clear" w:color="auto" w:fill="E1DFDD"/>
    </w:rPr>
  </w:style>
  <w:style w:type="character" w:customStyle="1" w:styleId="MenoPendente3">
    <w:name w:val="Menção Pendente3"/>
    <w:basedOn w:val="Fontepargpadro"/>
    <w:uiPriority w:val="99"/>
    <w:semiHidden/>
    <w:unhideWhenUsed/>
    <w:rsid w:val="0082297D"/>
    <w:rPr>
      <w:color w:val="605E5C"/>
      <w:shd w:val="clear" w:color="auto" w:fill="E1DFDD"/>
    </w:rPr>
  </w:style>
  <w:style w:type="character" w:customStyle="1" w:styleId="MenoPendente4">
    <w:name w:val="Menção Pendente4"/>
    <w:basedOn w:val="Fontepargpadro"/>
    <w:uiPriority w:val="99"/>
    <w:semiHidden/>
    <w:unhideWhenUsed/>
    <w:rsid w:val="000E3201"/>
    <w:rPr>
      <w:color w:val="605E5C"/>
      <w:shd w:val="clear" w:color="auto" w:fill="E1DFDD"/>
    </w:rPr>
  </w:style>
  <w:style w:type="character" w:customStyle="1" w:styleId="MenoPendente5">
    <w:name w:val="Menção Pendente5"/>
    <w:basedOn w:val="Fontepargpadro"/>
    <w:uiPriority w:val="99"/>
    <w:semiHidden/>
    <w:unhideWhenUsed/>
    <w:rsid w:val="00FE36EC"/>
    <w:rPr>
      <w:color w:val="605E5C"/>
      <w:shd w:val="clear" w:color="auto" w:fill="E1DFDD"/>
    </w:rPr>
  </w:style>
  <w:style w:type="character" w:customStyle="1" w:styleId="UnresolvedMention">
    <w:name w:val="Unresolved Mention"/>
    <w:basedOn w:val="Fontepargpadro"/>
    <w:uiPriority w:val="99"/>
    <w:semiHidden/>
    <w:unhideWhenUsed/>
    <w:rsid w:val="006947D2"/>
    <w:rPr>
      <w:color w:val="605E5C"/>
      <w:shd w:val="clear" w:color="auto" w:fill="E1DFDD"/>
    </w:rPr>
  </w:style>
  <w:style w:type="character" w:customStyle="1" w:styleId="ui-provider">
    <w:name w:val="ui-provider"/>
    <w:basedOn w:val="Fontepargpadro"/>
    <w:rsid w:val="004943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399">
      <w:bodyDiv w:val="1"/>
      <w:marLeft w:val="0"/>
      <w:marRight w:val="0"/>
      <w:marTop w:val="0"/>
      <w:marBottom w:val="0"/>
      <w:divBdr>
        <w:top w:val="none" w:sz="0" w:space="0" w:color="auto"/>
        <w:left w:val="none" w:sz="0" w:space="0" w:color="auto"/>
        <w:bottom w:val="none" w:sz="0" w:space="0" w:color="auto"/>
        <w:right w:val="none" w:sz="0" w:space="0" w:color="auto"/>
      </w:divBdr>
    </w:div>
    <w:div w:id="5404333">
      <w:bodyDiv w:val="1"/>
      <w:marLeft w:val="0"/>
      <w:marRight w:val="0"/>
      <w:marTop w:val="0"/>
      <w:marBottom w:val="0"/>
      <w:divBdr>
        <w:top w:val="none" w:sz="0" w:space="0" w:color="auto"/>
        <w:left w:val="none" w:sz="0" w:space="0" w:color="auto"/>
        <w:bottom w:val="none" w:sz="0" w:space="0" w:color="auto"/>
        <w:right w:val="none" w:sz="0" w:space="0" w:color="auto"/>
      </w:divBdr>
      <w:divsChild>
        <w:div w:id="965047267">
          <w:marLeft w:val="0"/>
          <w:marRight w:val="0"/>
          <w:marTop w:val="0"/>
          <w:marBottom w:val="0"/>
          <w:divBdr>
            <w:top w:val="none" w:sz="0" w:space="0" w:color="auto"/>
            <w:left w:val="none" w:sz="0" w:space="0" w:color="auto"/>
            <w:bottom w:val="none" w:sz="0" w:space="0" w:color="auto"/>
            <w:right w:val="none" w:sz="0" w:space="0" w:color="auto"/>
          </w:divBdr>
        </w:div>
      </w:divsChild>
    </w:div>
    <w:div w:id="69432650">
      <w:bodyDiv w:val="1"/>
      <w:marLeft w:val="0"/>
      <w:marRight w:val="0"/>
      <w:marTop w:val="0"/>
      <w:marBottom w:val="0"/>
      <w:divBdr>
        <w:top w:val="none" w:sz="0" w:space="0" w:color="auto"/>
        <w:left w:val="none" w:sz="0" w:space="0" w:color="auto"/>
        <w:bottom w:val="none" w:sz="0" w:space="0" w:color="auto"/>
        <w:right w:val="none" w:sz="0" w:space="0" w:color="auto"/>
      </w:divBdr>
    </w:div>
    <w:div w:id="71783255">
      <w:bodyDiv w:val="1"/>
      <w:marLeft w:val="0"/>
      <w:marRight w:val="0"/>
      <w:marTop w:val="0"/>
      <w:marBottom w:val="0"/>
      <w:divBdr>
        <w:top w:val="none" w:sz="0" w:space="0" w:color="auto"/>
        <w:left w:val="none" w:sz="0" w:space="0" w:color="auto"/>
        <w:bottom w:val="none" w:sz="0" w:space="0" w:color="auto"/>
        <w:right w:val="none" w:sz="0" w:space="0" w:color="auto"/>
      </w:divBdr>
    </w:div>
    <w:div w:id="118036022">
      <w:bodyDiv w:val="1"/>
      <w:marLeft w:val="0"/>
      <w:marRight w:val="0"/>
      <w:marTop w:val="0"/>
      <w:marBottom w:val="0"/>
      <w:divBdr>
        <w:top w:val="none" w:sz="0" w:space="0" w:color="auto"/>
        <w:left w:val="none" w:sz="0" w:space="0" w:color="auto"/>
        <w:bottom w:val="none" w:sz="0" w:space="0" w:color="auto"/>
        <w:right w:val="none" w:sz="0" w:space="0" w:color="auto"/>
      </w:divBdr>
    </w:div>
    <w:div w:id="120920732">
      <w:bodyDiv w:val="1"/>
      <w:marLeft w:val="0"/>
      <w:marRight w:val="0"/>
      <w:marTop w:val="0"/>
      <w:marBottom w:val="0"/>
      <w:divBdr>
        <w:top w:val="none" w:sz="0" w:space="0" w:color="auto"/>
        <w:left w:val="none" w:sz="0" w:space="0" w:color="auto"/>
        <w:bottom w:val="none" w:sz="0" w:space="0" w:color="auto"/>
        <w:right w:val="none" w:sz="0" w:space="0" w:color="auto"/>
      </w:divBdr>
    </w:div>
    <w:div w:id="122575849">
      <w:bodyDiv w:val="1"/>
      <w:marLeft w:val="0"/>
      <w:marRight w:val="0"/>
      <w:marTop w:val="0"/>
      <w:marBottom w:val="0"/>
      <w:divBdr>
        <w:top w:val="none" w:sz="0" w:space="0" w:color="auto"/>
        <w:left w:val="none" w:sz="0" w:space="0" w:color="auto"/>
        <w:bottom w:val="none" w:sz="0" w:space="0" w:color="auto"/>
        <w:right w:val="none" w:sz="0" w:space="0" w:color="auto"/>
      </w:divBdr>
      <w:divsChild>
        <w:div w:id="205147362">
          <w:marLeft w:val="1397"/>
          <w:marRight w:val="0"/>
          <w:marTop w:val="0"/>
          <w:marBottom w:val="0"/>
          <w:divBdr>
            <w:top w:val="none" w:sz="0" w:space="0" w:color="auto"/>
            <w:left w:val="none" w:sz="0" w:space="0" w:color="auto"/>
            <w:bottom w:val="none" w:sz="0" w:space="0" w:color="auto"/>
            <w:right w:val="none" w:sz="0" w:space="0" w:color="auto"/>
          </w:divBdr>
        </w:div>
      </w:divsChild>
    </w:div>
    <w:div w:id="142965462">
      <w:bodyDiv w:val="1"/>
      <w:marLeft w:val="0"/>
      <w:marRight w:val="0"/>
      <w:marTop w:val="0"/>
      <w:marBottom w:val="0"/>
      <w:divBdr>
        <w:top w:val="none" w:sz="0" w:space="0" w:color="auto"/>
        <w:left w:val="none" w:sz="0" w:space="0" w:color="auto"/>
        <w:bottom w:val="none" w:sz="0" w:space="0" w:color="auto"/>
        <w:right w:val="none" w:sz="0" w:space="0" w:color="auto"/>
      </w:divBdr>
    </w:div>
    <w:div w:id="151794220">
      <w:bodyDiv w:val="1"/>
      <w:marLeft w:val="0"/>
      <w:marRight w:val="0"/>
      <w:marTop w:val="0"/>
      <w:marBottom w:val="0"/>
      <w:divBdr>
        <w:top w:val="none" w:sz="0" w:space="0" w:color="auto"/>
        <w:left w:val="none" w:sz="0" w:space="0" w:color="auto"/>
        <w:bottom w:val="none" w:sz="0" w:space="0" w:color="auto"/>
        <w:right w:val="none" w:sz="0" w:space="0" w:color="auto"/>
      </w:divBdr>
      <w:divsChild>
        <w:div w:id="971397700">
          <w:marLeft w:val="0"/>
          <w:marRight w:val="0"/>
          <w:marTop w:val="0"/>
          <w:marBottom w:val="0"/>
          <w:divBdr>
            <w:top w:val="none" w:sz="0" w:space="0" w:color="auto"/>
            <w:left w:val="none" w:sz="0" w:space="0" w:color="auto"/>
            <w:bottom w:val="none" w:sz="0" w:space="0" w:color="auto"/>
            <w:right w:val="none" w:sz="0" w:space="0" w:color="auto"/>
          </w:divBdr>
        </w:div>
      </w:divsChild>
    </w:div>
    <w:div w:id="154420172">
      <w:bodyDiv w:val="1"/>
      <w:marLeft w:val="0"/>
      <w:marRight w:val="0"/>
      <w:marTop w:val="0"/>
      <w:marBottom w:val="0"/>
      <w:divBdr>
        <w:top w:val="none" w:sz="0" w:space="0" w:color="auto"/>
        <w:left w:val="none" w:sz="0" w:space="0" w:color="auto"/>
        <w:bottom w:val="none" w:sz="0" w:space="0" w:color="auto"/>
        <w:right w:val="none" w:sz="0" w:space="0" w:color="auto"/>
      </w:divBdr>
      <w:divsChild>
        <w:div w:id="1964268964">
          <w:marLeft w:val="0"/>
          <w:marRight w:val="0"/>
          <w:marTop w:val="0"/>
          <w:marBottom w:val="0"/>
          <w:divBdr>
            <w:top w:val="none" w:sz="0" w:space="0" w:color="auto"/>
            <w:left w:val="none" w:sz="0" w:space="0" w:color="auto"/>
            <w:bottom w:val="none" w:sz="0" w:space="0" w:color="auto"/>
            <w:right w:val="none" w:sz="0" w:space="0" w:color="auto"/>
          </w:divBdr>
        </w:div>
      </w:divsChild>
    </w:div>
    <w:div w:id="183521814">
      <w:bodyDiv w:val="1"/>
      <w:marLeft w:val="0"/>
      <w:marRight w:val="0"/>
      <w:marTop w:val="0"/>
      <w:marBottom w:val="0"/>
      <w:divBdr>
        <w:top w:val="none" w:sz="0" w:space="0" w:color="auto"/>
        <w:left w:val="none" w:sz="0" w:space="0" w:color="auto"/>
        <w:bottom w:val="none" w:sz="0" w:space="0" w:color="auto"/>
        <w:right w:val="none" w:sz="0" w:space="0" w:color="auto"/>
      </w:divBdr>
    </w:div>
    <w:div w:id="214125354">
      <w:bodyDiv w:val="1"/>
      <w:marLeft w:val="0"/>
      <w:marRight w:val="0"/>
      <w:marTop w:val="0"/>
      <w:marBottom w:val="0"/>
      <w:divBdr>
        <w:top w:val="none" w:sz="0" w:space="0" w:color="auto"/>
        <w:left w:val="none" w:sz="0" w:space="0" w:color="auto"/>
        <w:bottom w:val="none" w:sz="0" w:space="0" w:color="auto"/>
        <w:right w:val="none" w:sz="0" w:space="0" w:color="auto"/>
      </w:divBdr>
      <w:divsChild>
        <w:div w:id="509175579">
          <w:marLeft w:val="0"/>
          <w:marRight w:val="0"/>
          <w:marTop w:val="0"/>
          <w:marBottom w:val="0"/>
          <w:divBdr>
            <w:top w:val="none" w:sz="0" w:space="0" w:color="auto"/>
            <w:left w:val="none" w:sz="0" w:space="0" w:color="auto"/>
            <w:bottom w:val="none" w:sz="0" w:space="0" w:color="auto"/>
            <w:right w:val="none" w:sz="0" w:space="0" w:color="auto"/>
          </w:divBdr>
        </w:div>
      </w:divsChild>
    </w:div>
    <w:div w:id="226233231">
      <w:bodyDiv w:val="1"/>
      <w:marLeft w:val="0"/>
      <w:marRight w:val="0"/>
      <w:marTop w:val="0"/>
      <w:marBottom w:val="0"/>
      <w:divBdr>
        <w:top w:val="none" w:sz="0" w:space="0" w:color="auto"/>
        <w:left w:val="none" w:sz="0" w:space="0" w:color="auto"/>
        <w:bottom w:val="none" w:sz="0" w:space="0" w:color="auto"/>
        <w:right w:val="none" w:sz="0" w:space="0" w:color="auto"/>
      </w:divBdr>
    </w:div>
    <w:div w:id="227694847">
      <w:bodyDiv w:val="1"/>
      <w:marLeft w:val="0"/>
      <w:marRight w:val="0"/>
      <w:marTop w:val="0"/>
      <w:marBottom w:val="0"/>
      <w:divBdr>
        <w:top w:val="none" w:sz="0" w:space="0" w:color="auto"/>
        <w:left w:val="none" w:sz="0" w:space="0" w:color="auto"/>
        <w:bottom w:val="none" w:sz="0" w:space="0" w:color="auto"/>
        <w:right w:val="none" w:sz="0" w:space="0" w:color="auto"/>
      </w:divBdr>
    </w:div>
    <w:div w:id="253439272">
      <w:bodyDiv w:val="1"/>
      <w:marLeft w:val="0"/>
      <w:marRight w:val="0"/>
      <w:marTop w:val="0"/>
      <w:marBottom w:val="0"/>
      <w:divBdr>
        <w:top w:val="none" w:sz="0" w:space="0" w:color="auto"/>
        <w:left w:val="none" w:sz="0" w:space="0" w:color="auto"/>
        <w:bottom w:val="none" w:sz="0" w:space="0" w:color="auto"/>
        <w:right w:val="none" w:sz="0" w:space="0" w:color="auto"/>
      </w:divBdr>
    </w:div>
    <w:div w:id="262232202">
      <w:bodyDiv w:val="1"/>
      <w:marLeft w:val="0"/>
      <w:marRight w:val="0"/>
      <w:marTop w:val="0"/>
      <w:marBottom w:val="0"/>
      <w:divBdr>
        <w:top w:val="none" w:sz="0" w:space="0" w:color="auto"/>
        <w:left w:val="none" w:sz="0" w:space="0" w:color="auto"/>
        <w:bottom w:val="none" w:sz="0" w:space="0" w:color="auto"/>
        <w:right w:val="none" w:sz="0" w:space="0" w:color="auto"/>
      </w:divBdr>
      <w:divsChild>
        <w:div w:id="1878470716">
          <w:marLeft w:val="0"/>
          <w:marRight w:val="0"/>
          <w:marTop w:val="0"/>
          <w:marBottom w:val="0"/>
          <w:divBdr>
            <w:top w:val="none" w:sz="0" w:space="0" w:color="auto"/>
            <w:left w:val="none" w:sz="0" w:space="0" w:color="auto"/>
            <w:bottom w:val="none" w:sz="0" w:space="0" w:color="auto"/>
            <w:right w:val="none" w:sz="0" w:space="0" w:color="auto"/>
          </w:divBdr>
        </w:div>
      </w:divsChild>
    </w:div>
    <w:div w:id="266546353">
      <w:bodyDiv w:val="1"/>
      <w:marLeft w:val="0"/>
      <w:marRight w:val="0"/>
      <w:marTop w:val="0"/>
      <w:marBottom w:val="0"/>
      <w:divBdr>
        <w:top w:val="none" w:sz="0" w:space="0" w:color="auto"/>
        <w:left w:val="none" w:sz="0" w:space="0" w:color="auto"/>
        <w:bottom w:val="none" w:sz="0" w:space="0" w:color="auto"/>
        <w:right w:val="none" w:sz="0" w:space="0" w:color="auto"/>
      </w:divBdr>
    </w:div>
    <w:div w:id="267200287">
      <w:bodyDiv w:val="1"/>
      <w:marLeft w:val="0"/>
      <w:marRight w:val="0"/>
      <w:marTop w:val="0"/>
      <w:marBottom w:val="0"/>
      <w:divBdr>
        <w:top w:val="none" w:sz="0" w:space="0" w:color="auto"/>
        <w:left w:val="none" w:sz="0" w:space="0" w:color="auto"/>
        <w:bottom w:val="none" w:sz="0" w:space="0" w:color="auto"/>
        <w:right w:val="none" w:sz="0" w:space="0" w:color="auto"/>
      </w:divBdr>
    </w:div>
    <w:div w:id="291330407">
      <w:bodyDiv w:val="1"/>
      <w:marLeft w:val="0"/>
      <w:marRight w:val="0"/>
      <w:marTop w:val="0"/>
      <w:marBottom w:val="0"/>
      <w:divBdr>
        <w:top w:val="none" w:sz="0" w:space="0" w:color="auto"/>
        <w:left w:val="none" w:sz="0" w:space="0" w:color="auto"/>
        <w:bottom w:val="none" w:sz="0" w:space="0" w:color="auto"/>
        <w:right w:val="none" w:sz="0" w:space="0" w:color="auto"/>
      </w:divBdr>
    </w:div>
    <w:div w:id="298734137">
      <w:bodyDiv w:val="1"/>
      <w:marLeft w:val="0"/>
      <w:marRight w:val="0"/>
      <w:marTop w:val="0"/>
      <w:marBottom w:val="0"/>
      <w:divBdr>
        <w:top w:val="none" w:sz="0" w:space="0" w:color="auto"/>
        <w:left w:val="none" w:sz="0" w:space="0" w:color="auto"/>
        <w:bottom w:val="none" w:sz="0" w:space="0" w:color="auto"/>
        <w:right w:val="none" w:sz="0" w:space="0" w:color="auto"/>
      </w:divBdr>
    </w:div>
    <w:div w:id="298999077">
      <w:bodyDiv w:val="1"/>
      <w:marLeft w:val="0"/>
      <w:marRight w:val="0"/>
      <w:marTop w:val="0"/>
      <w:marBottom w:val="0"/>
      <w:divBdr>
        <w:top w:val="none" w:sz="0" w:space="0" w:color="auto"/>
        <w:left w:val="none" w:sz="0" w:space="0" w:color="auto"/>
        <w:bottom w:val="none" w:sz="0" w:space="0" w:color="auto"/>
        <w:right w:val="none" w:sz="0" w:space="0" w:color="auto"/>
      </w:divBdr>
    </w:div>
    <w:div w:id="310597474">
      <w:bodyDiv w:val="1"/>
      <w:marLeft w:val="0"/>
      <w:marRight w:val="0"/>
      <w:marTop w:val="0"/>
      <w:marBottom w:val="0"/>
      <w:divBdr>
        <w:top w:val="none" w:sz="0" w:space="0" w:color="auto"/>
        <w:left w:val="none" w:sz="0" w:space="0" w:color="auto"/>
        <w:bottom w:val="none" w:sz="0" w:space="0" w:color="auto"/>
        <w:right w:val="none" w:sz="0" w:space="0" w:color="auto"/>
      </w:divBdr>
    </w:div>
    <w:div w:id="313798388">
      <w:bodyDiv w:val="1"/>
      <w:marLeft w:val="0"/>
      <w:marRight w:val="0"/>
      <w:marTop w:val="0"/>
      <w:marBottom w:val="0"/>
      <w:divBdr>
        <w:top w:val="none" w:sz="0" w:space="0" w:color="auto"/>
        <w:left w:val="none" w:sz="0" w:space="0" w:color="auto"/>
        <w:bottom w:val="none" w:sz="0" w:space="0" w:color="auto"/>
        <w:right w:val="none" w:sz="0" w:space="0" w:color="auto"/>
      </w:divBdr>
    </w:div>
    <w:div w:id="335766612">
      <w:bodyDiv w:val="1"/>
      <w:marLeft w:val="0"/>
      <w:marRight w:val="0"/>
      <w:marTop w:val="0"/>
      <w:marBottom w:val="0"/>
      <w:divBdr>
        <w:top w:val="none" w:sz="0" w:space="0" w:color="auto"/>
        <w:left w:val="none" w:sz="0" w:space="0" w:color="auto"/>
        <w:bottom w:val="none" w:sz="0" w:space="0" w:color="auto"/>
        <w:right w:val="none" w:sz="0" w:space="0" w:color="auto"/>
      </w:divBdr>
      <w:divsChild>
        <w:div w:id="919631274">
          <w:marLeft w:val="0"/>
          <w:marRight w:val="0"/>
          <w:marTop w:val="0"/>
          <w:marBottom w:val="0"/>
          <w:divBdr>
            <w:top w:val="none" w:sz="0" w:space="0" w:color="auto"/>
            <w:left w:val="none" w:sz="0" w:space="0" w:color="auto"/>
            <w:bottom w:val="none" w:sz="0" w:space="0" w:color="auto"/>
            <w:right w:val="none" w:sz="0" w:space="0" w:color="auto"/>
          </w:divBdr>
        </w:div>
      </w:divsChild>
    </w:div>
    <w:div w:id="337660988">
      <w:bodyDiv w:val="1"/>
      <w:marLeft w:val="0"/>
      <w:marRight w:val="0"/>
      <w:marTop w:val="0"/>
      <w:marBottom w:val="0"/>
      <w:divBdr>
        <w:top w:val="none" w:sz="0" w:space="0" w:color="auto"/>
        <w:left w:val="none" w:sz="0" w:space="0" w:color="auto"/>
        <w:bottom w:val="none" w:sz="0" w:space="0" w:color="auto"/>
        <w:right w:val="none" w:sz="0" w:space="0" w:color="auto"/>
      </w:divBdr>
    </w:div>
    <w:div w:id="360666816">
      <w:bodyDiv w:val="1"/>
      <w:marLeft w:val="0"/>
      <w:marRight w:val="0"/>
      <w:marTop w:val="0"/>
      <w:marBottom w:val="0"/>
      <w:divBdr>
        <w:top w:val="none" w:sz="0" w:space="0" w:color="auto"/>
        <w:left w:val="none" w:sz="0" w:space="0" w:color="auto"/>
        <w:bottom w:val="none" w:sz="0" w:space="0" w:color="auto"/>
        <w:right w:val="none" w:sz="0" w:space="0" w:color="auto"/>
      </w:divBdr>
    </w:div>
    <w:div w:id="397561774">
      <w:bodyDiv w:val="1"/>
      <w:marLeft w:val="0"/>
      <w:marRight w:val="0"/>
      <w:marTop w:val="0"/>
      <w:marBottom w:val="0"/>
      <w:divBdr>
        <w:top w:val="none" w:sz="0" w:space="0" w:color="auto"/>
        <w:left w:val="none" w:sz="0" w:space="0" w:color="auto"/>
        <w:bottom w:val="none" w:sz="0" w:space="0" w:color="auto"/>
        <w:right w:val="none" w:sz="0" w:space="0" w:color="auto"/>
      </w:divBdr>
    </w:div>
    <w:div w:id="406730898">
      <w:bodyDiv w:val="1"/>
      <w:marLeft w:val="0"/>
      <w:marRight w:val="0"/>
      <w:marTop w:val="0"/>
      <w:marBottom w:val="0"/>
      <w:divBdr>
        <w:top w:val="none" w:sz="0" w:space="0" w:color="auto"/>
        <w:left w:val="none" w:sz="0" w:space="0" w:color="auto"/>
        <w:bottom w:val="none" w:sz="0" w:space="0" w:color="auto"/>
        <w:right w:val="none" w:sz="0" w:space="0" w:color="auto"/>
      </w:divBdr>
    </w:div>
    <w:div w:id="418529272">
      <w:bodyDiv w:val="1"/>
      <w:marLeft w:val="0"/>
      <w:marRight w:val="0"/>
      <w:marTop w:val="0"/>
      <w:marBottom w:val="0"/>
      <w:divBdr>
        <w:top w:val="none" w:sz="0" w:space="0" w:color="auto"/>
        <w:left w:val="none" w:sz="0" w:space="0" w:color="auto"/>
        <w:bottom w:val="none" w:sz="0" w:space="0" w:color="auto"/>
        <w:right w:val="none" w:sz="0" w:space="0" w:color="auto"/>
      </w:divBdr>
      <w:divsChild>
        <w:div w:id="2045517883">
          <w:marLeft w:val="1397"/>
          <w:marRight w:val="0"/>
          <w:marTop w:val="0"/>
          <w:marBottom w:val="0"/>
          <w:divBdr>
            <w:top w:val="none" w:sz="0" w:space="0" w:color="auto"/>
            <w:left w:val="none" w:sz="0" w:space="0" w:color="auto"/>
            <w:bottom w:val="none" w:sz="0" w:space="0" w:color="auto"/>
            <w:right w:val="none" w:sz="0" w:space="0" w:color="auto"/>
          </w:divBdr>
        </w:div>
      </w:divsChild>
    </w:div>
    <w:div w:id="434636659">
      <w:bodyDiv w:val="1"/>
      <w:marLeft w:val="0"/>
      <w:marRight w:val="0"/>
      <w:marTop w:val="0"/>
      <w:marBottom w:val="0"/>
      <w:divBdr>
        <w:top w:val="none" w:sz="0" w:space="0" w:color="auto"/>
        <w:left w:val="none" w:sz="0" w:space="0" w:color="auto"/>
        <w:bottom w:val="none" w:sz="0" w:space="0" w:color="auto"/>
        <w:right w:val="none" w:sz="0" w:space="0" w:color="auto"/>
      </w:divBdr>
    </w:div>
    <w:div w:id="447361782">
      <w:bodyDiv w:val="1"/>
      <w:marLeft w:val="0"/>
      <w:marRight w:val="0"/>
      <w:marTop w:val="0"/>
      <w:marBottom w:val="0"/>
      <w:divBdr>
        <w:top w:val="none" w:sz="0" w:space="0" w:color="auto"/>
        <w:left w:val="none" w:sz="0" w:space="0" w:color="auto"/>
        <w:bottom w:val="none" w:sz="0" w:space="0" w:color="auto"/>
        <w:right w:val="none" w:sz="0" w:space="0" w:color="auto"/>
      </w:divBdr>
    </w:div>
    <w:div w:id="472450256">
      <w:bodyDiv w:val="1"/>
      <w:marLeft w:val="0"/>
      <w:marRight w:val="0"/>
      <w:marTop w:val="0"/>
      <w:marBottom w:val="0"/>
      <w:divBdr>
        <w:top w:val="none" w:sz="0" w:space="0" w:color="auto"/>
        <w:left w:val="none" w:sz="0" w:space="0" w:color="auto"/>
        <w:bottom w:val="none" w:sz="0" w:space="0" w:color="auto"/>
        <w:right w:val="none" w:sz="0" w:space="0" w:color="auto"/>
      </w:divBdr>
      <w:divsChild>
        <w:div w:id="185140564">
          <w:marLeft w:val="1397"/>
          <w:marRight w:val="0"/>
          <w:marTop w:val="0"/>
          <w:marBottom w:val="0"/>
          <w:divBdr>
            <w:top w:val="none" w:sz="0" w:space="0" w:color="auto"/>
            <w:left w:val="none" w:sz="0" w:space="0" w:color="auto"/>
            <w:bottom w:val="none" w:sz="0" w:space="0" w:color="auto"/>
            <w:right w:val="none" w:sz="0" w:space="0" w:color="auto"/>
          </w:divBdr>
        </w:div>
        <w:div w:id="720060199">
          <w:marLeft w:val="2261"/>
          <w:marRight w:val="0"/>
          <w:marTop w:val="0"/>
          <w:marBottom w:val="0"/>
          <w:divBdr>
            <w:top w:val="none" w:sz="0" w:space="0" w:color="auto"/>
            <w:left w:val="none" w:sz="0" w:space="0" w:color="auto"/>
            <w:bottom w:val="none" w:sz="0" w:space="0" w:color="auto"/>
            <w:right w:val="none" w:sz="0" w:space="0" w:color="auto"/>
          </w:divBdr>
        </w:div>
        <w:div w:id="1654488477">
          <w:marLeft w:val="2261"/>
          <w:marRight w:val="0"/>
          <w:marTop w:val="0"/>
          <w:marBottom w:val="0"/>
          <w:divBdr>
            <w:top w:val="none" w:sz="0" w:space="0" w:color="auto"/>
            <w:left w:val="none" w:sz="0" w:space="0" w:color="auto"/>
            <w:bottom w:val="none" w:sz="0" w:space="0" w:color="auto"/>
            <w:right w:val="none" w:sz="0" w:space="0" w:color="auto"/>
          </w:divBdr>
        </w:div>
      </w:divsChild>
    </w:div>
    <w:div w:id="482087162">
      <w:bodyDiv w:val="1"/>
      <w:marLeft w:val="0"/>
      <w:marRight w:val="0"/>
      <w:marTop w:val="0"/>
      <w:marBottom w:val="0"/>
      <w:divBdr>
        <w:top w:val="none" w:sz="0" w:space="0" w:color="auto"/>
        <w:left w:val="none" w:sz="0" w:space="0" w:color="auto"/>
        <w:bottom w:val="none" w:sz="0" w:space="0" w:color="auto"/>
        <w:right w:val="none" w:sz="0" w:space="0" w:color="auto"/>
      </w:divBdr>
    </w:div>
    <w:div w:id="488133305">
      <w:bodyDiv w:val="1"/>
      <w:marLeft w:val="0"/>
      <w:marRight w:val="0"/>
      <w:marTop w:val="0"/>
      <w:marBottom w:val="0"/>
      <w:divBdr>
        <w:top w:val="none" w:sz="0" w:space="0" w:color="auto"/>
        <w:left w:val="none" w:sz="0" w:space="0" w:color="auto"/>
        <w:bottom w:val="none" w:sz="0" w:space="0" w:color="auto"/>
        <w:right w:val="none" w:sz="0" w:space="0" w:color="auto"/>
      </w:divBdr>
    </w:div>
    <w:div w:id="516776527">
      <w:bodyDiv w:val="1"/>
      <w:marLeft w:val="0"/>
      <w:marRight w:val="0"/>
      <w:marTop w:val="0"/>
      <w:marBottom w:val="0"/>
      <w:divBdr>
        <w:top w:val="none" w:sz="0" w:space="0" w:color="auto"/>
        <w:left w:val="none" w:sz="0" w:space="0" w:color="auto"/>
        <w:bottom w:val="none" w:sz="0" w:space="0" w:color="auto"/>
        <w:right w:val="none" w:sz="0" w:space="0" w:color="auto"/>
      </w:divBdr>
    </w:div>
    <w:div w:id="549538880">
      <w:bodyDiv w:val="1"/>
      <w:marLeft w:val="0"/>
      <w:marRight w:val="0"/>
      <w:marTop w:val="0"/>
      <w:marBottom w:val="0"/>
      <w:divBdr>
        <w:top w:val="none" w:sz="0" w:space="0" w:color="auto"/>
        <w:left w:val="none" w:sz="0" w:space="0" w:color="auto"/>
        <w:bottom w:val="none" w:sz="0" w:space="0" w:color="auto"/>
        <w:right w:val="none" w:sz="0" w:space="0" w:color="auto"/>
      </w:divBdr>
      <w:divsChild>
        <w:div w:id="819619791">
          <w:marLeft w:val="2261"/>
          <w:marRight w:val="0"/>
          <w:marTop w:val="0"/>
          <w:marBottom w:val="0"/>
          <w:divBdr>
            <w:top w:val="none" w:sz="0" w:space="0" w:color="auto"/>
            <w:left w:val="none" w:sz="0" w:space="0" w:color="auto"/>
            <w:bottom w:val="none" w:sz="0" w:space="0" w:color="auto"/>
            <w:right w:val="none" w:sz="0" w:space="0" w:color="auto"/>
          </w:divBdr>
        </w:div>
        <w:div w:id="1405956139">
          <w:marLeft w:val="1397"/>
          <w:marRight w:val="0"/>
          <w:marTop w:val="0"/>
          <w:marBottom w:val="0"/>
          <w:divBdr>
            <w:top w:val="none" w:sz="0" w:space="0" w:color="auto"/>
            <w:left w:val="none" w:sz="0" w:space="0" w:color="auto"/>
            <w:bottom w:val="none" w:sz="0" w:space="0" w:color="auto"/>
            <w:right w:val="none" w:sz="0" w:space="0" w:color="auto"/>
          </w:divBdr>
        </w:div>
        <w:div w:id="1727602426">
          <w:marLeft w:val="2261"/>
          <w:marRight w:val="0"/>
          <w:marTop w:val="0"/>
          <w:marBottom w:val="0"/>
          <w:divBdr>
            <w:top w:val="none" w:sz="0" w:space="0" w:color="auto"/>
            <w:left w:val="none" w:sz="0" w:space="0" w:color="auto"/>
            <w:bottom w:val="none" w:sz="0" w:space="0" w:color="auto"/>
            <w:right w:val="none" w:sz="0" w:space="0" w:color="auto"/>
          </w:divBdr>
        </w:div>
      </w:divsChild>
    </w:div>
    <w:div w:id="558245176">
      <w:bodyDiv w:val="1"/>
      <w:marLeft w:val="0"/>
      <w:marRight w:val="0"/>
      <w:marTop w:val="0"/>
      <w:marBottom w:val="0"/>
      <w:divBdr>
        <w:top w:val="none" w:sz="0" w:space="0" w:color="auto"/>
        <w:left w:val="none" w:sz="0" w:space="0" w:color="auto"/>
        <w:bottom w:val="none" w:sz="0" w:space="0" w:color="auto"/>
        <w:right w:val="none" w:sz="0" w:space="0" w:color="auto"/>
      </w:divBdr>
      <w:divsChild>
        <w:div w:id="321347642">
          <w:marLeft w:val="2261"/>
          <w:marRight w:val="0"/>
          <w:marTop w:val="0"/>
          <w:marBottom w:val="0"/>
          <w:divBdr>
            <w:top w:val="none" w:sz="0" w:space="0" w:color="auto"/>
            <w:left w:val="none" w:sz="0" w:space="0" w:color="auto"/>
            <w:bottom w:val="none" w:sz="0" w:space="0" w:color="auto"/>
            <w:right w:val="none" w:sz="0" w:space="0" w:color="auto"/>
          </w:divBdr>
        </w:div>
        <w:div w:id="373384294">
          <w:marLeft w:val="1397"/>
          <w:marRight w:val="0"/>
          <w:marTop w:val="0"/>
          <w:marBottom w:val="0"/>
          <w:divBdr>
            <w:top w:val="none" w:sz="0" w:space="0" w:color="auto"/>
            <w:left w:val="none" w:sz="0" w:space="0" w:color="auto"/>
            <w:bottom w:val="none" w:sz="0" w:space="0" w:color="auto"/>
            <w:right w:val="none" w:sz="0" w:space="0" w:color="auto"/>
          </w:divBdr>
        </w:div>
        <w:div w:id="1996764288">
          <w:marLeft w:val="2261"/>
          <w:marRight w:val="0"/>
          <w:marTop w:val="0"/>
          <w:marBottom w:val="0"/>
          <w:divBdr>
            <w:top w:val="none" w:sz="0" w:space="0" w:color="auto"/>
            <w:left w:val="none" w:sz="0" w:space="0" w:color="auto"/>
            <w:bottom w:val="none" w:sz="0" w:space="0" w:color="auto"/>
            <w:right w:val="none" w:sz="0" w:space="0" w:color="auto"/>
          </w:divBdr>
        </w:div>
      </w:divsChild>
    </w:div>
    <w:div w:id="594947668">
      <w:bodyDiv w:val="1"/>
      <w:marLeft w:val="0"/>
      <w:marRight w:val="0"/>
      <w:marTop w:val="0"/>
      <w:marBottom w:val="0"/>
      <w:divBdr>
        <w:top w:val="none" w:sz="0" w:space="0" w:color="auto"/>
        <w:left w:val="none" w:sz="0" w:space="0" w:color="auto"/>
        <w:bottom w:val="none" w:sz="0" w:space="0" w:color="auto"/>
        <w:right w:val="none" w:sz="0" w:space="0" w:color="auto"/>
      </w:divBdr>
    </w:div>
    <w:div w:id="643655777">
      <w:bodyDiv w:val="1"/>
      <w:marLeft w:val="0"/>
      <w:marRight w:val="0"/>
      <w:marTop w:val="0"/>
      <w:marBottom w:val="0"/>
      <w:divBdr>
        <w:top w:val="none" w:sz="0" w:space="0" w:color="auto"/>
        <w:left w:val="none" w:sz="0" w:space="0" w:color="auto"/>
        <w:bottom w:val="none" w:sz="0" w:space="0" w:color="auto"/>
        <w:right w:val="none" w:sz="0" w:space="0" w:color="auto"/>
      </w:divBdr>
    </w:div>
    <w:div w:id="663317300">
      <w:bodyDiv w:val="1"/>
      <w:marLeft w:val="0"/>
      <w:marRight w:val="0"/>
      <w:marTop w:val="0"/>
      <w:marBottom w:val="0"/>
      <w:divBdr>
        <w:top w:val="none" w:sz="0" w:space="0" w:color="auto"/>
        <w:left w:val="none" w:sz="0" w:space="0" w:color="auto"/>
        <w:bottom w:val="none" w:sz="0" w:space="0" w:color="auto"/>
        <w:right w:val="none" w:sz="0" w:space="0" w:color="auto"/>
      </w:divBdr>
    </w:div>
    <w:div w:id="682515939">
      <w:bodyDiv w:val="1"/>
      <w:marLeft w:val="0"/>
      <w:marRight w:val="0"/>
      <w:marTop w:val="0"/>
      <w:marBottom w:val="0"/>
      <w:divBdr>
        <w:top w:val="none" w:sz="0" w:space="0" w:color="auto"/>
        <w:left w:val="none" w:sz="0" w:space="0" w:color="auto"/>
        <w:bottom w:val="none" w:sz="0" w:space="0" w:color="auto"/>
        <w:right w:val="none" w:sz="0" w:space="0" w:color="auto"/>
      </w:divBdr>
    </w:div>
    <w:div w:id="687105618">
      <w:bodyDiv w:val="1"/>
      <w:marLeft w:val="0"/>
      <w:marRight w:val="0"/>
      <w:marTop w:val="0"/>
      <w:marBottom w:val="0"/>
      <w:divBdr>
        <w:top w:val="none" w:sz="0" w:space="0" w:color="auto"/>
        <w:left w:val="none" w:sz="0" w:space="0" w:color="auto"/>
        <w:bottom w:val="none" w:sz="0" w:space="0" w:color="auto"/>
        <w:right w:val="none" w:sz="0" w:space="0" w:color="auto"/>
      </w:divBdr>
    </w:div>
    <w:div w:id="689142319">
      <w:bodyDiv w:val="1"/>
      <w:marLeft w:val="0"/>
      <w:marRight w:val="0"/>
      <w:marTop w:val="0"/>
      <w:marBottom w:val="0"/>
      <w:divBdr>
        <w:top w:val="none" w:sz="0" w:space="0" w:color="auto"/>
        <w:left w:val="none" w:sz="0" w:space="0" w:color="auto"/>
        <w:bottom w:val="none" w:sz="0" w:space="0" w:color="auto"/>
        <w:right w:val="none" w:sz="0" w:space="0" w:color="auto"/>
      </w:divBdr>
    </w:div>
    <w:div w:id="706175615">
      <w:bodyDiv w:val="1"/>
      <w:marLeft w:val="0"/>
      <w:marRight w:val="0"/>
      <w:marTop w:val="0"/>
      <w:marBottom w:val="0"/>
      <w:divBdr>
        <w:top w:val="none" w:sz="0" w:space="0" w:color="auto"/>
        <w:left w:val="none" w:sz="0" w:space="0" w:color="auto"/>
        <w:bottom w:val="none" w:sz="0" w:space="0" w:color="auto"/>
        <w:right w:val="none" w:sz="0" w:space="0" w:color="auto"/>
      </w:divBdr>
    </w:div>
    <w:div w:id="716049657">
      <w:bodyDiv w:val="1"/>
      <w:marLeft w:val="0"/>
      <w:marRight w:val="0"/>
      <w:marTop w:val="0"/>
      <w:marBottom w:val="0"/>
      <w:divBdr>
        <w:top w:val="none" w:sz="0" w:space="0" w:color="auto"/>
        <w:left w:val="none" w:sz="0" w:space="0" w:color="auto"/>
        <w:bottom w:val="none" w:sz="0" w:space="0" w:color="auto"/>
        <w:right w:val="none" w:sz="0" w:space="0" w:color="auto"/>
      </w:divBdr>
    </w:div>
    <w:div w:id="719283358">
      <w:bodyDiv w:val="1"/>
      <w:marLeft w:val="0"/>
      <w:marRight w:val="0"/>
      <w:marTop w:val="0"/>
      <w:marBottom w:val="0"/>
      <w:divBdr>
        <w:top w:val="none" w:sz="0" w:space="0" w:color="auto"/>
        <w:left w:val="none" w:sz="0" w:space="0" w:color="auto"/>
        <w:bottom w:val="none" w:sz="0" w:space="0" w:color="auto"/>
        <w:right w:val="none" w:sz="0" w:space="0" w:color="auto"/>
      </w:divBdr>
    </w:div>
    <w:div w:id="723141675">
      <w:bodyDiv w:val="1"/>
      <w:marLeft w:val="0"/>
      <w:marRight w:val="0"/>
      <w:marTop w:val="0"/>
      <w:marBottom w:val="0"/>
      <w:divBdr>
        <w:top w:val="none" w:sz="0" w:space="0" w:color="auto"/>
        <w:left w:val="none" w:sz="0" w:space="0" w:color="auto"/>
        <w:bottom w:val="none" w:sz="0" w:space="0" w:color="auto"/>
        <w:right w:val="none" w:sz="0" w:space="0" w:color="auto"/>
      </w:divBdr>
    </w:div>
    <w:div w:id="730809816">
      <w:bodyDiv w:val="1"/>
      <w:marLeft w:val="0"/>
      <w:marRight w:val="0"/>
      <w:marTop w:val="0"/>
      <w:marBottom w:val="0"/>
      <w:divBdr>
        <w:top w:val="none" w:sz="0" w:space="0" w:color="auto"/>
        <w:left w:val="none" w:sz="0" w:space="0" w:color="auto"/>
        <w:bottom w:val="none" w:sz="0" w:space="0" w:color="auto"/>
        <w:right w:val="none" w:sz="0" w:space="0" w:color="auto"/>
      </w:divBdr>
    </w:div>
    <w:div w:id="739328306">
      <w:bodyDiv w:val="1"/>
      <w:marLeft w:val="0"/>
      <w:marRight w:val="0"/>
      <w:marTop w:val="0"/>
      <w:marBottom w:val="0"/>
      <w:divBdr>
        <w:top w:val="none" w:sz="0" w:space="0" w:color="auto"/>
        <w:left w:val="none" w:sz="0" w:space="0" w:color="auto"/>
        <w:bottom w:val="none" w:sz="0" w:space="0" w:color="auto"/>
        <w:right w:val="none" w:sz="0" w:space="0" w:color="auto"/>
      </w:divBdr>
    </w:div>
    <w:div w:id="740982580">
      <w:bodyDiv w:val="1"/>
      <w:marLeft w:val="0"/>
      <w:marRight w:val="0"/>
      <w:marTop w:val="0"/>
      <w:marBottom w:val="0"/>
      <w:divBdr>
        <w:top w:val="none" w:sz="0" w:space="0" w:color="auto"/>
        <w:left w:val="none" w:sz="0" w:space="0" w:color="auto"/>
        <w:bottom w:val="none" w:sz="0" w:space="0" w:color="auto"/>
        <w:right w:val="none" w:sz="0" w:space="0" w:color="auto"/>
      </w:divBdr>
    </w:div>
    <w:div w:id="750351521">
      <w:bodyDiv w:val="1"/>
      <w:marLeft w:val="0"/>
      <w:marRight w:val="0"/>
      <w:marTop w:val="0"/>
      <w:marBottom w:val="0"/>
      <w:divBdr>
        <w:top w:val="none" w:sz="0" w:space="0" w:color="auto"/>
        <w:left w:val="none" w:sz="0" w:space="0" w:color="auto"/>
        <w:bottom w:val="none" w:sz="0" w:space="0" w:color="auto"/>
        <w:right w:val="none" w:sz="0" w:space="0" w:color="auto"/>
      </w:divBdr>
      <w:divsChild>
        <w:div w:id="586571737">
          <w:marLeft w:val="1397"/>
          <w:marRight w:val="0"/>
          <w:marTop w:val="0"/>
          <w:marBottom w:val="0"/>
          <w:divBdr>
            <w:top w:val="none" w:sz="0" w:space="0" w:color="auto"/>
            <w:left w:val="none" w:sz="0" w:space="0" w:color="auto"/>
            <w:bottom w:val="none" w:sz="0" w:space="0" w:color="auto"/>
            <w:right w:val="none" w:sz="0" w:space="0" w:color="auto"/>
          </w:divBdr>
        </w:div>
      </w:divsChild>
    </w:div>
    <w:div w:id="763645698">
      <w:bodyDiv w:val="1"/>
      <w:marLeft w:val="0"/>
      <w:marRight w:val="0"/>
      <w:marTop w:val="0"/>
      <w:marBottom w:val="0"/>
      <w:divBdr>
        <w:top w:val="none" w:sz="0" w:space="0" w:color="auto"/>
        <w:left w:val="none" w:sz="0" w:space="0" w:color="auto"/>
        <w:bottom w:val="none" w:sz="0" w:space="0" w:color="auto"/>
        <w:right w:val="none" w:sz="0" w:space="0" w:color="auto"/>
      </w:divBdr>
    </w:div>
    <w:div w:id="785079063">
      <w:bodyDiv w:val="1"/>
      <w:marLeft w:val="0"/>
      <w:marRight w:val="0"/>
      <w:marTop w:val="0"/>
      <w:marBottom w:val="0"/>
      <w:divBdr>
        <w:top w:val="none" w:sz="0" w:space="0" w:color="auto"/>
        <w:left w:val="none" w:sz="0" w:space="0" w:color="auto"/>
        <w:bottom w:val="none" w:sz="0" w:space="0" w:color="auto"/>
        <w:right w:val="none" w:sz="0" w:space="0" w:color="auto"/>
      </w:divBdr>
    </w:div>
    <w:div w:id="862941119">
      <w:bodyDiv w:val="1"/>
      <w:marLeft w:val="0"/>
      <w:marRight w:val="0"/>
      <w:marTop w:val="0"/>
      <w:marBottom w:val="0"/>
      <w:divBdr>
        <w:top w:val="none" w:sz="0" w:space="0" w:color="auto"/>
        <w:left w:val="none" w:sz="0" w:space="0" w:color="auto"/>
        <w:bottom w:val="none" w:sz="0" w:space="0" w:color="auto"/>
        <w:right w:val="none" w:sz="0" w:space="0" w:color="auto"/>
      </w:divBdr>
    </w:div>
    <w:div w:id="896744726">
      <w:bodyDiv w:val="1"/>
      <w:marLeft w:val="0"/>
      <w:marRight w:val="0"/>
      <w:marTop w:val="0"/>
      <w:marBottom w:val="0"/>
      <w:divBdr>
        <w:top w:val="none" w:sz="0" w:space="0" w:color="auto"/>
        <w:left w:val="none" w:sz="0" w:space="0" w:color="auto"/>
        <w:bottom w:val="none" w:sz="0" w:space="0" w:color="auto"/>
        <w:right w:val="none" w:sz="0" w:space="0" w:color="auto"/>
      </w:divBdr>
    </w:div>
    <w:div w:id="899287813">
      <w:bodyDiv w:val="1"/>
      <w:marLeft w:val="0"/>
      <w:marRight w:val="0"/>
      <w:marTop w:val="0"/>
      <w:marBottom w:val="0"/>
      <w:divBdr>
        <w:top w:val="none" w:sz="0" w:space="0" w:color="auto"/>
        <w:left w:val="none" w:sz="0" w:space="0" w:color="auto"/>
        <w:bottom w:val="none" w:sz="0" w:space="0" w:color="auto"/>
        <w:right w:val="none" w:sz="0" w:space="0" w:color="auto"/>
      </w:divBdr>
    </w:div>
    <w:div w:id="943030037">
      <w:bodyDiv w:val="1"/>
      <w:marLeft w:val="0"/>
      <w:marRight w:val="0"/>
      <w:marTop w:val="0"/>
      <w:marBottom w:val="0"/>
      <w:divBdr>
        <w:top w:val="none" w:sz="0" w:space="0" w:color="auto"/>
        <w:left w:val="none" w:sz="0" w:space="0" w:color="auto"/>
        <w:bottom w:val="none" w:sz="0" w:space="0" w:color="auto"/>
        <w:right w:val="none" w:sz="0" w:space="0" w:color="auto"/>
      </w:divBdr>
      <w:divsChild>
        <w:div w:id="1915431894">
          <w:marLeft w:val="0"/>
          <w:marRight w:val="0"/>
          <w:marTop w:val="0"/>
          <w:marBottom w:val="0"/>
          <w:divBdr>
            <w:top w:val="none" w:sz="0" w:space="0" w:color="auto"/>
            <w:left w:val="none" w:sz="0" w:space="0" w:color="auto"/>
            <w:bottom w:val="none" w:sz="0" w:space="0" w:color="auto"/>
            <w:right w:val="none" w:sz="0" w:space="0" w:color="auto"/>
          </w:divBdr>
        </w:div>
      </w:divsChild>
    </w:div>
    <w:div w:id="943345439">
      <w:bodyDiv w:val="1"/>
      <w:marLeft w:val="0"/>
      <w:marRight w:val="0"/>
      <w:marTop w:val="0"/>
      <w:marBottom w:val="0"/>
      <w:divBdr>
        <w:top w:val="none" w:sz="0" w:space="0" w:color="auto"/>
        <w:left w:val="none" w:sz="0" w:space="0" w:color="auto"/>
        <w:bottom w:val="none" w:sz="0" w:space="0" w:color="auto"/>
        <w:right w:val="none" w:sz="0" w:space="0" w:color="auto"/>
      </w:divBdr>
    </w:div>
    <w:div w:id="948243120">
      <w:bodyDiv w:val="1"/>
      <w:marLeft w:val="0"/>
      <w:marRight w:val="0"/>
      <w:marTop w:val="0"/>
      <w:marBottom w:val="0"/>
      <w:divBdr>
        <w:top w:val="none" w:sz="0" w:space="0" w:color="auto"/>
        <w:left w:val="none" w:sz="0" w:space="0" w:color="auto"/>
        <w:bottom w:val="none" w:sz="0" w:space="0" w:color="auto"/>
        <w:right w:val="none" w:sz="0" w:space="0" w:color="auto"/>
      </w:divBdr>
    </w:div>
    <w:div w:id="957487193">
      <w:bodyDiv w:val="1"/>
      <w:marLeft w:val="0"/>
      <w:marRight w:val="0"/>
      <w:marTop w:val="0"/>
      <w:marBottom w:val="0"/>
      <w:divBdr>
        <w:top w:val="none" w:sz="0" w:space="0" w:color="auto"/>
        <w:left w:val="none" w:sz="0" w:space="0" w:color="auto"/>
        <w:bottom w:val="none" w:sz="0" w:space="0" w:color="auto"/>
        <w:right w:val="none" w:sz="0" w:space="0" w:color="auto"/>
      </w:divBdr>
    </w:div>
    <w:div w:id="961033339">
      <w:bodyDiv w:val="1"/>
      <w:marLeft w:val="0"/>
      <w:marRight w:val="0"/>
      <w:marTop w:val="0"/>
      <w:marBottom w:val="0"/>
      <w:divBdr>
        <w:top w:val="none" w:sz="0" w:space="0" w:color="auto"/>
        <w:left w:val="none" w:sz="0" w:space="0" w:color="auto"/>
        <w:bottom w:val="none" w:sz="0" w:space="0" w:color="auto"/>
        <w:right w:val="none" w:sz="0" w:space="0" w:color="auto"/>
      </w:divBdr>
      <w:divsChild>
        <w:div w:id="796726191">
          <w:marLeft w:val="0"/>
          <w:marRight w:val="0"/>
          <w:marTop w:val="0"/>
          <w:marBottom w:val="0"/>
          <w:divBdr>
            <w:top w:val="none" w:sz="0" w:space="0" w:color="auto"/>
            <w:left w:val="none" w:sz="0" w:space="0" w:color="auto"/>
            <w:bottom w:val="none" w:sz="0" w:space="0" w:color="auto"/>
            <w:right w:val="none" w:sz="0" w:space="0" w:color="auto"/>
          </w:divBdr>
        </w:div>
      </w:divsChild>
    </w:div>
    <w:div w:id="968318424">
      <w:bodyDiv w:val="1"/>
      <w:marLeft w:val="0"/>
      <w:marRight w:val="0"/>
      <w:marTop w:val="0"/>
      <w:marBottom w:val="0"/>
      <w:divBdr>
        <w:top w:val="none" w:sz="0" w:space="0" w:color="auto"/>
        <w:left w:val="none" w:sz="0" w:space="0" w:color="auto"/>
        <w:bottom w:val="none" w:sz="0" w:space="0" w:color="auto"/>
        <w:right w:val="none" w:sz="0" w:space="0" w:color="auto"/>
      </w:divBdr>
    </w:div>
    <w:div w:id="971331481">
      <w:bodyDiv w:val="1"/>
      <w:marLeft w:val="0"/>
      <w:marRight w:val="0"/>
      <w:marTop w:val="0"/>
      <w:marBottom w:val="0"/>
      <w:divBdr>
        <w:top w:val="none" w:sz="0" w:space="0" w:color="auto"/>
        <w:left w:val="none" w:sz="0" w:space="0" w:color="auto"/>
        <w:bottom w:val="none" w:sz="0" w:space="0" w:color="auto"/>
        <w:right w:val="none" w:sz="0" w:space="0" w:color="auto"/>
      </w:divBdr>
    </w:div>
    <w:div w:id="978799305">
      <w:bodyDiv w:val="1"/>
      <w:marLeft w:val="0"/>
      <w:marRight w:val="0"/>
      <w:marTop w:val="0"/>
      <w:marBottom w:val="0"/>
      <w:divBdr>
        <w:top w:val="none" w:sz="0" w:space="0" w:color="auto"/>
        <w:left w:val="none" w:sz="0" w:space="0" w:color="auto"/>
        <w:bottom w:val="none" w:sz="0" w:space="0" w:color="auto"/>
        <w:right w:val="none" w:sz="0" w:space="0" w:color="auto"/>
      </w:divBdr>
    </w:div>
    <w:div w:id="993604386">
      <w:bodyDiv w:val="1"/>
      <w:marLeft w:val="0"/>
      <w:marRight w:val="0"/>
      <w:marTop w:val="0"/>
      <w:marBottom w:val="0"/>
      <w:divBdr>
        <w:top w:val="none" w:sz="0" w:space="0" w:color="auto"/>
        <w:left w:val="none" w:sz="0" w:space="0" w:color="auto"/>
        <w:bottom w:val="none" w:sz="0" w:space="0" w:color="auto"/>
        <w:right w:val="none" w:sz="0" w:space="0" w:color="auto"/>
      </w:divBdr>
    </w:div>
    <w:div w:id="994335346">
      <w:bodyDiv w:val="1"/>
      <w:marLeft w:val="0"/>
      <w:marRight w:val="0"/>
      <w:marTop w:val="0"/>
      <w:marBottom w:val="0"/>
      <w:divBdr>
        <w:top w:val="none" w:sz="0" w:space="0" w:color="auto"/>
        <w:left w:val="none" w:sz="0" w:space="0" w:color="auto"/>
        <w:bottom w:val="none" w:sz="0" w:space="0" w:color="auto"/>
        <w:right w:val="none" w:sz="0" w:space="0" w:color="auto"/>
      </w:divBdr>
      <w:divsChild>
        <w:div w:id="183329677">
          <w:marLeft w:val="1397"/>
          <w:marRight w:val="0"/>
          <w:marTop w:val="0"/>
          <w:marBottom w:val="0"/>
          <w:divBdr>
            <w:top w:val="none" w:sz="0" w:space="0" w:color="auto"/>
            <w:left w:val="none" w:sz="0" w:space="0" w:color="auto"/>
            <w:bottom w:val="none" w:sz="0" w:space="0" w:color="auto"/>
            <w:right w:val="none" w:sz="0" w:space="0" w:color="auto"/>
          </w:divBdr>
        </w:div>
        <w:div w:id="394934674">
          <w:marLeft w:val="1397"/>
          <w:marRight w:val="0"/>
          <w:marTop w:val="0"/>
          <w:marBottom w:val="0"/>
          <w:divBdr>
            <w:top w:val="none" w:sz="0" w:space="0" w:color="auto"/>
            <w:left w:val="none" w:sz="0" w:space="0" w:color="auto"/>
            <w:bottom w:val="none" w:sz="0" w:space="0" w:color="auto"/>
            <w:right w:val="none" w:sz="0" w:space="0" w:color="auto"/>
          </w:divBdr>
        </w:div>
        <w:div w:id="1189293668">
          <w:marLeft w:val="1397"/>
          <w:marRight w:val="0"/>
          <w:marTop w:val="0"/>
          <w:marBottom w:val="0"/>
          <w:divBdr>
            <w:top w:val="none" w:sz="0" w:space="0" w:color="auto"/>
            <w:left w:val="none" w:sz="0" w:space="0" w:color="auto"/>
            <w:bottom w:val="none" w:sz="0" w:space="0" w:color="auto"/>
            <w:right w:val="none" w:sz="0" w:space="0" w:color="auto"/>
          </w:divBdr>
        </w:div>
        <w:div w:id="1727487630">
          <w:marLeft w:val="1397"/>
          <w:marRight w:val="0"/>
          <w:marTop w:val="0"/>
          <w:marBottom w:val="0"/>
          <w:divBdr>
            <w:top w:val="none" w:sz="0" w:space="0" w:color="auto"/>
            <w:left w:val="none" w:sz="0" w:space="0" w:color="auto"/>
            <w:bottom w:val="none" w:sz="0" w:space="0" w:color="auto"/>
            <w:right w:val="none" w:sz="0" w:space="0" w:color="auto"/>
          </w:divBdr>
        </w:div>
      </w:divsChild>
    </w:div>
    <w:div w:id="1002005114">
      <w:bodyDiv w:val="1"/>
      <w:marLeft w:val="0"/>
      <w:marRight w:val="0"/>
      <w:marTop w:val="0"/>
      <w:marBottom w:val="0"/>
      <w:divBdr>
        <w:top w:val="none" w:sz="0" w:space="0" w:color="auto"/>
        <w:left w:val="none" w:sz="0" w:space="0" w:color="auto"/>
        <w:bottom w:val="none" w:sz="0" w:space="0" w:color="auto"/>
        <w:right w:val="none" w:sz="0" w:space="0" w:color="auto"/>
      </w:divBdr>
    </w:div>
    <w:div w:id="1033926142">
      <w:bodyDiv w:val="1"/>
      <w:marLeft w:val="0"/>
      <w:marRight w:val="0"/>
      <w:marTop w:val="0"/>
      <w:marBottom w:val="0"/>
      <w:divBdr>
        <w:top w:val="none" w:sz="0" w:space="0" w:color="auto"/>
        <w:left w:val="none" w:sz="0" w:space="0" w:color="auto"/>
        <w:bottom w:val="none" w:sz="0" w:space="0" w:color="auto"/>
        <w:right w:val="none" w:sz="0" w:space="0" w:color="auto"/>
      </w:divBdr>
    </w:div>
    <w:div w:id="1053962528">
      <w:bodyDiv w:val="1"/>
      <w:marLeft w:val="0"/>
      <w:marRight w:val="0"/>
      <w:marTop w:val="0"/>
      <w:marBottom w:val="0"/>
      <w:divBdr>
        <w:top w:val="none" w:sz="0" w:space="0" w:color="auto"/>
        <w:left w:val="none" w:sz="0" w:space="0" w:color="auto"/>
        <w:bottom w:val="none" w:sz="0" w:space="0" w:color="auto"/>
        <w:right w:val="none" w:sz="0" w:space="0" w:color="auto"/>
      </w:divBdr>
    </w:div>
    <w:div w:id="1071580502">
      <w:bodyDiv w:val="1"/>
      <w:marLeft w:val="0"/>
      <w:marRight w:val="0"/>
      <w:marTop w:val="0"/>
      <w:marBottom w:val="0"/>
      <w:divBdr>
        <w:top w:val="none" w:sz="0" w:space="0" w:color="auto"/>
        <w:left w:val="none" w:sz="0" w:space="0" w:color="auto"/>
        <w:bottom w:val="none" w:sz="0" w:space="0" w:color="auto"/>
        <w:right w:val="none" w:sz="0" w:space="0" w:color="auto"/>
      </w:divBdr>
    </w:div>
    <w:div w:id="1080103328">
      <w:bodyDiv w:val="1"/>
      <w:marLeft w:val="0"/>
      <w:marRight w:val="0"/>
      <w:marTop w:val="0"/>
      <w:marBottom w:val="0"/>
      <w:divBdr>
        <w:top w:val="none" w:sz="0" w:space="0" w:color="auto"/>
        <w:left w:val="none" w:sz="0" w:space="0" w:color="auto"/>
        <w:bottom w:val="none" w:sz="0" w:space="0" w:color="auto"/>
        <w:right w:val="none" w:sz="0" w:space="0" w:color="auto"/>
      </w:divBdr>
    </w:div>
    <w:div w:id="1085030953">
      <w:bodyDiv w:val="1"/>
      <w:marLeft w:val="0"/>
      <w:marRight w:val="0"/>
      <w:marTop w:val="0"/>
      <w:marBottom w:val="0"/>
      <w:divBdr>
        <w:top w:val="none" w:sz="0" w:space="0" w:color="auto"/>
        <w:left w:val="none" w:sz="0" w:space="0" w:color="auto"/>
        <w:bottom w:val="none" w:sz="0" w:space="0" w:color="auto"/>
        <w:right w:val="none" w:sz="0" w:space="0" w:color="auto"/>
      </w:divBdr>
      <w:divsChild>
        <w:div w:id="551356134">
          <w:marLeft w:val="547"/>
          <w:marRight w:val="0"/>
          <w:marTop w:val="0"/>
          <w:marBottom w:val="0"/>
          <w:divBdr>
            <w:top w:val="none" w:sz="0" w:space="0" w:color="auto"/>
            <w:left w:val="none" w:sz="0" w:space="0" w:color="auto"/>
            <w:bottom w:val="none" w:sz="0" w:space="0" w:color="auto"/>
            <w:right w:val="none" w:sz="0" w:space="0" w:color="auto"/>
          </w:divBdr>
        </w:div>
      </w:divsChild>
    </w:div>
    <w:div w:id="1098057637">
      <w:bodyDiv w:val="1"/>
      <w:marLeft w:val="0"/>
      <w:marRight w:val="0"/>
      <w:marTop w:val="0"/>
      <w:marBottom w:val="0"/>
      <w:divBdr>
        <w:top w:val="none" w:sz="0" w:space="0" w:color="auto"/>
        <w:left w:val="none" w:sz="0" w:space="0" w:color="auto"/>
        <w:bottom w:val="none" w:sz="0" w:space="0" w:color="auto"/>
        <w:right w:val="none" w:sz="0" w:space="0" w:color="auto"/>
      </w:divBdr>
    </w:div>
    <w:div w:id="1098603864">
      <w:bodyDiv w:val="1"/>
      <w:marLeft w:val="0"/>
      <w:marRight w:val="0"/>
      <w:marTop w:val="0"/>
      <w:marBottom w:val="0"/>
      <w:divBdr>
        <w:top w:val="none" w:sz="0" w:space="0" w:color="auto"/>
        <w:left w:val="none" w:sz="0" w:space="0" w:color="auto"/>
        <w:bottom w:val="none" w:sz="0" w:space="0" w:color="auto"/>
        <w:right w:val="none" w:sz="0" w:space="0" w:color="auto"/>
      </w:divBdr>
    </w:div>
    <w:div w:id="1100100559">
      <w:bodyDiv w:val="1"/>
      <w:marLeft w:val="0"/>
      <w:marRight w:val="0"/>
      <w:marTop w:val="0"/>
      <w:marBottom w:val="0"/>
      <w:divBdr>
        <w:top w:val="none" w:sz="0" w:space="0" w:color="auto"/>
        <w:left w:val="none" w:sz="0" w:space="0" w:color="auto"/>
        <w:bottom w:val="none" w:sz="0" w:space="0" w:color="auto"/>
        <w:right w:val="none" w:sz="0" w:space="0" w:color="auto"/>
      </w:divBdr>
    </w:div>
    <w:div w:id="1115253663">
      <w:bodyDiv w:val="1"/>
      <w:marLeft w:val="0"/>
      <w:marRight w:val="0"/>
      <w:marTop w:val="0"/>
      <w:marBottom w:val="0"/>
      <w:divBdr>
        <w:top w:val="none" w:sz="0" w:space="0" w:color="auto"/>
        <w:left w:val="none" w:sz="0" w:space="0" w:color="auto"/>
        <w:bottom w:val="none" w:sz="0" w:space="0" w:color="auto"/>
        <w:right w:val="none" w:sz="0" w:space="0" w:color="auto"/>
      </w:divBdr>
      <w:divsChild>
        <w:div w:id="232354098">
          <w:marLeft w:val="547"/>
          <w:marRight w:val="0"/>
          <w:marTop w:val="0"/>
          <w:marBottom w:val="0"/>
          <w:divBdr>
            <w:top w:val="none" w:sz="0" w:space="0" w:color="auto"/>
            <w:left w:val="none" w:sz="0" w:space="0" w:color="auto"/>
            <w:bottom w:val="none" w:sz="0" w:space="0" w:color="auto"/>
            <w:right w:val="none" w:sz="0" w:space="0" w:color="auto"/>
          </w:divBdr>
        </w:div>
      </w:divsChild>
    </w:div>
    <w:div w:id="1119950818">
      <w:bodyDiv w:val="1"/>
      <w:marLeft w:val="0"/>
      <w:marRight w:val="0"/>
      <w:marTop w:val="0"/>
      <w:marBottom w:val="0"/>
      <w:divBdr>
        <w:top w:val="none" w:sz="0" w:space="0" w:color="auto"/>
        <w:left w:val="none" w:sz="0" w:space="0" w:color="auto"/>
        <w:bottom w:val="none" w:sz="0" w:space="0" w:color="auto"/>
        <w:right w:val="none" w:sz="0" w:space="0" w:color="auto"/>
      </w:divBdr>
    </w:div>
    <w:div w:id="1131171069">
      <w:bodyDiv w:val="1"/>
      <w:marLeft w:val="0"/>
      <w:marRight w:val="0"/>
      <w:marTop w:val="0"/>
      <w:marBottom w:val="0"/>
      <w:divBdr>
        <w:top w:val="none" w:sz="0" w:space="0" w:color="auto"/>
        <w:left w:val="none" w:sz="0" w:space="0" w:color="auto"/>
        <w:bottom w:val="none" w:sz="0" w:space="0" w:color="auto"/>
        <w:right w:val="none" w:sz="0" w:space="0" w:color="auto"/>
      </w:divBdr>
    </w:div>
    <w:div w:id="1136533289">
      <w:bodyDiv w:val="1"/>
      <w:marLeft w:val="0"/>
      <w:marRight w:val="0"/>
      <w:marTop w:val="0"/>
      <w:marBottom w:val="0"/>
      <w:divBdr>
        <w:top w:val="none" w:sz="0" w:space="0" w:color="auto"/>
        <w:left w:val="none" w:sz="0" w:space="0" w:color="auto"/>
        <w:bottom w:val="none" w:sz="0" w:space="0" w:color="auto"/>
        <w:right w:val="none" w:sz="0" w:space="0" w:color="auto"/>
      </w:divBdr>
    </w:div>
    <w:div w:id="1146319830">
      <w:bodyDiv w:val="1"/>
      <w:marLeft w:val="0"/>
      <w:marRight w:val="0"/>
      <w:marTop w:val="0"/>
      <w:marBottom w:val="0"/>
      <w:divBdr>
        <w:top w:val="none" w:sz="0" w:space="0" w:color="auto"/>
        <w:left w:val="none" w:sz="0" w:space="0" w:color="auto"/>
        <w:bottom w:val="none" w:sz="0" w:space="0" w:color="auto"/>
        <w:right w:val="none" w:sz="0" w:space="0" w:color="auto"/>
      </w:divBdr>
    </w:div>
    <w:div w:id="1155949018">
      <w:bodyDiv w:val="1"/>
      <w:marLeft w:val="0"/>
      <w:marRight w:val="0"/>
      <w:marTop w:val="0"/>
      <w:marBottom w:val="0"/>
      <w:divBdr>
        <w:top w:val="none" w:sz="0" w:space="0" w:color="auto"/>
        <w:left w:val="none" w:sz="0" w:space="0" w:color="auto"/>
        <w:bottom w:val="none" w:sz="0" w:space="0" w:color="auto"/>
        <w:right w:val="none" w:sz="0" w:space="0" w:color="auto"/>
      </w:divBdr>
      <w:divsChild>
        <w:div w:id="1456679073">
          <w:marLeft w:val="547"/>
          <w:marRight w:val="0"/>
          <w:marTop w:val="0"/>
          <w:marBottom w:val="0"/>
          <w:divBdr>
            <w:top w:val="none" w:sz="0" w:space="0" w:color="auto"/>
            <w:left w:val="none" w:sz="0" w:space="0" w:color="auto"/>
            <w:bottom w:val="none" w:sz="0" w:space="0" w:color="auto"/>
            <w:right w:val="none" w:sz="0" w:space="0" w:color="auto"/>
          </w:divBdr>
        </w:div>
      </w:divsChild>
    </w:div>
    <w:div w:id="1159348366">
      <w:bodyDiv w:val="1"/>
      <w:marLeft w:val="0"/>
      <w:marRight w:val="0"/>
      <w:marTop w:val="0"/>
      <w:marBottom w:val="0"/>
      <w:divBdr>
        <w:top w:val="none" w:sz="0" w:space="0" w:color="auto"/>
        <w:left w:val="none" w:sz="0" w:space="0" w:color="auto"/>
        <w:bottom w:val="none" w:sz="0" w:space="0" w:color="auto"/>
        <w:right w:val="none" w:sz="0" w:space="0" w:color="auto"/>
      </w:divBdr>
    </w:div>
    <w:div w:id="1170483680">
      <w:bodyDiv w:val="1"/>
      <w:marLeft w:val="0"/>
      <w:marRight w:val="0"/>
      <w:marTop w:val="0"/>
      <w:marBottom w:val="0"/>
      <w:divBdr>
        <w:top w:val="none" w:sz="0" w:space="0" w:color="auto"/>
        <w:left w:val="none" w:sz="0" w:space="0" w:color="auto"/>
        <w:bottom w:val="none" w:sz="0" w:space="0" w:color="auto"/>
        <w:right w:val="none" w:sz="0" w:space="0" w:color="auto"/>
      </w:divBdr>
    </w:div>
    <w:div w:id="1177234778">
      <w:bodyDiv w:val="1"/>
      <w:marLeft w:val="0"/>
      <w:marRight w:val="0"/>
      <w:marTop w:val="0"/>
      <w:marBottom w:val="0"/>
      <w:divBdr>
        <w:top w:val="none" w:sz="0" w:space="0" w:color="auto"/>
        <w:left w:val="none" w:sz="0" w:space="0" w:color="auto"/>
        <w:bottom w:val="none" w:sz="0" w:space="0" w:color="auto"/>
        <w:right w:val="none" w:sz="0" w:space="0" w:color="auto"/>
      </w:divBdr>
    </w:div>
    <w:div w:id="1188367546">
      <w:bodyDiv w:val="1"/>
      <w:marLeft w:val="0"/>
      <w:marRight w:val="0"/>
      <w:marTop w:val="0"/>
      <w:marBottom w:val="0"/>
      <w:divBdr>
        <w:top w:val="none" w:sz="0" w:space="0" w:color="auto"/>
        <w:left w:val="none" w:sz="0" w:space="0" w:color="auto"/>
        <w:bottom w:val="none" w:sz="0" w:space="0" w:color="auto"/>
        <w:right w:val="none" w:sz="0" w:space="0" w:color="auto"/>
      </w:divBdr>
    </w:div>
    <w:div w:id="1197739052">
      <w:bodyDiv w:val="1"/>
      <w:marLeft w:val="0"/>
      <w:marRight w:val="0"/>
      <w:marTop w:val="0"/>
      <w:marBottom w:val="0"/>
      <w:divBdr>
        <w:top w:val="none" w:sz="0" w:space="0" w:color="auto"/>
        <w:left w:val="none" w:sz="0" w:space="0" w:color="auto"/>
        <w:bottom w:val="none" w:sz="0" w:space="0" w:color="auto"/>
        <w:right w:val="none" w:sz="0" w:space="0" w:color="auto"/>
      </w:divBdr>
    </w:div>
    <w:div w:id="1203635071">
      <w:bodyDiv w:val="1"/>
      <w:marLeft w:val="0"/>
      <w:marRight w:val="0"/>
      <w:marTop w:val="0"/>
      <w:marBottom w:val="0"/>
      <w:divBdr>
        <w:top w:val="none" w:sz="0" w:space="0" w:color="auto"/>
        <w:left w:val="none" w:sz="0" w:space="0" w:color="auto"/>
        <w:bottom w:val="none" w:sz="0" w:space="0" w:color="auto"/>
        <w:right w:val="none" w:sz="0" w:space="0" w:color="auto"/>
      </w:divBdr>
    </w:div>
    <w:div w:id="1218275045">
      <w:bodyDiv w:val="1"/>
      <w:marLeft w:val="0"/>
      <w:marRight w:val="0"/>
      <w:marTop w:val="0"/>
      <w:marBottom w:val="0"/>
      <w:divBdr>
        <w:top w:val="none" w:sz="0" w:space="0" w:color="auto"/>
        <w:left w:val="none" w:sz="0" w:space="0" w:color="auto"/>
        <w:bottom w:val="none" w:sz="0" w:space="0" w:color="auto"/>
        <w:right w:val="none" w:sz="0" w:space="0" w:color="auto"/>
      </w:divBdr>
    </w:div>
    <w:div w:id="1220635306">
      <w:bodyDiv w:val="1"/>
      <w:marLeft w:val="0"/>
      <w:marRight w:val="0"/>
      <w:marTop w:val="0"/>
      <w:marBottom w:val="0"/>
      <w:divBdr>
        <w:top w:val="none" w:sz="0" w:space="0" w:color="auto"/>
        <w:left w:val="none" w:sz="0" w:space="0" w:color="auto"/>
        <w:bottom w:val="none" w:sz="0" w:space="0" w:color="auto"/>
        <w:right w:val="none" w:sz="0" w:space="0" w:color="auto"/>
      </w:divBdr>
    </w:div>
    <w:div w:id="1223249824">
      <w:bodyDiv w:val="1"/>
      <w:marLeft w:val="0"/>
      <w:marRight w:val="0"/>
      <w:marTop w:val="0"/>
      <w:marBottom w:val="0"/>
      <w:divBdr>
        <w:top w:val="none" w:sz="0" w:space="0" w:color="auto"/>
        <w:left w:val="none" w:sz="0" w:space="0" w:color="auto"/>
        <w:bottom w:val="none" w:sz="0" w:space="0" w:color="auto"/>
        <w:right w:val="none" w:sz="0" w:space="0" w:color="auto"/>
      </w:divBdr>
    </w:div>
    <w:div w:id="1228342645">
      <w:bodyDiv w:val="1"/>
      <w:marLeft w:val="0"/>
      <w:marRight w:val="0"/>
      <w:marTop w:val="0"/>
      <w:marBottom w:val="0"/>
      <w:divBdr>
        <w:top w:val="none" w:sz="0" w:space="0" w:color="auto"/>
        <w:left w:val="none" w:sz="0" w:space="0" w:color="auto"/>
        <w:bottom w:val="none" w:sz="0" w:space="0" w:color="auto"/>
        <w:right w:val="none" w:sz="0" w:space="0" w:color="auto"/>
      </w:divBdr>
    </w:div>
    <w:div w:id="1236553246">
      <w:bodyDiv w:val="1"/>
      <w:marLeft w:val="0"/>
      <w:marRight w:val="0"/>
      <w:marTop w:val="0"/>
      <w:marBottom w:val="0"/>
      <w:divBdr>
        <w:top w:val="none" w:sz="0" w:space="0" w:color="auto"/>
        <w:left w:val="none" w:sz="0" w:space="0" w:color="auto"/>
        <w:bottom w:val="none" w:sz="0" w:space="0" w:color="auto"/>
        <w:right w:val="none" w:sz="0" w:space="0" w:color="auto"/>
      </w:divBdr>
      <w:divsChild>
        <w:div w:id="1675644892">
          <w:marLeft w:val="547"/>
          <w:marRight w:val="0"/>
          <w:marTop w:val="0"/>
          <w:marBottom w:val="0"/>
          <w:divBdr>
            <w:top w:val="none" w:sz="0" w:space="0" w:color="auto"/>
            <w:left w:val="none" w:sz="0" w:space="0" w:color="auto"/>
            <w:bottom w:val="none" w:sz="0" w:space="0" w:color="auto"/>
            <w:right w:val="none" w:sz="0" w:space="0" w:color="auto"/>
          </w:divBdr>
        </w:div>
      </w:divsChild>
    </w:div>
    <w:div w:id="1256017157">
      <w:bodyDiv w:val="1"/>
      <w:marLeft w:val="0"/>
      <w:marRight w:val="0"/>
      <w:marTop w:val="0"/>
      <w:marBottom w:val="0"/>
      <w:divBdr>
        <w:top w:val="none" w:sz="0" w:space="0" w:color="auto"/>
        <w:left w:val="none" w:sz="0" w:space="0" w:color="auto"/>
        <w:bottom w:val="none" w:sz="0" w:space="0" w:color="auto"/>
        <w:right w:val="none" w:sz="0" w:space="0" w:color="auto"/>
      </w:divBdr>
      <w:divsChild>
        <w:div w:id="1793472561">
          <w:marLeft w:val="547"/>
          <w:marRight w:val="0"/>
          <w:marTop w:val="0"/>
          <w:marBottom w:val="0"/>
          <w:divBdr>
            <w:top w:val="none" w:sz="0" w:space="0" w:color="auto"/>
            <w:left w:val="none" w:sz="0" w:space="0" w:color="auto"/>
            <w:bottom w:val="none" w:sz="0" w:space="0" w:color="auto"/>
            <w:right w:val="none" w:sz="0" w:space="0" w:color="auto"/>
          </w:divBdr>
        </w:div>
      </w:divsChild>
    </w:div>
    <w:div w:id="1319459604">
      <w:bodyDiv w:val="1"/>
      <w:marLeft w:val="0"/>
      <w:marRight w:val="0"/>
      <w:marTop w:val="0"/>
      <w:marBottom w:val="0"/>
      <w:divBdr>
        <w:top w:val="none" w:sz="0" w:space="0" w:color="auto"/>
        <w:left w:val="none" w:sz="0" w:space="0" w:color="auto"/>
        <w:bottom w:val="none" w:sz="0" w:space="0" w:color="auto"/>
        <w:right w:val="none" w:sz="0" w:space="0" w:color="auto"/>
      </w:divBdr>
    </w:div>
    <w:div w:id="1351225016">
      <w:bodyDiv w:val="1"/>
      <w:marLeft w:val="0"/>
      <w:marRight w:val="0"/>
      <w:marTop w:val="0"/>
      <w:marBottom w:val="0"/>
      <w:divBdr>
        <w:top w:val="none" w:sz="0" w:space="0" w:color="auto"/>
        <w:left w:val="none" w:sz="0" w:space="0" w:color="auto"/>
        <w:bottom w:val="none" w:sz="0" w:space="0" w:color="auto"/>
        <w:right w:val="none" w:sz="0" w:space="0" w:color="auto"/>
      </w:divBdr>
    </w:div>
    <w:div w:id="1356614219">
      <w:bodyDiv w:val="1"/>
      <w:marLeft w:val="0"/>
      <w:marRight w:val="0"/>
      <w:marTop w:val="0"/>
      <w:marBottom w:val="0"/>
      <w:divBdr>
        <w:top w:val="none" w:sz="0" w:space="0" w:color="auto"/>
        <w:left w:val="none" w:sz="0" w:space="0" w:color="auto"/>
        <w:bottom w:val="none" w:sz="0" w:space="0" w:color="auto"/>
        <w:right w:val="none" w:sz="0" w:space="0" w:color="auto"/>
      </w:divBdr>
    </w:div>
    <w:div w:id="1371296544">
      <w:bodyDiv w:val="1"/>
      <w:marLeft w:val="0"/>
      <w:marRight w:val="0"/>
      <w:marTop w:val="0"/>
      <w:marBottom w:val="0"/>
      <w:divBdr>
        <w:top w:val="none" w:sz="0" w:space="0" w:color="auto"/>
        <w:left w:val="none" w:sz="0" w:space="0" w:color="auto"/>
        <w:bottom w:val="none" w:sz="0" w:space="0" w:color="auto"/>
        <w:right w:val="none" w:sz="0" w:space="0" w:color="auto"/>
      </w:divBdr>
    </w:div>
    <w:div w:id="1374575399">
      <w:bodyDiv w:val="1"/>
      <w:marLeft w:val="0"/>
      <w:marRight w:val="0"/>
      <w:marTop w:val="0"/>
      <w:marBottom w:val="0"/>
      <w:divBdr>
        <w:top w:val="none" w:sz="0" w:space="0" w:color="auto"/>
        <w:left w:val="none" w:sz="0" w:space="0" w:color="auto"/>
        <w:bottom w:val="none" w:sz="0" w:space="0" w:color="auto"/>
        <w:right w:val="none" w:sz="0" w:space="0" w:color="auto"/>
      </w:divBdr>
      <w:divsChild>
        <w:div w:id="1206337486">
          <w:marLeft w:val="0"/>
          <w:marRight w:val="0"/>
          <w:marTop w:val="0"/>
          <w:marBottom w:val="0"/>
          <w:divBdr>
            <w:top w:val="none" w:sz="0" w:space="0" w:color="auto"/>
            <w:left w:val="none" w:sz="0" w:space="0" w:color="auto"/>
            <w:bottom w:val="none" w:sz="0" w:space="0" w:color="auto"/>
            <w:right w:val="none" w:sz="0" w:space="0" w:color="auto"/>
          </w:divBdr>
        </w:div>
      </w:divsChild>
    </w:div>
    <w:div w:id="1376084629">
      <w:bodyDiv w:val="1"/>
      <w:marLeft w:val="0"/>
      <w:marRight w:val="0"/>
      <w:marTop w:val="0"/>
      <w:marBottom w:val="0"/>
      <w:divBdr>
        <w:top w:val="none" w:sz="0" w:space="0" w:color="auto"/>
        <w:left w:val="none" w:sz="0" w:space="0" w:color="auto"/>
        <w:bottom w:val="none" w:sz="0" w:space="0" w:color="auto"/>
        <w:right w:val="none" w:sz="0" w:space="0" w:color="auto"/>
      </w:divBdr>
    </w:div>
    <w:div w:id="1379668355">
      <w:bodyDiv w:val="1"/>
      <w:marLeft w:val="0"/>
      <w:marRight w:val="0"/>
      <w:marTop w:val="0"/>
      <w:marBottom w:val="0"/>
      <w:divBdr>
        <w:top w:val="none" w:sz="0" w:space="0" w:color="auto"/>
        <w:left w:val="none" w:sz="0" w:space="0" w:color="auto"/>
        <w:bottom w:val="none" w:sz="0" w:space="0" w:color="auto"/>
        <w:right w:val="none" w:sz="0" w:space="0" w:color="auto"/>
      </w:divBdr>
    </w:div>
    <w:div w:id="1389259450">
      <w:bodyDiv w:val="1"/>
      <w:marLeft w:val="0"/>
      <w:marRight w:val="0"/>
      <w:marTop w:val="0"/>
      <w:marBottom w:val="0"/>
      <w:divBdr>
        <w:top w:val="none" w:sz="0" w:space="0" w:color="auto"/>
        <w:left w:val="none" w:sz="0" w:space="0" w:color="auto"/>
        <w:bottom w:val="none" w:sz="0" w:space="0" w:color="auto"/>
        <w:right w:val="none" w:sz="0" w:space="0" w:color="auto"/>
      </w:divBdr>
    </w:div>
    <w:div w:id="1399477638">
      <w:bodyDiv w:val="1"/>
      <w:marLeft w:val="0"/>
      <w:marRight w:val="0"/>
      <w:marTop w:val="0"/>
      <w:marBottom w:val="0"/>
      <w:divBdr>
        <w:top w:val="none" w:sz="0" w:space="0" w:color="auto"/>
        <w:left w:val="none" w:sz="0" w:space="0" w:color="auto"/>
        <w:bottom w:val="none" w:sz="0" w:space="0" w:color="auto"/>
        <w:right w:val="none" w:sz="0" w:space="0" w:color="auto"/>
      </w:divBdr>
    </w:div>
    <w:div w:id="1400401891">
      <w:bodyDiv w:val="1"/>
      <w:marLeft w:val="0"/>
      <w:marRight w:val="0"/>
      <w:marTop w:val="0"/>
      <w:marBottom w:val="0"/>
      <w:divBdr>
        <w:top w:val="none" w:sz="0" w:space="0" w:color="auto"/>
        <w:left w:val="none" w:sz="0" w:space="0" w:color="auto"/>
        <w:bottom w:val="none" w:sz="0" w:space="0" w:color="auto"/>
        <w:right w:val="none" w:sz="0" w:space="0" w:color="auto"/>
      </w:divBdr>
    </w:div>
    <w:div w:id="1403523019">
      <w:bodyDiv w:val="1"/>
      <w:marLeft w:val="0"/>
      <w:marRight w:val="0"/>
      <w:marTop w:val="0"/>
      <w:marBottom w:val="0"/>
      <w:divBdr>
        <w:top w:val="none" w:sz="0" w:space="0" w:color="auto"/>
        <w:left w:val="none" w:sz="0" w:space="0" w:color="auto"/>
        <w:bottom w:val="none" w:sz="0" w:space="0" w:color="auto"/>
        <w:right w:val="none" w:sz="0" w:space="0" w:color="auto"/>
      </w:divBdr>
    </w:div>
    <w:div w:id="1404332513">
      <w:bodyDiv w:val="1"/>
      <w:marLeft w:val="0"/>
      <w:marRight w:val="0"/>
      <w:marTop w:val="0"/>
      <w:marBottom w:val="0"/>
      <w:divBdr>
        <w:top w:val="none" w:sz="0" w:space="0" w:color="auto"/>
        <w:left w:val="none" w:sz="0" w:space="0" w:color="auto"/>
        <w:bottom w:val="none" w:sz="0" w:space="0" w:color="auto"/>
        <w:right w:val="none" w:sz="0" w:space="0" w:color="auto"/>
      </w:divBdr>
    </w:div>
    <w:div w:id="1410691744">
      <w:bodyDiv w:val="1"/>
      <w:marLeft w:val="0"/>
      <w:marRight w:val="0"/>
      <w:marTop w:val="0"/>
      <w:marBottom w:val="0"/>
      <w:divBdr>
        <w:top w:val="none" w:sz="0" w:space="0" w:color="auto"/>
        <w:left w:val="none" w:sz="0" w:space="0" w:color="auto"/>
        <w:bottom w:val="none" w:sz="0" w:space="0" w:color="auto"/>
        <w:right w:val="none" w:sz="0" w:space="0" w:color="auto"/>
      </w:divBdr>
    </w:div>
    <w:div w:id="1412966539">
      <w:bodyDiv w:val="1"/>
      <w:marLeft w:val="0"/>
      <w:marRight w:val="0"/>
      <w:marTop w:val="0"/>
      <w:marBottom w:val="0"/>
      <w:divBdr>
        <w:top w:val="none" w:sz="0" w:space="0" w:color="auto"/>
        <w:left w:val="none" w:sz="0" w:space="0" w:color="auto"/>
        <w:bottom w:val="none" w:sz="0" w:space="0" w:color="auto"/>
        <w:right w:val="none" w:sz="0" w:space="0" w:color="auto"/>
      </w:divBdr>
    </w:div>
    <w:div w:id="1450390502">
      <w:bodyDiv w:val="1"/>
      <w:marLeft w:val="0"/>
      <w:marRight w:val="0"/>
      <w:marTop w:val="0"/>
      <w:marBottom w:val="0"/>
      <w:divBdr>
        <w:top w:val="none" w:sz="0" w:space="0" w:color="auto"/>
        <w:left w:val="none" w:sz="0" w:space="0" w:color="auto"/>
        <w:bottom w:val="none" w:sz="0" w:space="0" w:color="auto"/>
        <w:right w:val="none" w:sz="0" w:space="0" w:color="auto"/>
      </w:divBdr>
    </w:div>
    <w:div w:id="1462380950">
      <w:bodyDiv w:val="1"/>
      <w:marLeft w:val="0"/>
      <w:marRight w:val="0"/>
      <w:marTop w:val="0"/>
      <w:marBottom w:val="0"/>
      <w:divBdr>
        <w:top w:val="none" w:sz="0" w:space="0" w:color="auto"/>
        <w:left w:val="none" w:sz="0" w:space="0" w:color="auto"/>
        <w:bottom w:val="none" w:sz="0" w:space="0" w:color="auto"/>
        <w:right w:val="none" w:sz="0" w:space="0" w:color="auto"/>
      </w:divBdr>
      <w:divsChild>
        <w:div w:id="1576087324">
          <w:marLeft w:val="1397"/>
          <w:marRight w:val="0"/>
          <w:marTop w:val="0"/>
          <w:marBottom w:val="0"/>
          <w:divBdr>
            <w:top w:val="none" w:sz="0" w:space="0" w:color="auto"/>
            <w:left w:val="none" w:sz="0" w:space="0" w:color="auto"/>
            <w:bottom w:val="none" w:sz="0" w:space="0" w:color="auto"/>
            <w:right w:val="none" w:sz="0" w:space="0" w:color="auto"/>
          </w:divBdr>
        </w:div>
      </w:divsChild>
    </w:div>
    <w:div w:id="1464274546">
      <w:bodyDiv w:val="1"/>
      <w:marLeft w:val="0"/>
      <w:marRight w:val="0"/>
      <w:marTop w:val="0"/>
      <w:marBottom w:val="0"/>
      <w:divBdr>
        <w:top w:val="none" w:sz="0" w:space="0" w:color="auto"/>
        <w:left w:val="none" w:sz="0" w:space="0" w:color="auto"/>
        <w:bottom w:val="none" w:sz="0" w:space="0" w:color="auto"/>
        <w:right w:val="none" w:sz="0" w:space="0" w:color="auto"/>
      </w:divBdr>
    </w:div>
    <w:div w:id="1472943447">
      <w:bodyDiv w:val="1"/>
      <w:marLeft w:val="0"/>
      <w:marRight w:val="0"/>
      <w:marTop w:val="0"/>
      <w:marBottom w:val="0"/>
      <w:divBdr>
        <w:top w:val="none" w:sz="0" w:space="0" w:color="auto"/>
        <w:left w:val="none" w:sz="0" w:space="0" w:color="auto"/>
        <w:bottom w:val="none" w:sz="0" w:space="0" w:color="auto"/>
        <w:right w:val="none" w:sz="0" w:space="0" w:color="auto"/>
      </w:divBdr>
    </w:div>
    <w:div w:id="1479810296">
      <w:bodyDiv w:val="1"/>
      <w:marLeft w:val="0"/>
      <w:marRight w:val="0"/>
      <w:marTop w:val="0"/>
      <w:marBottom w:val="0"/>
      <w:divBdr>
        <w:top w:val="none" w:sz="0" w:space="0" w:color="auto"/>
        <w:left w:val="none" w:sz="0" w:space="0" w:color="auto"/>
        <w:bottom w:val="none" w:sz="0" w:space="0" w:color="auto"/>
        <w:right w:val="none" w:sz="0" w:space="0" w:color="auto"/>
      </w:divBdr>
      <w:divsChild>
        <w:div w:id="1415129754">
          <w:marLeft w:val="0"/>
          <w:marRight w:val="0"/>
          <w:marTop w:val="0"/>
          <w:marBottom w:val="0"/>
          <w:divBdr>
            <w:top w:val="none" w:sz="0" w:space="0" w:color="auto"/>
            <w:left w:val="none" w:sz="0" w:space="0" w:color="auto"/>
            <w:bottom w:val="none" w:sz="0" w:space="0" w:color="auto"/>
            <w:right w:val="none" w:sz="0" w:space="0" w:color="auto"/>
          </w:divBdr>
        </w:div>
      </w:divsChild>
    </w:div>
    <w:div w:id="1480264411">
      <w:bodyDiv w:val="1"/>
      <w:marLeft w:val="0"/>
      <w:marRight w:val="0"/>
      <w:marTop w:val="0"/>
      <w:marBottom w:val="0"/>
      <w:divBdr>
        <w:top w:val="none" w:sz="0" w:space="0" w:color="auto"/>
        <w:left w:val="none" w:sz="0" w:space="0" w:color="auto"/>
        <w:bottom w:val="none" w:sz="0" w:space="0" w:color="auto"/>
        <w:right w:val="none" w:sz="0" w:space="0" w:color="auto"/>
      </w:divBdr>
    </w:div>
    <w:div w:id="1484664741">
      <w:bodyDiv w:val="1"/>
      <w:marLeft w:val="0"/>
      <w:marRight w:val="0"/>
      <w:marTop w:val="0"/>
      <w:marBottom w:val="0"/>
      <w:divBdr>
        <w:top w:val="none" w:sz="0" w:space="0" w:color="auto"/>
        <w:left w:val="none" w:sz="0" w:space="0" w:color="auto"/>
        <w:bottom w:val="none" w:sz="0" w:space="0" w:color="auto"/>
        <w:right w:val="none" w:sz="0" w:space="0" w:color="auto"/>
      </w:divBdr>
    </w:div>
    <w:div w:id="1495681382">
      <w:bodyDiv w:val="1"/>
      <w:marLeft w:val="0"/>
      <w:marRight w:val="0"/>
      <w:marTop w:val="0"/>
      <w:marBottom w:val="0"/>
      <w:divBdr>
        <w:top w:val="none" w:sz="0" w:space="0" w:color="auto"/>
        <w:left w:val="none" w:sz="0" w:space="0" w:color="auto"/>
        <w:bottom w:val="none" w:sz="0" w:space="0" w:color="auto"/>
        <w:right w:val="none" w:sz="0" w:space="0" w:color="auto"/>
      </w:divBdr>
    </w:div>
    <w:div w:id="1502699130">
      <w:bodyDiv w:val="1"/>
      <w:marLeft w:val="0"/>
      <w:marRight w:val="0"/>
      <w:marTop w:val="0"/>
      <w:marBottom w:val="0"/>
      <w:divBdr>
        <w:top w:val="none" w:sz="0" w:space="0" w:color="auto"/>
        <w:left w:val="none" w:sz="0" w:space="0" w:color="auto"/>
        <w:bottom w:val="none" w:sz="0" w:space="0" w:color="auto"/>
        <w:right w:val="none" w:sz="0" w:space="0" w:color="auto"/>
      </w:divBdr>
    </w:div>
    <w:div w:id="1510294160">
      <w:bodyDiv w:val="1"/>
      <w:marLeft w:val="0"/>
      <w:marRight w:val="0"/>
      <w:marTop w:val="0"/>
      <w:marBottom w:val="0"/>
      <w:divBdr>
        <w:top w:val="none" w:sz="0" w:space="0" w:color="auto"/>
        <w:left w:val="none" w:sz="0" w:space="0" w:color="auto"/>
        <w:bottom w:val="none" w:sz="0" w:space="0" w:color="auto"/>
        <w:right w:val="none" w:sz="0" w:space="0" w:color="auto"/>
      </w:divBdr>
    </w:div>
    <w:div w:id="1526938025">
      <w:bodyDiv w:val="1"/>
      <w:marLeft w:val="0"/>
      <w:marRight w:val="0"/>
      <w:marTop w:val="0"/>
      <w:marBottom w:val="0"/>
      <w:divBdr>
        <w:top w:val="none" w:sz="0" w:space="0" w:color="auto"/>
        <w:left w:val="none" w:sz="0" w:space="0" w:color="auto"/>
        <w:bottom w:val="none" w:sz="0" w:space="0" w:color="auto"/>
        <w:right w:val="none" w:sz="0" w:space="0" w:color="auto"/>
      </w:divBdr>
      <w:divsChild>
        <w:div w:id="646477840">
          <w:marLeft w:val="360"/>
          <w:marRight w:val="0"/>
          <w:marTop w:val="200"/>
          <w:marBottom w:val="0"/>
          <w:divBdr>
            <w:top w:val="none" w:sz="0" w:space="0" w:color="auto"/>
            <w:left w:val="none" w:sz="0" w:space="0" w:color="auto"/>
            <w:bottom w:val="none" w:sz="0" w:space="0" w:color="auto"/>
            <w:right w:val="none" w:sz="0" w:space="0" w:color="auto"/>
          </w:divBdr>
        </w:div>
        <w:div w:id="1562591666">
          <w:marLeft w:val="360"/>
          <w:marRight w:val="0"/>
          <w:marTop w:val="200"/>
          <w:marBottom w:val="0"/>
          <w:divBdr>
            <w:top w:val="none" w:sz="0" w:space="0" w:color="auto"/>
            <w:left w:val="none" w:sz="0" w:space="0" w:color="auto"/>
            <w:bottom w:val="none" w:sz="0" w:space="0" w:color="auto"/>
            <w:right w:val="none" w:sz="0" w:space="0" w:color="auto"/>
          </w:divBdr>
        </w:div>
      </w:divsChild>
    </w:div>
    <w:div w:id="1528711955">
      <w:bodyDiv w:val="1"/>
      <w:marLeft w:val="0"/>
      <w:marRight w:val="0"/>
      <w:marTop w:val="0"/>
      <w:marBottom w:val="0"/>
      <w:divBdr>
        <w:top w:val="none" w:sz="0" w:space="0" w:color="auto"/>
        <w:left w:val="none" w:sz="0" w:space="0" w:color="auto"/>
        <w:bottom w:val="none" w:sz="0" w:space="0" w:color="auto"/>
        <w:right w:val="none" w:sz="0" w:space="0" w:color="auto"/>
      </w:divBdr>
    </w:div>
    <w:div w:id="1542356545">
      <w:bodyDiv w:val="1"/>
      <w:marLeft w:val="0"/>
      <w:marRight w:val="0"/>
      <w:marTop w:val="0"/>
      <w:marBottom w:val="0"/>
      <w:divBdr>
        <w:top w:val="none" w:sz="0" w:space="0" w:color="auto"/>
        <w:left w:val="none" w:sz="0" w:space="0" w:color="auto"/>
        <w:bottom w:val="none" w:sz="0" w:space="0" w:color="auto"/>
        <w:right w:val="none" w:sz="0" w:space="0" w:color="auto"/>
      </w:divBdr>
    </w:div>
    <w:div w:id="1550726546">
      <w:bodyDiv w:val="1"/>
      <w:marLeft w:val="0"/>
      <w:marRight w:val="0"/>
      <w:marTop w:val="0"/>
      <w:marBottom w:val="0"/>
      <w:divBdr>
        <w:top w:val="none" w:sz="0" w:space="0" w:color="auto"/>
        <w:left w:val="none" w:sz="0" w:space="0" w:color="auto"/>
        <w:bottom w:val="none" w:sz="0" w:space="0" w:color="auto"/>
        <w:right w:val="none" w:sz="0" w:space="0" w:color="auto"/>
      </w:divBdr>
      <w:divsChild>
        <w:div w:id="561983464">
          <w:marLeft w:val="1397"/>
          <w:marRight w:val="0"/>
          <w:marTop w:val="0"/>
          <w:marBottom w:val="0"/>
          <w:divBdr>
            <w:top w:val="none" w:sz="0" w:space="0" w:color="auto"/>
            <w:left w:val="none" w:sz="0" w:space="0" w:color="auto"/>
            <w:bottom w:val="none" w:sz="0" w:space="0" w:color="auto"/>
            <w:right w:val="none" w:sz="0" w:space="0" w:color="auto"/>
          </w:divBdr>
        </w:div>
      </w:divsChild>
    </w:div>
    <w:div w:id="1570846061">
      <w:bodyDiv w:val="1"/>
      <w:marLeft w:val="0"/>
      <w:marRight w:val="0"/>
      <w:marTop w:val="0"/>
      <w:marBottom w:val="0"/>
      <w:divBdr>
        <w:top w:val="none" w:sz="0" w:space="0" w:color="auto"/>
        <w:left w:val="none" w:sz="0" w:space="0" w:color="auto"/>
        <w:bottom w:val="none" w:sz="0" w:space="0" w:color="auto"/>
        <w:right w:val="none" w:sz="0" w:space="0" w:color="auto"/>
      </w:divBdr>
      <w:divsChild>
        <w:div w:id="1663436576">
          <w:marLeft w:val="1397"/>
          <w:marRight w:val="0"/>
          <w:marTop w:val="0"/>
          <w:marBottom w:val="0"/>
          <w:divBdr>
            <w:top w:val="none" w:sz="0" w:space="0" w:color="auto"/>
            <w:left w:val="none" w:sz="0" w:space="0" w:color="auto"/>
            <w:bottom w:val="none" w:sz="0" w:space="0" w:color="auto"/>
            <w:right w:val="none" w:sz="0" w:space="0" w:color="auto"/>
          </w:divBdr>
        </w:div>
      </w:divsChild>
    </w:div>
    <w:div w:id="1584335898">
      <w:bodyDiv w:val="1"/>
      <w:marLeft w:val="0"/>
      <w:marRight w:val="0"/>
      <w:marTop w:val="0"/>
      <w:marBottom w:val="0"/>
      <w:divBdr>
        <w:top w:val="none" w:sz="0" w:space="0" w:color="auto"/>
        <w:left w:val="none" w:sz="0" w:space="0" w:color="auto"/>
        <w:bottom w:val="none" w:sz="0" w:space="0" w:color="auto"/>
        <w:right w:val="none" w:sz="0" w:space="0" w:color="auto"/>
      </w:divBdr>
    </w:div>
    <w:div w:id="1594630850">
      <w:bodyDiv w:val="1"/>
      <w:marLeft w:val="0"/>
      <w:marRight w:val="0"/>
      <w:marTop w:val="0"/>
      <w:marBottom w:val="0"/>
      <w:divBdr>
        <w:top w:val="none" w:sz="0" w:space="0" w:color="auto"/>
        <w:left w:val="none" w:sz="0" w:space="0" w:color="auto"/>
        <w:bottom w:val="none" w:sz="0" w:space="0" w:color="auto"/>
        <w:right w:val="none" w:sz="0" w:space="0" w:color="auto"/>
      </w:divBdr>
      <w:divsChild>
        <w:div w:id="148249451">
          <w:marLeft w:val="1397"/>
          <w:marRight w:val="0"/>
          <w:marTop w:val="0"/>
          <w:marBottom w:val="0"/>
          <w:divBdr>
            <w:top w:val="none" w:sz="0" w:space="0" w:color="auto"/>
            <w:left w:val="none" w:sz="0" w:space="0" w:color="auto"/>
            <w:bottom w:val="none" w:sz="0" w:space="0" w:color="auto"/>
            <w:right w:val="none" w:sz="0" w:space="0" w:color="auto"/>
          </w:divBdr>
        </w:div>
      </w:divsChild>
    </w:div>
    <w:div w:id="1625885638">
      <w:bodyDiv w:val="1"/>
      <w:marLeft w:val="0"/>
      <w:marRight w:val="0"/>
      <w:marTop w:val="0"/>
      <w:marBottom w:val="0"/>
      <w:divBdr>
        <w:top w:val="none" w:sz="0" w:space="0" w:color="auto"/>
        <w:left w:val="none" w:sz="0" w:space="0" w:color="auto"/>
        <w:bottom w:val="none" w:sz="0" w:space="0" w:color="auto"/>
        <w:right w:val="none" w:sz="0" w:space="0" w:color="auto"/>
      </w:divBdr>
      <w:divsChild>
        <w:div w:id="1310865328">
          <w:marLeft w:val="0"/>
          <w:marRight w:val="0"/>
          <w:marTop w:val="0"/>
          <w:marBottom w:val="0"/>
          <w:divBdr>
            <w:top w:val="none" w:sz="0" w:space="0" w:color="auto"/>
            <w:left w:val="none" w:sz="0" w:space="0" w:color="auto"/>
            <w:bottom w:val="none" w:sz="0" w:space="0" w:color="auto"/>
            <w:right w:val="none" w:sz="0" w:space="0" w:color="auto"/>
          </w:divBdr>
        </w:div>
      </w:divsChild>
    </w:div>
    <w:div w:id="1639920866">
      <w:bodyDiv w:val="1"/>
      <w:marLeft w:val="0"/>
      <w:marRight w:val="0"/>
      <w:marTop w:val="0"/>
      <w:marBottom w:val="0"/>
      <w:divBdr>
        <w:top w:val="none" w:sz="0" w:space="0" w:color="auto"/>
        <w:left w:val="none" w:sz="0" w:space="0" w:color="auto"/>
        <w:bottom w:val="none" w:sz="0" w:space="0" w:color="auto"/>
        <w:right w:val="none" w:sz="0" w:space="0" w:color="auto"/>
      </w:divBdr>
    </w:div>
    <w:div w:id="1649088113">
      <w:bodyDiv w:val="1"/>
      <w:marLeft w:val="0"/>
      <w:marRight w:val="0"/>
      <w:marTop w:val="0"/>
      <w:marBottom w:val="0"/>
      <w:divBdr>
        <w:top w:val="none" w:sz="0" w:space="0" w:color="auto"/>
        <w:left w:val="none" w:sz="0" w:space="0" w:color="auto"/>
        <w:bottom w:val="none" w:sz="0" w:space="0" w:color="auto"/>
        <w:right w:val="none" w:sz="0" w:space="0" w:color="auto"/>
      </w:divBdr>
    </w:div>
    <w:div w:id="1656715193">
      <w:bodyDiv w:val="1"/>
      <w:marLeft w:val="0"/>
      <w:marRight w:val="0"/>
      <w:marTop w:val="0"/>
      <w:marBottom w:val="0"/>
      <w:divBdr>
        <w:top w:val="none" w:sz="0" w:space="0" w:color="auto"/>
        <w:left w:val="none" w:sz="0" w:space="0" w:color="auto"/>
        <w:bottom w:val="none" w:sz="0" w:space="0" w:color="auto"/>
        <w:right w:val="none" w:sz="0" w:space="0" w:color="auto"/>
      </w:divBdr>
    </w:div>
    <w:div w:id="1677419380">
      <w:bodyDiv w:val="1"/>
      <w:marLeft w:val="0"/>
      <w:marRight w:val="0"/>
      <w:marTop w:val="0"/>
      <w:marBottom w:val="0"/>
      <w:divBdr>
        <w:top w:val="none" w:sz="0" w:space="0" w:color="auto"/>
        <w:left w:val="none" w:sz="0" w:space="0" w:color="auto"/>
        <w:bottom w:val="none" w:sz="0" w:space="0" w:color="auto"/>
        <w:right w:val="none" w:sz="0" w:space="0" w:color="auto"/>
      </w:divBdr>
    </w:div>
    <w:div w:id="1685741873">
      <w:bodyDiv w:val="1"/>
      <w:marLeft w:val="0"/>
      <w:marRight w:val="0"/>
      <w:marTop w:val="0"/>
      <w:marBottom w:val="0"/>
      <w:divBdr>
        <w:top w:val="none" w:sz="0" w:space="0" w:color="auto"/>
        <w:left w:val="none" w:sz="0" w:space="0" w:color="auto"/>
        <w:bottom w:val="none" w:sz="0" w:space="0" w:color="auto"/>
        <w:right w:val="none" w:sz="0" w:space="0" w:color="auto"/>
      </w:divBdr>
    </w:div>
    <w:div w:id="1686860185">
      <w:bodyDiv w:val="1"/>
      <w:marLeft w:val="0"/>
      <w:marRight w:val="0"/>
      <w:marTop w:val="0"/>
      <w:marBottom w:val="0"/>
      <w:divBdr>
        <w:top w:val="none" w:sz="0" w:space="0" w:color="auto"/>
        <w:left w:val="none" w:sz="0" w:space="0" w:color="auto"/>
        <w:bottom w:val="none" w:sz="0" w:space="0" w:color="auto"/>
        <w:right w:val="none" w:sz="0" w:space="0" w:color="auto"/>
      </w:divBdr>
    </w:div>
    <w:div w:id="1726638824">
      <w:bodyDiv w:val="1"/>
      <w:marLeft w:val="0"/>
      <w:marRight w:val="0"/>
      <w:marTop w:val="0"/>
      <w:marBottom w:val="0"/>
      <w:divBdr>
        <w:top w:val="none" w:sz="0" w:space="0" w:color="auto"/>
        <w:left w:val="none" w:sz="0" w:space="0" w:color="auto"/>
        <w:bottom w:val="none" w:sz="0" w:space="0" w:color="auto"/>
        <w:right w:val="none" w:sz="0" w:space="0" w:color="auto"/>
      </w:divBdr>
    </w:div>
    <w:div w:id="1740209561">
      <w:bodyDiv w:val="1"/>
      <w:marLeft w:val="0"/>
      <w:marRight w:val="0"/>
      <w:marTop w:val="0"/>
      <w:marBottom w:val="0"/>
      <w:divBdr>
        <w:top w:val="none" w:sz="0" w:space="0" w:color="auto"/>
        <w:left w:val="none" w:sz="0" w:space="0" w:color="auto"/>
        <w:bottom w:val="none" w:sz="0" w:space="0" w:color="auto"/>
        <w:right w:val="none" w:sz="0" w:space="0" w:color="auto"/>
      </w:divBdr>
    </w:div>
    <w:div w:id="1741171466">
      <w:bodyDiv w:val="1"/>
      <w:marLeft w:val="0"/>
      <w:marRight w:val="0"/>
      <w:marTop w:val="0"/>
      <w:marBottom w:val="0"/>
      <w:divBdr>
        <w:top w:val="none" w:sz="0" w:space="0" w:color="auto"/>
        <w:left w:val="none" w:sz="0" w:space="0" w:color="auto"/>
        <w:bottom w:val="none" w:sz="0" w:space="0" w:color="auto"/>
        <w:right w:val="none" w:sz="0" w:space="0" w:color="auto"/>
      </w:divBdr>
    </w:div>
    <w:div w:id="1749765745">
      <w:bodyDiv w:val="1"/>
      <w:marLeft w:val="0"/>
      <w:marRight w:val="0"/>
      <w:marTop w:val="0"/>
      <w:marBottom w:val="0"/>
      <w:divBdr>
        <w:top w:val="none" w:sz="0" w:space="0" w:color="auto"/>
        <w:left w:val="none" w:sz="0" w:space="0" w:color="auto"/>
        <w:bottom w:val="none" w:sz="0" w:space="0" w:color="auto"/>
        <w:right w:val="none" w:sz="0" w:space="0" w:color="auto"/>
      </w:divBdr>
    </w:div>
    <w:div w:id="1781409456">
      <w:bodyDiv w:val="1"/>
      <w:marLeft w:val="0"/>
      <w:marRight w:val="0"/>
      <w:marTop w:val="0"/>
      <w:marBottom w:val="0"/>
      <w:divBdr>
        <w:top w:val="none" w:sz="0" w:space="0" w:color="auto"/>
        <w:left w:val="none" w:sz="0" w:space="0" w:color="auto"/>
        <w:bottom w:val="none" w:sz="0" w:space="0" w:color="auto"/>
        <w:right w:val="none" w:sz="0" w:space="0" w:color="auto"/>
      </w:divBdr>
    </w:div>
    <w:div w:id="1801872965">
      <w:bodyDiv w:val="1"/>
      <w:marLeft w:val="0"/>
      <w:marRight w:val="0"/>
      <w:marTop w:val="0"/>
      <w:marBottom w:val="0"/>
      <w:divBdr>
        <w:top w:val="none" w:sz="0" w:space="0" w:color="auto"/>
        <w:left w:val="none" w:sz="0" w:space="0" w:color="auto"/>
        <w:bottom w:val="none" w:sz="0" w:space="0" w:color="auto"/>
        <w:right w:val="none" w:sz="0" w:space="0" w:color="auto"/>
      </w:divBdr>
      <w:divsChild>
        <w:div w:id="1170605456">
          <w:marLeft w:val="1397"/>
          <w:marRight w:val="0"/>
          <w:marTop w:val="0"/>
          <w:marBottom w:val="0"/>
          <w:divBdr>
            <w:top w:val="none" w:sz="0" w:space="0" w:color="auto"/>
            <w:left w:val="none" w:sz="0" w:space="0" w:color="auto"/>
            <w:bottom w:val="none" w:sz="0" w:space="0" w:color="auto"/>
            <w:right w:val="none" w:sz="0" w:space="0" w:color="auto"/>
          </w:divBdr>
        </w:div>
      </w:divsChild>
    </w:div>
    <w:div w:id="1806390646">
      <w:bodyDiv w:val="1"/>
      <w:marLeft w:val="0"/>
      <w:marRight w:val="0"/>
      <w:marTop w:val="0"/>
      <w:marBottom w:val="0"/>
      <w:divBdr>
        <w:top w:val="none" w:sz="0" w:space="0" w:color="auto"/>
        <w:left w:val="none" w:sz="0" w:space="0" w:color="auto"/>
        <w:bottom w:val="none" w:sz="0" w:space="0" w:color="auto"/>
        <w:right w:val="none" w:sz="0" w:space="0" w:color="auto"/>
      </w:divBdr>
    </w:div>
    <w:div w:id="1809273924">
      <w:bodyDiv w:val="1"/>
      <w:marLeft w:val="0"/>
      <w:marRight w:val="0"/>
      <w:marTop w:val="0"/>
      <w:marBottom w:val="0"/>
      <w:divBdr>
        <w:top w:val="none" w:sz="0" w:space="0" w:color="auto"/>
        <w:left w:val="none" w:sz="0" w:space="0" w:color="auto"/>
        <w:bottom w:val="none" w:sz="0" w:space="0" w:color="auto"/>
        <w:right w:val="none" w:sz="0" w:space="0" w:color="auto"/>
      </w:divBdr>
      <w:divsChild>
        <w:div w:id="313802022">
          <w:marLeft w:val="1397"/>
          <w:marRight w:val="0"/>
          <w:marTop w:val="0"/>
          <w:marBottom w:val="0"/>
          <w:divBdr>
            <w:top w:val="none" w:sz="0" w:space="0" w:color="auto"/>
            <w:left w:val="none" w:sz="0" w:space="0" w:color="auto"/>
            <w:bottom w:val="none" w:sz="0" w:space="0" w:color="auto"/>
            <w:right w:val="none" w:sz="0" w:space="0" w:color="auto"/>
          </w:divBdr>
        </w:div>
      </w:divsChild>
    </w:div>
    <w:div w:id="1824541141">
      <w:bodyDiv w:val="1"/>
      <w:marLeft w:val="0"/>
      <w:marRight w:val="0"/>
      <w:marTop w:val="0"/>
      <w:marBottom w:val="0"/>
      <w:divBdr>
        <w:top w:val="none" w:sz="0" w:space="0" w:color="auto"/>
        <w:left w:val="none" w:sz="0" w:space="0" w:color="auto"/>
        <w:bottom w:val="none" w:sz="0" w:space="0" w:color="auto"/>
        <w:right w:val="none" w:sz="0" w:space="0" w:color="auto"/>
      </w:divBdr>
      <w:divsChild>
        <w:div w:id="1872955522">
          <w:marLeft w:val="0"/>
          <w:marRight w:val="0"/>
          <w:marTop w:val="0"/>
          <w:marBottom w:val="0"/>
          <w:divBdr>
            <w:top w:val="none" w:sz="0" w:space="0" w:color="auto"/>
            <w:left w:val="none" w:sz="0" w:space="0" w:color="auto"/>
            <w:bottom w:val="none" w:sz="0" w:space="0" w:color="auto"/>
            <w:right w:val="none" w:sz="0" w:space="0" w:color="auto"/>
          </w:divBdr>
        </w:div>
      </w:divsChild>
    </w:div>
    <w:div w:id="1832326018">
      <w:bodyDiv w:val="1"/>
      <w:marLeft w:val="0"/>
      <w:marRight w:val="0"/>
      <w:marTop w:val="0"/>
      <w:marBottom w:val="0"/>
      <w:divBdr>
        <w:top w:val="none" w:sz="0" w:space="0" w:color="auto"/>
        <w:left w:val="none" w:sz="0" w:space="0" w:color="auto"/>
        <w:bottom w:val="none" w:sz="0" w:space="0" w:color="auto"/>
        <w:right w:val="none" w:sz="0" w:space="0" w:color="auto"/>
      </w:divBdr>
      <w:divsChild>
        <w:div w:id="618530476">
          <w:marLeft w:val="0"/>
          <w:marRight w:val="0"/>
          <w:marTop w:val="0"/>
          <w:marBottom w:val="0"/>
          <w:divBdr>
            <w:top w:val="none" w:sz="0" w:space="0" w:color="auto"/>
            <w:left w:val="none" w:sz="0" w:space="0" w:color="auto"/>
            <w:bottom w:val="none" w:sz="0" w:space="0" w:color="auto"/>
            <w:right w:val="none" w:sz="0" w:space="0" w:color="auto"/>
          </w:divBdr>
        </w:div>
      </w:divsChild>
    </w:div>
    <w:div w:id="1836651550">
      <w:bodyDiv w:val="1"/>
      <w:marLeft w:val="0"/>
      <w:marRight w:val="0"/>
      <w:marTop w:val="0"/>
      <w:marBottom w:val="0"/>
      <w:divBdr>
        <w:top w:val="none" w:sz="0" w:space="0" w:color="auto"/>
        <w:left w:val="none" w:sz="0" w:space="0" w:color="auto"/>
        <w:bottom w:val="none" w:sz="0" w:space="0" w:color="auto"/>
        <w:right w:val="none" w:sz="0" w:space="0" w:color="auto"/>
      </w:divBdr>
    </w:div>
    <w:div w:id="1842502982">
      <w:bodyDiv w:val="1"/>
      <w:marLeft w:val="0"/>
      <w:marRight w:val="0"/>
      <w:marTop w:val="0"/>
      <w:marBottom w:val="0"/>
      <w:divBdr>
        <w:top w:val="none" w:sz="0" w:space="0" w:color="auto"/>
        <w:left w:val="none" w:sz="0" w:space="0" w:color="auto"/>
        <w:bottom w:val="none" w:sz="0" w:space="0" w:color="auto"/>
        <w:right w:val="none" w:sz="0" w:space="0" w:color="auto"/>
      </w:divBdr>
      <w:divsChild>
        <w:div w:id="1178498756">
          <w:marLeft w:val="0"/>
          <w:marRight w:val="0"/>
          <w:marTop w:val="0"/>
          <w:marBottom w:val="0"/>
          <w:divBdr>
            <w:top w:val="none" w:sz="0" w:space="0" w:color="auto"/>
            <w:left w:val="none" w:sz="0" w:space="0" w:color="auto"/>
            <w:bottom w:val="none" w:sz="0" w:space="0" w:color="auto"/>
            <w:right w:val="none" w:sz="0" w:space="0" w:color="auto"/>
          </w:divBdr>
          <w:divsChild>
            <w:div w:id="752438679">
              <w:marLeft w:val="0"/>
              <w:marRight w:val="0"/>
              <w:marTop w:val="0"/>
              <w:marBottom w:val="0"/>
              <w:divBdr>
                <w:top w:val="none" w:sz="0" w:space="0" w:color="auto"/>
                <w:left w:val="none" w:sz="0" w:space="0" w:color="auto"/>
                <w:bottom w:val="none" w:sz="0" w:space="0" w:color="auto"/>
                <w:right w:val="none" w:sz="0" w:space="0" w:color="auto"/>
              </w:divBdr>
              <w:divsChild>
                <w:div w:id="1365134376">
                  <w:marLeft w:val="0"/>
                  <w:marRight w:val="0"/>
                  <w:marTop w:val="0"/>
                  <w:marBottom w:val="0"/>
                  <w:divBdr>
                    <w:top w:val="none" w:sz="0" w:space="0" w:color="auto"/>
                    <w:left w:val="none" w:sz="0" w:space="0" w:color="auto"/>
                    <w:bottom w:val="none" w:sz="0" w:space="0" w:color="auto"/>
                    <w:right w:val="none" w:sz="0" w:space="0" w:color="auto"/>
                  </w:divBdr>
                  <w:divsChild>
                    <w:div w:id="1903906193">
                      <w:marLeft w:val="0"/>
                      <w:marRight w:val="0"/>
                      <w:marTop w:val="0"/>
                      <w:marBottom w:val="0"/>
                      <w:divBdr>
                        <w:top w:val="none" w:sz="0" w:space="0" w:color="auto"/>
                        <w:left w:val="none" w:sz="0" w:space="0" w:color="auto"/>
                        <w:bottom w:val="none" w:sz="0" w:space="0" w:color="auto"/>
                        <w:right w:val="none" w:sz="0" w:space="0" w:color="auto"/>
                      </w:divBdr>
                      <w:divsChild>
                        <w:div w:id="1753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942551">
      <w:bodyDiv w:val="1"/>
      <w:marLeft w:val="0"/>
      <w:marRight w:val="0"/>
      <w:marTop w:val="0"/>
      <w:marBottom w:val="0"/>
      <w:divBdr>
        <w:top w:val="none" w:sz="0" w:space="0" w:color="auto"/>
        <w:left w:val="none" w:sz="0" w:space="0" w:color="auto"/>
        <w:bottom w:val="none" w:sz="0" w:space="0" w:color="auto"/>
        <w:right w:val="none" w:sz="0" w:space="0" w:color="auto"/>
      </w:divBdr>
    </w:div>
    <w:div w:id="1855340842">
      <w:bodyDiv w:val="1"/>
      <w:marLeft w:val="0"/>
      <w:marRight w:val="0"/>
      <w:marTop w:val="0"/>
      <w:marBottom w:val="0"/>
      <w:divBdr>
        <w:top w:val="none" w:sz="0" w:space="0" w:color="auto"/>
        <w:left w:val="none" w:sz="0" w:space="0" w:color="auto"/>
        <w:bottom w:val="none" w:sz="0" w:space="0" w:color="auto"/>
        <w:right w:val="none" w:sz="0" w:space="0" w:color="auto"/>
      </w:divBdr>
      <w:divsChild>
        <w:div w:id="1440681701">
          <w:marLeft w:val="547"/>
          <w:marRight w:val="0"/>
          <w:marTop w:val="0"/>
          <w:marBottom w:val="0"/>
          <w:divBdr>
            <w:top w:val="none" w:sz="0" w:space="0" w:color="auto"/>
            <w:left w:val="none" w:sz="0" w:space="0" w:color="auto"/>
            <w:bottom w:val="none" w:sz="0" w:space="0" w:color="auto"/>
            <w:right w:val="none" w:sz="0" w:space="0" w:color="auto"/>
          </w:divBdr>
        </w:div>
      </w:divsChild>
    </w:div>
    <w:div w:id="1863013965">
      <w:bodyDiv w:val="1"/>
      <w:marLeft w:val="0"/>
      <w:marRight w:val="0"/>
      <w:marTop w:val="0"/>
      <w:marBottom w:val="0"/>
      <w:divBdr>
        <w:top w:val="none" w:sz="0" w:space="0" w:color="auto"/>
        <w:left w:val="none" w:sz="0" w:space="0" w:color="auto"/>
        <w:bottom w:val="none" w:sz="0" w:space="0" w:color="auto"/>
        <w:right w:val="none" w:sz="0" w:space="0" w:color="auto"/>
      </w:divBdr>
    </w:div>
    <w:div w:id="1868828434">
      <w:bodyDiv w:val="1"/>
      <w:marLeft w:val="0"/>
      <w:marRight w:val="0"/>
      <w:marTop w:val="0"/>
      <w:marBottom w:val="0"/>
      <w:divBdr>
        <w:top w:val="none" w:sz="0" w:space="0" w:color="auto"/>
        <w:left w:val="none" w:sz="0" w:space="0" w:color="auto"/>
        <w:bottom w:val="none" w:sz="0" w:space="0" w:color="auto"/>
        <w:right w:val="none" w:sz="0" w:space="0" w:color="auto"/>
      </w:divBdr>
    </w:div>
    <w:div w:id="1874951628">
      <w:bodyDiv w:val="1"/>
      <w:marLeft w:val="0"/>
      <w:marRight w:val="0"/>
      <w:marTop w:val="0"/>
      <w:marBottom w:val="0"/>
      <w:divBdr>
        <w:top w:val="none" w:sz="0" w:space="0" w:color="auto"/>
        <w:left w:val="none" w:sz="0" w:space="0" w:color="auto"/>
        <w:bottom w:val="none" w:sz="0" w:space="0" w:color="auto"/>
        <w:right w:val="none" w:sz="0" w:space="0" w:color="auto"/>
      </w:divBdr>
    </w:div>
    <w:div w:id="1887257963">
      <w:bodyDiv w:val="1"/>
      <w:marLeft w:val="0"/>
      <w:marRight w:val="0"/>
      <w:marTop w:val="0"/>
      <w:marBottom w:val="0"/>
      <w:divBdr>
        <w:top w:val="none" w:sz="0" w:space="0" w:color="auto"/>
        <w:left w:val="none" w:sz="0" w:space="0" w:color="auto"/>
        <w:bottom w:val="none" w:sz="0" w:space="0" w:color="auto"/>
        <w:right w:val="none" w:sz="0" w:space="0" w:color="auto"/>
      </w:divBdr>
    </w:div>
    <w:div w:id="1906723713">
      <w:bodyDiv w:val="1"/>
      <w:marLeft w:val="0"/>
      <w:marRight w:val="0"/>
      <w:marTop w:val="0"/>
      <w:marBottom w:val="0"/>
      <w:divBdr>
        <w:top w:val="none" w:sz="0" w:space="0" w:color="auto"/>
        <w:left w:val="none" w:sz="0" w:space="0" w:color="auto"/>
        <w:bottom w:val="none" w:sz="0" w:space="0" w:color="auto"/>
        <w:right w:val="none" w:sz="0" w:space="0" w:color="auto"/>
      </w:divBdr>
    </w:div>
    <w:div w:id="1910799053">
      <w:bodyDiv w:val="1"/>
      <w:marLeft w:val="0"/>
      <w:marRight w:val="0"/>
      <w:marTop w:val="0"/>
      <w:marBottom w:val="0"/>
      <w:divBdr>
        <w:top w:val="none" w:sz="0" w:space="0" w:color="auto"/>
        <w:left w:val="none" w:sz="0" w:space="0" w:color="auto"/>
        <w:bottom w:val="none" w:sz="0" w:space="0" w:color="auto"/>
        <w:right w:val="none" w:sz="0" w:space="0" w:color="auto"/>
      </w:divBdr>
    </w:div>
    <w:div w:id="1915311730">
      <w:bodyDiv w:val="1"/>
      <w:marLeft w:val="0"/>
      <w:marRight w:val="0"/>
      <w:marTop w:val="0"/>
      <w:marBottom w:val="0"/>
      <w:divBdr>
        <w:top w:val="none" w:sz="0" w:space="0" w:color="auto"/>
        <w:left w:val="none" w:sz="0" w:space="0" w:color="auto"/>
        <w:bottom w:val="none" w:sz="0" w:space="0" w:color="auto"/>
        <w:right w:val="none" w:sz="0" w:space="0" w:color="auto"/>
      </w:divBdr>
    </w:div>
    <w:div w:id="1929728605">
      <w:bodyDiv w:val="1"/>
      <w:marLeft w:val="0"/>
      <w:marRight w:val="0"/>
      <w:marTop w:val="0"/>
      <w:marBottom w:val="0"/>
      <w:divBdr>
        <w:top w:val="none" w:sz="0" w:space="0" w:color="auto"/>
        <w:left w:val="none" w:sz="0" w:space="0" w:color="auto"/>
        <w:bottom w:val="none" w:sz="0" w:space="0" w:color="auto"/>
        <w:right w:val="none" w:sz="0" w:space="0" w:color="auto"/>
      </w:divBdr>
    </w:div>
    <w:div w:id="1932662338">
      <w:bodyDiv w:val="1"/>
      <w:marLeft w:val="0"/>
      <w:marRight w:val="0"/>
      <w:marTop w:val="0"/>
      <w:marBottom w:val="0"/>
      <w:divBdr>
        <w:top w:val="none" w:sz="0" w:space="0" w:color="auto"/>
        <w:left w:val="none" w:sz="0" w:space="0" w:color="auto"/>
        <w:bottom w:val="none" w:sz="0" w:space="0" w:color="auto"/>
        <w:right w:val="none" w:sz="0" w:space="0" w:color="auto"/>
      </w:divBdr>
    </w:div>
    <w:div w:id="1941449044">
      <w:bodyDiv w:val="1"/>
      <w:marLeft w:val="0"/>
      <w:marRight w:val="0"/>
      <w:marTop w:val="0"/>
      <w:marBottom w:val="0"/>
      <w:divBdr>
        <w:top w:val="none" w:sz="0" w:space="0" w:color="auto"/>
        <w:left w:val="none" w:sz="0" w:space="0" w:color="auto"/>
        <w:bottom w:val="none" w:sz="0" w:space="0" w:color="auto"/>
        <w:right w:val="none" w:sz="0" w:space="0" w:color="auto"/>
      </w:divBdr>
    </w:div>
    <w:div w:id="1943802098">
      <w:bodyDiv w:val="1"/>
      <w:marLeft w:val="0"/>
      <w:marRight w:val="0"/>
      <w:marTop w:val="0"/>
      <w:marBottom w:val="0"/>
      <w:divBdr>
        <w:top w:val="none" w:sz="0" w:space="0" w:color="auto"/>
        <w:left w:val="none" w:sz="0" w:space="0" w:color="auto"/>
        <w:bottom w:val="none" w:sz="0" w:space="0" w:color="auto"/>
        <w:right w:val="none" w:sz="0" w:space="0" w:color="auto"/>
      </w:divBdr>
    </w:div>
    <w:div w:id="1962179583">
      <w:bodyDiv w:val="1"/>
      <w:marLeft w:val="0"/>
      <w:marRight w:val="0"/>
      <w:marTop w:val="0"/>
      <w:marBottom w:val="0"/>
      <w:divBdr>
        <w:top w:val="none" w:sz="0" w:space="0" w:color="auto"/>
        <w:left w:val="none" w:sz="0" w:space="0" w:color="auto"/>
        <w:bottom w:val="none" w:sz="0" w:space="0" w:color="auto"/>
        <w:right w:val="none" w:sz="0" w:space="0" w:color="auto"/>
      </w:divBdr>
    </w:div>
    <w:div w:id="1964187178">
      <w:bodyDiv w:val="1"/>
      <w:marLeft w:val="0"/>
      <w:marRight w:val="0"/>
      <w:marTop w:val="0"/>
      <w:marBottom w:val="0"/>
      <w:divBdr>
        <w:top w:val="none" w:sz="0" w:space="0" w:color="auto"/>
        <w:left w:val="none" w:sz="0" w:space="0" w:color="auto"/>
        <w:bottom w:val="none" w:sz="0" w:space="0" w:color="auto"/>
        <w:right w:val="none" w:sz="0" w:space="0" w:color="auto"/>
      </w:divBdr>
    </w:div>
    <w:div w:id="1969313591">
      <w:bodyDiv w:val="1"/>
      <w:marLeft w:val="0"/>
      <w:marRight w:val="0"/>
      <w:marTop w:val="0"/>
      <w:marBottom w:val="0"/>
      <w:divBdr>
        <w:top w:val="none" w:sz="0" w:space="0" w:color="auto"/>
        <w:left w:val="none" w:sz="0" w:space="0" w:color="auto"/>
        <w:bottom w:val="none" w:sz="0" w:space="0" w:color="auto"/>
        <w:right w:val="none" w:sz="0" w:space="0" w:color="auto"/>
      </w:divBdr>
    </w:div>
    <w:div w:id="2005817926">
      <w:bodyDiv w:val="1"/>
      <w:marLeft w:val="0"/>
      <w:marRight w:val="0"/>
      <w:marTop w:val="0"/>
      <w:marBottom w:val="0"/>
      <w:divBdr>
        <w:top w:val="none" w:sz="0" w:space="0" w:color="auto"/>
        <w:left w:val="none" w:sz="0" w:space="0" w:color="auto"/>
        <w:bottom w:val="none" w:sz="0" w:space="0" w:color="auto"/>
        <w:right w:val="none" w:sz="0" w:space="0" w:color="auto"/>
      </w:divBdr>
      <w:divsChild>
        <w:div w:id="1790779037">
          <w:marLeft w:val="0"/>
          <w:marRight w:val="0"/>
          <w:marTop w:val="0"/>
          <w:marBottom w:val="0"/>
          <w:divBdr>
            <w:top w:val="none" w:sz="0" w:space="0" w:color="auto"/>
            <w:left w:val="none" w:sz="0" w:space="0" w:color="auto"/>
            <w:bottom w:val="none" w:sz="0" w:space="0" w:color="auto"/>
            <w:right w:val="none" w:sz="0" w:space="0" w:color="auto"/>
          </w:divBdr>
          <w:divsChild>
            <w:div w:id="453331806">
              <w:marLeft w:val="0"/>
              <w:marRight w:val="0"/>
              <w:marTop w:val="0"/>
              <w:marBottom w:val="0"/>
              <w:divBdr>
                <w:top w:val="none" w:sz="0" w:space="0" w:color="auto"/>
                <w:left w:val="none" w:sz="0" w:space="0" w:color="auto"/>
                <w:bottom w:val="none" w:sz="0" w:space="0" w:color="auto"/>
                <w:right w:val="none" w:sz="0" w:space="0" w:color="auto"/>
              </w:divBdr>
              <w:divsChild>
                <w:div w:id="1303805281">
                  <w:marLeft w:val="0"/>
                  <w:marRight w:val="0"/>
                  <w:marTop w:val="0"/>
                  <w:marBottom w:val="0"/>
                  <w:divBdr>
                    <w:top w:val="none" w:sz="0" w:space="0" w:color="auto"/>
                    <w:left w:val="none" w:sz="0" w:space="0" w:color="auto"/>
                    <w:bottom w:val="none" w:sz="0" w:space="0" w:color="auto"/>
                    <w:right w:val="none" w:sz="0" w:space="0" w:color="auto"/>
                  </w:divBdr>
                  <w:divsChild>
                    <w:div w:id="1347562197">
                      <w:marLeft w:val="0"/>
                      <w:marRight w:val="0"/>
                      <w:marTop w:val="0"/>
                      <w:marBottom w:val="0"/>
                      <w:divBdr>
                        <w:top w:val="none" w:sz="0" w:space="0" w:color="auto"/>
                        <w:left w:val="none" w:sz="0" w:space="0" w:color="auto"/>
                        <w:bottom w:val="none" w:sz="0" w:space="0" w:color="auto"/>
                        <w:right w:val="none" w:sz="0" w:space="0" w:color="auto"/>
                      </w:divBdr>
                      <w:divsChild>
                        <w:div w:id="1145122151">
                          <w:marLeft w:val="0"/>
                          <w:marRight w:val="0"/>
                          <w:marTop w:val="0"/>
                          <w:marBottom w:val="0"/>
                          <w:divBdr>
                            <w:top w:val="none" w:sz="0" w:space="0" w:color="auto"/>
                            <w:left w:val="none" w:sz="0" w:space="0" w:color="auto"/>
                            <w:bottom w:val="none" w:sz="0" w:space="0" w:color="auto"/>
                            <w:right w:val="none" w:sz="0" w:space="0" w:color="auto"/>
                          </w:divBdr>
                          <w:divsChild>
                            <w:div w:id="1700667156">
                              <w:marLeft w:val="0"/>
                              <w:marRight w:val="0"/>
                              <w:marTop w:val="0"/>
                              <w:marBottom w:val="0"/>
                              <w:divBdr>
                                <w:top w:val="none" w:sz="0" w:space="0" w:color="auto"/>
                                <w:left w:val="none" w:sz="0" w:space="0" w:color="auto"/>
                                <w:bottom w:val="none" w:sz="0" w:space="0" w:color="auto"/>
                                <w:right w:val="none" w:sz="0" w:space="0" w:color="auto"/>
                              </w:divBdr>
                              <w:divsChild>
                                <w:div w:id="68632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594134">
      <w:bodyDiv w:val="1"/>
      <w:marLeft w:val="0"/>
      <w:marRight w:val="0"/>
      <w:marTop w:val="0"/>
      <w:marBottom w:val="0"/>
      <w:divBdr>
        <w:top w:val="none" w:sz="0" w:space="0" w:color="auto"/>
        <w:left w:val="none" w:sz="0" w:space="0" w:color="auto"/>
        <w:bottom w:val="none" w:sz="0" w:space="0" w:color="auto"/>
        <w:right w:val="none" w:sz="0" w:space="0" w:color="auto"/>
      </w:divBdr>
      <w:divsChild>
        <w:div w:id="1592859620">
          <w:marLeft w:val="1397"/>
          <w:marRight w:val="0"/>
          <w:marTop w:val="0"/>
          <w:marBottom w:val="0"/>
          <w:divBdr>
            <w:top w:val="none" w:sz="0" w:space="0" w:color="auto"/>
            <w:left w:val="none" w:sz="0" w:space="0" w:color="auto"/>
            <w:bottom w:val="none" w:sz="0" w:space="0" w:color="auto"/>
            <w:right w:val="none" w:sz="0" w:space="0" w:color="auto"/>
          </w:divBdr>
        </w:div>
      </w:divsChild>
    </w:div>
    <w:div w:id="2012443699">
      <w:bodyDiv w:val="1"/>
      <w:marLeft w:val="0"/>
      <w:marRight w:val="0"/>
      <w:marTop w:val="0"/>
      <w:marBottom w:val="0"/>
      <w:divBdr>
        <w:top w:val="none" w:sz="0" w:space="0" w:color="auto"/>
        <w:left w:val="none" w:sz="0" w:space="0" w:color="auto"/>
        <w:bottom w:val="none" w:sz="0" w:space="0" w:color="auto"/>
        <w:right w:val="none" w:sz="0" w:space="0" w:color="auto"/>
      </w:divBdr>
      <w:divsChild>
        <w:div w:id="455683031">
          <w:marLeft w:val="2261"/>
          <w:marRight w:val="0"/>
          <w:marTop w:val="0"/>
          <w:marBottom w:val="0"/>
          <w:divBdr>
            <w:top w:val="none" w:sz="0" w:space="0" w:color="auto"/>
            <w:left w:val="none" w:sz="0" w:space="0" w:color="auto"/>
            <w:bottom w:val="none" w:sz="0" w:space="0" w:color="auto"/>
            <w:right w:val="none" w:sz="0" w:space="0" w:color="auto"/>
          </w:divBdr>
        </w:div>
        <w:div w:id="1611543279">
          <w:marLeft w:val="2261"/>
          <w:marRight w:val="0"/>
          <w:marTop w:val="0"/>
          <w:marBottom w:val="0"/>
          <w:divBdr>
            <w:top w:val="none" w:sz="0" w:space="0" w:color="auto"/>
            <w:left w:val="none" w:sz="0" w:space="0" w:color="auto"/>
            <w:bottom w:val="none" w:sz="0" w:space="0" w:color="auto"/>
            <w:right w:val="none" w:sz="0" w:space="0" w:color="auto"/>
          </w:divBdr>
        </w:div>
        <w:div w:id="1961954351">
          <w:marLeft w:val="1397"/>
          <w:marRight w:val="0"/>
          <w:marTop w:val="0"/>
          <w:marBottom w:val="0"/>
          <w:divBdr>
            <w:top w:val="none" w:sz="0" w:space="0" w:color="auto"/>
            <w:left w:val="none" w:sz="0" w:space="0" w:color="auto"/>
            <w:bottom w:val="none" w:sz="0" w:space="0" w:color="auto"/>
            <w:right w:val="none" w:sz="0" w:space="0" w:color="auto"/>
          </w:divBdr>
        </w:div>
      </w:divsChild>
    </w:div>
    <w:div w:id="2027630802">
      <w:bodyDiv w:val="1"/>
      <w:marLeft w:val="0"/>
      <w:marRight w:val="0"/>
      <w:marTop w:val="0"/>
      <w:marBottom w:val="0"/>
      <w:divBdr>
        <w:top w:val="none" w:sz="0" w:space="0" w:color="auto"/>
        <w:left w:val="none" w:sz="0" w:space="0" w:color="auto"/>
        <w:bottom w:val="none" w:sz="0" w:space="0" w:color="auto"/>
        <w:right w:val="none" w:sz="0" w:space="0" w:color="auto"/>
      </w:divBdr>
    </w:div>
    <w:div w:id="2034455949">
      <w:bodyDiv w:val="1"/>
      <w:marLeft w:val="0"/>
      <w:marRight w:val="0"/>
      <w:marTop w:val="0"/>
      <w:marBottom w:val="0"/>
      <w:divBdr>
        <w:top w:val="none" w:sz="0" w:space="0" w:color="auto"/>
        <w:left w:val="none" w:sz="0" w:space="0" w:color="auto"/>
        <w:bottom w:val="none" w:sz="0" w:space="0" w:color="auto"/>
        <w:right w:val="none" w:sz="0" w:space="0" w:color="auto"/>
      </w:divBdr>
    </w:div>
    <w:div w:id="2055079848">
      <w:bodyDiv w:val="1"/>
      <w:marLeft w:val="0"/>
      <w:marRight w:val="0"/>
      <w:marTop w:val="0"/>
      <w:marBottom w:val="0"/>
      <w:divBdr>
        <w:top w:val="none" w:sz="0" w:space="0" w:color="auto"/>
        <w:left w:val="none" w:sz="0" w:space="0" w:color="auto"/>
        <w:bottom w:val="none" w:sz="0" w:space="0" w:color="auto"/>
        <w:right w:val="none" w:sz="0" w:space="0" w:color="auto"/>
      </w:divBdr>
      <w:divsChild>
        <w:div w:id="1135680777">
          <w:marLeft w:val="0"/>
          <w:marRight w:val="0"/>
          <w:marTop w:val="0"/>
          <w:marBottom w:val="0"/>
          <w:divBdr>
            <w:top w:val="none" w:sz="0" w:space="0" w:color="auto"/>
            <w:left w:val="none" w:sz="0" w:space="0" w:color="auto"/>
            <w:bottom w:val="none" w:sz="0" w:space="0" w:color="auto"/>
            <w:right w:val="none" w:sz="0" w:space="0" w:color="auto"/>
          </w:divBdr>
          <w:divsChild>
            <w:div w:id="165367498">
              <w:marLeft w:val="0"/>
              <w:marRight w:val="0"/>
              <w:marTop w:val="0"/>
              <w:marBottom w:val="0"/>
              <w:divBdr>
                <w:top w:val="none" w:sz="0" w:space="0" w:color="auto"/>
                <w:left w:val="none" w:sz="0" w:space="0" w:color="auto"/>
                <w:bottom w:val="none" w:sz="0" w:space="0" w:color="auto"/>
                <w:right w:val="none" w:sz="0" w:space="0" w:color="auto"/>
              </w:divBdr>
            </w:div>
          </w:divsChild>
        </w:div>
        <w:div w:id="1734965980">
          <w:marLeft w:val="0"/>
          <w:marRight w:val="0"/>
          <w:marTop w:val="0"/>
          <w:marBottom w:val="0"/>
          <w:divBdr>
            <w:top w:val="none" w:sz="0" w:space="0" w:color="auto"/>
            <w:left w:val="none" w:sz="0" w:space="0" w:color="auto"/>
            <w:bottom w:val="none" w:sz="0" w:space="0" w:color="auto"/>
            <w:right w:val="none" w:sz="0" w:space="0" w:color="auto"/>
          </w:divBdr>
          <w:divsChild>
            <w:div w:id="2113889980">
              <w:marLeft w:val="0"/>
              <w:marRight w:val="0"/>
              <w:marTop w:val="0"/>
              <w:marBottom w:val="0"/>
              <w:divBdr>
                <w:top w:val="none" w:sz="0" w:space="0" w:color="auto"/>
                <w:left w:val="none" w:sz="0" w:space="0" w:color="auto"/>
                <w:bottom w:val="none" w:sz="0" w:space="0" w:color="auto"/>
                <w:right w:val="none" w:sz="0" w:space="0" w:color="auto"/>
              </w:divBdr>
              <w:divsChild>
                <w:div w:id="1008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27995">
      <w:bodyDiv w:val="1"/>
      <w:marLeft w:val="0"/>
      <w:marRight w:val="0"/>
      <w:marTop w:val="0"/>
      <w:marBottom w:val="0"/>
      <w:divBdr>
        <w:top w:val="none" w:sz="0" w:space="0" w:color="auto"/>
        <w:left w:val="none" w:sz="0" w:space="0" w:color="auto"/>
        <w:bottom w:val="none" w:sz="0" w:space="0" w:color="auto"/>
        <w:right w:val="none" w:sz="0" w:space="0" w:color="auto"/>
      </w:divBdr>
    </w:div>
    <w:div w:id="2071422523">
      <w:bodyDiv w:val="1"/>
      <w:marLeft w:val="0"/>
      <w:marRight w:val="0"/>
      <w:marTop w:val="0"/>
      <w:marBottom w:val="0"/>
      <w:divBdr>
        <w:top w:val="none" w:sz="0" w:space="0" w:color="auto"/>
        <w:left w:val="none" w:sz="0" w:space="0" w:color="auto"/>
        <w:bottom w:val="none" w:sz="0" w:space="0" w:color="auto"/>
        <w:right w:val="none" w:sz="0" w:space="0" w:color="auto"/>
      </w:divBdr>
    </w:div>
    <w:div w:id="2075814602">
      <w:bodyDiv w:val="1"/>
      <w:marLeft w:val="0"/>
      <w:marRight w:val="0"/>
      <w:marTop w:val="0"/>
      <w:marBottom w:val="0"/>
      <w:divBdr>
        <w:top w:val="none" w:sz="0" w:space="0" w:color="auto"/>
        <w:left w:val="none" w:sz="0" w:space="0" w:color="auto"/>
        <w:bottom w:val="none" w:sz="0" w:space="0" w:color="auto"/>
        <w:right w:val="none" w:sz="0" w:space="0" w:color="auto"/>
      </w:divBdr>
      <w:divsChild>
        <w:div w:id="1213418197">
          <w:marLeft w:val="2261"/>
          <w:marRight w:val="0"/>
          <w:marTop w:val="0"/>
          <w:marBottom w:val="0"/>
          <w:divBdr>
            <w:top w:val="none" w:sz="0" w:space="0" w:color="auto"/>
            <w:left w:val="none" w:sz="0" w:space="0" w:color="auto"/>
            <w:bottom w:val="none" w:sz="0" w:space="0" w:color="auto"/>
            <w:right w:val="none" w:sz="0" w:space="0" w:color="auto"/>
          </w:divBdr>
        </w:div>
      </w:divsChild>
    </w:div>
    <w:div w:id="2081445547">
      <w:bodyDiv w:val="1"/>
      <w:marLeft w:val="0"/>
      <w:marRight w:val="0"/>
      <w:marTop w:val="0"/>
      <w:marBottom w:val="0"/>
      <w:divBdr>
        <w:top w:val="none" w:sz="0" w:space="0" w:color="auto"/>
        <w:left w:val="none" w:sz="0" w:space="0" w:color="auto"/>
        <w:bottom w:val="none" w:sz="0" w:space="0" w:color="auto"/>
        <w:right w:val="none" w:sz="0" w:space="0" w:color="auto"/>
      </w:divBdr>
    </w:div>
    <w:div w:id="2085836487">
      <w:bodyDiv w:val="1"/>
      <w:marLeft w:val="0"/>
      <w:marRight w:val="0"/>
      <w:marTop w:val="0"/>
      <w:marBottom w:val="0"/>
      <w:divBdr>
        <w:top w:val="none" w:sz="0" w:space="0" w:color="auto"/>
        <w:left w:val="none" w:sz="0" w:space="0" w:color="auto"/>
        <w:bottom w:val="none" w:sz="0" w:space="0" w:color="auto"/>
        <w:right w:val="none" w:sz="0" w:space="0" w:color="auto"/>
      </w:divBdr>
    </w:div>
    <w:div w:id="2086221385">
      <w:bodyDiv w:val="1"/>
      <w:marLeft w:val="0"/>
      <w:marRight w:val="0"/>
      <w:marTop w:val="0"/>
      <w:marBottom w:val="0"/>
      <w:divBdr>
        <w:top w:val="none" w:sz="0" w:space="0" w:color="auto"/>
        <w:left w:val="none" w:sz="0" w:space="0" w:color="auto"/>
        <w:bottom w:val="none" w:sz="0" w:space="0" w:color="auto"/>
        <w:right w:val="none" w:sz="0" w:space="0" w:color="auto"/>
      </w:divBdr>
    </w:div>
    <w:div w:id="2099516222">
      <w:bodyDiv w:val="1"/>
      <w:marLeft w:val="0"/>
      <w:marRight w:val="0"/>
      <w:marTop w:val="0"/>
      <w:marBottom w:val="0"/>
      <w:divBdr>
        <w:top w:val="none" w:sz="0" w:space="0" w:color="auto"/>
        <w:left w:val="none" w:sz="0" w:space="0" w:color="auto"/>
        <w:bottom w:val="none" w:sz="0" w:space="0" w:color="auto"/>
        <w:right w:val="none" w:sz="0" w:space="0" w:color="auto"/>
      </w:divBdr>
    </w:div>
    <w:div w:id="2106462799">
      <w:bodyDiv w:val="1"/>
      <w:marLeft w:val="0"/>
      <w:marRight w:val="0"/>
      <w:marTop w:val="0"/>
      <w:marBottom w:val="0"/>
      <w:divBdr>
        <w:top w:val="none" w:sz="0" w:space="0" w:color="auto"/>
        <w:left w:val="none" w:sz="0" w:space="0" w:color="auto"/>
        <w:bottom w:val="none" w:sz="0" w:space="0" w:color="auto"/>
        <w:right w:val="none" w:sz="0" w:space="0" w:color="auto"/>
      </w:divBdr>
      <w:divsChild>
        <w:div w:id="350300196">
          <w:marLeft w:val="0"/>
          <w:marRight w:val="0"/>
          <w:marTop w:val="0"/>
          <w:marBottom w:val="0"/>
          <w:divBdr>
            <w:top w:val="none" w:sz="0" w:space="0" w:color="auto"/>
            <w:left w:val="none" w:sz="0" w:space="0" w:color="auto"/>
            <w:bottom w:val="none" w:sz="0" w:space="0" w:color="auto"/>
            <w:right w:val="none" w:sz="0" w:space="0" w:color="auto"/>
          </w:divBdr>
        </w:div>
      </w:divsChild>
    </w:div>
    <w:div w:id="2112119003">
      <w:bodyDiv w:val="1"/>
      <w:marLeft w:val="0"/>
      <w:marRight w:val="0"/>
      <w:marTop w:val="0"/>
      <w:marBottom w:val="0"/>
      <w:divBdr>
        <w:top w:val="none" w:sz="0" w:space="0" w:color="auto"/>
        <w:left w:val="none" w:sz="0" w:space="0" w:color="auto"/>
        <w:bottom w:val="none" w:sz="0" w:space="0" w:color="auto"/>
        <w:right w:val="none" w:sz="0" w:space="0" w:color="auto"/>
      </w:divBdr>
    </w:div>
    <w:div w:id="2127843809">
      <w:bodyDiv w:val="1"/>
      <w:marLeft w:val="0"/>
      <w:marRight w:val="0"/>
      <w:marTop w:val="0"/>
      <w:marBottom w:val="0"/>
      <w:divBdr>
        <w:top w:val="none" w:sz="0" w:space="0" w:color="auto"/>
        <w:left w:val="none" w:sz="0" w:space="0" w:color="auto"/>
        <w:bottom w:val="none" w:sz="0" w:space="0" w:color="auto"/>
        <w:right w:val="none" w:sz="0" w:space="0" w:color="auto"/>
      </w:divBdr>
      <w:divsChild>
        <w:div w:id="166750152">
          <w:marLeft w:val="547"/>
          <w:marRight w:val="0"/>
          <w:marTop w:val="0"/>
          <w:marBottom w:val="0"/>
          <w:divBdr>
            <w:top w:val="none" w:sz="0" w:space="0" w:color="auto"/>
            <w:left w:val="none" w:sz="0" w:space="0" w:color="auto"/>
            <w:bottom w:val="none" w:sz="0" w:space="0" w:color="auto"/>
            <w:right w:val="none" w:sz="0" w:space="0" w:color="auto"/>
          </w:divBdr>
        </w:div>
      </w:divsChild>
    </w:div>
    <w:div w:id="2133590625">
      <w:bodyDiv w:val="1"/>
      <w:marLeft w:val="0"/>
      <w:marRight w:val="0"/>
      <w:marTop w:val="0"/>
      <w:marBottom w:val="0"/>
      <w:divBdr>
        <w:top w:val="none" w:sz="0" w:space="0" w:color="auto"/>
        <w:left w:val="none" w:sz="0" w:space="0" w:color="auto"/>
        <w:bottom w:val="none" w:sz="0" w:space="0" w:color="auto"/>
        <w:right w:val="none" w:sz="0" w:space="0" w:color="auto"/>
      </w:divBdr>
    </w:div>
    <w:div w:id="2133741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tcu.gov.br/lumis/portal/file/fileDownload.jsp?fileId=8A81881F759554350175D6A6988B0425" TargetMode="External"/><Relationship Id="rId18" Type="http://schemas.openxmlformats.org/officeDocument/2006/relationships/image" Target="media/image3.png"/><Relationship Id="rId26" Type="http://schemas.openxmlformats.org/officeDocument/2006/relationships/hyperlink" Target="file:///c:\users\zaile%20chagas\desktop\diretrizes%20para%20elabora&#231;&#227;o%20do%20plano%20de%20a&#231;&#227;o%20e%20or&#231;amento%20-%202&#170;%20Vers&#227;o.docx" TargetMode="External"/><Relationship Id="rId39" Type="http://schemas.openxmlformats.org/officeDocument/2006/relationships/hyperlink" Target="https://docs.google.com/spreadsheets/d/1vuYseILUkRcQLQJ1b7jWzFTc_dFuuti6/edit?usp=drive_link&amp;ouid=100695150145811951682&amp;rtpof=true&amp;sd=true" TargetMode="Externa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ransparencia.caubr.gov.br/resolucao200/" TargetMode="External"/><Relationship Id="rId20" Type="http://schemas.openxmlformats.org/officeDocument/2006/relationships/image" Target="media/image5.png"/><Relationship Id="rId29" Type="http://schemas.openxmlformats.org/officeDocument/2006/relationships/header" Target="header2.xml"/><Relationship Id="rId41" Type="http://schemas.openxmlformats.org/officeDocument/2006/relationships/hyperlink" Target="https://docs.google.com/spreadsheets/d/1ZXVoqnRvr5evhFB4_gr0J8SMqZ8GNyrP/edit?usp=drive_link&amp;ouid=100695150145811951682&amp;rtpof=true&amp;sd=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docs.google.com/spreadsheets/d/1vRki9iKaTXc1bit1SRloE-ks1W3eAwjV/edit?usp=drive_link&amp;ouid=100695150145811951682&amp;rtpof=true&amp;sd=true" TargetMode="External"/><Relationship Id="rId5" Type="http://schemas.openxmlformats.org/officeDocument/2006/relationships/numbering" Target="numbering.xml"/><Relationship Id="rId15" Type="http://schemas.openxmlformats.org/officeDocument/2006/relationships/hyperlink" Target="http://www.planalto.gov.br/ccivil_03/leis/LCP/Lcp101.htm" TargetMode="Externa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gov.br/en/web/dou/-/instrucao-normativa-n-84-de-22-de-abril-de-2020-254756795"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planalto.gov.br/ccivil_03/_ato2007-2010/2010/lei/l12378.htm" TargetMode="External"/><Relationship Id="rId25" Type="http://schemas.openxmlformats.org/officeDocument/2006/relationships/hyperlink" Target="mailto:planejamento@caubr.gov.br" TargetMode="External"/><Relationship Id="rId33" Type="http://schemas.openxmlformats.org/officeDocument/2006/relationships/image" Target="media/image14.png"/><Relationship Id="rId38" Type="http://schemas.openxmlformats.org/officeDocument/2006/relationships/hyperlink" Target="https://docs.google.com/spreadsheets/d/1sgWaoUx6ul0cgQ2zQSsmjYlaoZaTOBWM/edit?usp=drive_link&amp;ouid=100695150145811951682&amp;rtpof=true&amp;sd=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52BF762A5829B4A941C768AAB78FC5D" ma:contentTypeVersion="2" ma:contentTypeDescription="Crie um novo documento." ma:contentTypeScope="" ma:versionID="542dcac3d0367f60e770bef3cda0ce20">
  <xsd:schema xmlns:xsd="http://www.w3.org/2001/XMLSchema" xmlns:xs="http://www.w3.org/2001/XMLSchema" xmlns:p="http://schemas.microsoft.com/office/2006/metadata/properties" xmlns:ns3="cac3bba6-b83c-4ec3-afa2-69dbbe63b536" targetNamespace="http://schemas.microsoft.com/office/2006/metadata/properties" ma:root="true" ma:fieldsID="22fcc4191f27cabb92a93de7e08258d5" ns3:_="">
    <xsd:import namespace="cac3bba6-b83c-4ec3-afa2-69dbbe63b53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3bba6-b83c-4ec3-afa2-69dbbe63b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63297-A061-40C1-B6B2-7D8CF389951F}">
  <ds:schemaRef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www.w3.org/XML/1998/namespace"/>
    <ds:schemaRef ds:uri="cac3bba6-b83c-4ec3-afa2-69dbbe63b536"/>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863079AD-DC97-4ED3-A73E-EFC29C982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3bba6-b83c-4ec3-afa2-69dbbe63b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199A5E-F74B-4655-8F3B-2C1B724C41F1}">
  <ds:schemaRefs>
    <ds:schemaRef ds:uri="http://schemas.microsoft.com/sharepoint/v3/contenttype/forms"/>
  </ds:schemaRefs>
</ds:datastoreItem>
</file>

<file path=customXml/itemProps4.xml><?xml version="1.0" encoding="utf-8"?>
<ds:datastoreItem xmlns:ds="http://schemas.openxmlformats.org/officeDocument/2006/customXml" ds:itemID="{C2739356-79DB-4E81-97E9-73C69C637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76</Pages>
  <Words>14359</Words>
  <Characters>77540</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Vivianne Cristine S F da Silva</dc:creator>
  <cp:keywords/>
  <dc:description/>
  <cp:lastModifiedBy>Paulo Ricardo Bispo Rosa</cp:lastModifiedBy>
  <cp:revision>19</cp:revision>
  <cp:lastPrinted>2023-10-05T16:43:00Z</cp:lastPrinted>
  <dcterms:created xsi:type="dcterms:W3CDTF">2023-09-13T17:10:00Z</dcterms:created>
  <dcterms:modified xsi:type="dcterms:W3CDTF">2023-10-05T17:28:00Z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0x010100C52BF762A5829B4A941C768AAB78FC5D</vt:lpwstr>
  </property>
</Properties>
</file>