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5E" w:rsidRDefault="00D76B86">
      <w:pPr>
        <w:spacing w:after="0" w:line="259" w:lineRule="auto"/>
        <w:ind w:left="1121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F01D5E" w:rsidRDefault="00D76B86">
      <w:pPr>
        <w:ind w:left="1116" w:right="0"/>
      </w:pPr>
      <w:r>
        <w:t xml:space="preserve">O CONSELHO DE ARQUITETURA E URBANISMO DO BRASIL (CAU/BR), no exercício das competências e prerrogativas de que tratam a Lei n° 12.378, de 31 de dezembro de 2010, especialmente o art. 28, e o Regimento Geral aprovado pela Resolução CAU/BR n° 139, de 28 </w:t>
      </w:r>
      <w:r>
        <w:t xml:space="preserve">de abril de 2017, especialmente os artigos 2°, 4° e 7°, bem com suas atualizações;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Considerando as disposições das Resoluções CAU/BR n° 60, de 7 de novembro de 2013; CAU/BR n° 71, de 24 de janeiro de 2014 e CAU/BR n° 77, de 11 de abril de 2014;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Cons</w:t>
      </w:r>
      <w:r>
        <w:t xml:space="preserve">iderando a exigência de atendimento unificado aos arquitetos e urbanistas de todo o País, que se reflita no exercício profissional em todo o território nacional conforme determina o parágrafo único do art. 5° da Lei n° 12.378, de 31 de dezembro de 2010;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Considerando a economia de escala a ser proporcionada pelo CSC, que busca cumprir os princípios constitucionais da administração pública da eficiência e da economicidade;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Considerando a necessidade de definição de formas de acessos e respectivos compro</w:t>
      </w:r>
      <w:r>
        <w:t xml:space="preserve">missos e padrões nacionais da qualidade de atendimento por meio da Carta de Serviços ao Cidadão prevista no Decreto n° 6.932, de 11 de agosto de 2009;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Considerando as discussões realizadas ao longo dos anos de 2021 e 2023, no âmbito do Colegiado Gestor </w:t>
      </w:r>
      <w:r>
        <w:t xml:space="preserve">do Centro de Serviços Compartilhados, com a participação do Fórum de Presidentes,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rPr>
          <w:b/>
        </w:rPr>
        <w:t xml:space="preserve"> </w:t>
      </w:r>
    </w:p>
    <w:p w:rsidR="00F01D5E" w:rsidRDefault="00D76B86">
      <w:pPr>
        <w:spacing w:after="0" w:line="259" w:lineRule="auto"/>
        <w:ind w:left="1116" w:right="0"/>
        <w:jc w:val="left"/>
      </w:pPr>
      <w:r>
        <w:rPr>
          <w:b/>
        </w:rPr>
        <w:t xml:space="preserve">RESOLVE: </w:t>
      </w:r>
    </w:p>
    <w:p w:rsidR="00F01D5E" w:rsidRDefault="00D76B86">
      <w:pPr>
        <w:spacing w:after="3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F01D5E" w:rsidRDefault="00D76B86">
      <w:pPr>
        <w:ind w:left="1116" w:right="0"/>
      </w:pPr>
      <w:r>
        <w:t>Art. 1º - A gestão do Centro de Serviços Compartilhados de Tecnologia da Informação (TI) do Conselho de Arquitetura e Urbanismo (CSC-CAU), objeto das Resolu</w:t>
      </w:r>
      <w:r>
        <w:t>ções CAU/BR nº 60, de 7 de novembro de 2013, nº 71, de 24 de janeiro de 2014, nº 77, de 11 de abril de 2014 e nº 92, de 10 de outubro de 2014, passa a ser regida por esta Resolução, que consolida e revoga os dispositivos anteriores relacionados com a matér</w:t>
      </w:r>
      <w:r>
        <w:t xml:space="preserve">ia.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spacing w:after="29" w:line="259" w:lineRule="auto"/>
        <w:ind w:left="1121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pStyle w:val="Ttulo1"/>
        <w:ind w:left="1126" w:right="3"/>
      </w:pPr>
      <w:r>
        <w:lastRenderedPageBreak/>
        <w:t xml:space="preserve">CAPÍTULO I </w:t>
      </w:r>
    </w:p>
    <w:p w:rsidR="00F01D5E" w:rsidRDefault="00D76B86">
      <w:pPr>
        <w:spacing w:after="0" w:line="259" w:lineRule="auto"/>
        <w:ind w:left="1176" w:right="0" w:firstLine="0"/>
        <w:jc w:val="center"/>
      </w:pPr>
      <w:r>
        <w:rPr>
          <w:b/>
        </w:rPr>
        <w:t xml:space="preserve"> </w:t>
      </w:r>
    </w:p>
    <w:p w:rsidR="00F01D5E" w:rsidRDefault="00D76B86">
      <w:pPr>
        <w:spacing w:after="0" w:line="259" w:lineRule="auto"/>
        <w:ind w:left="3028" w:right="0"/>
        <w:jc w:val="left"/>
      </w:pPr>
      <w:r>
        <w:rPr>
          <w:b/>
        </w:rPr>
        <w:t>DOS SERVIÇOS OFERECIDOS PELO CSC-CAU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01D5E" w:rsidRDefault="00D76B8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ind w:left="1116" w:right="0"/>
      </w:pPr>
      <w:r>
        <w:t xml:space="preserve">Art. 2º - Os serviços oferecidos pelo Centro de Serviços Compartilhados (CSCCAU) serão detalhados em Catálogo de Serviços de Tecnologia de Informação (TI), disponível on-line </w:t>
      </w:r>
      <w:r>
        <w:t xml:space="preserve">e constantemente atualizado, com homologação do CGCSC e alinhamento com a estratégia do CAU, contendo os seguintes elementos: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Nome do Serviço: nome identificador do serviço de modo claro e descritivo;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Descrição do Serviço: breve descrição contendo a </w:t>
      </w:r>
      <w:r>
        <w:t xml:space="preserve">finalidade;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Escopo do Serviço: recursos e funcionalidades fornecidas, incluindo os limites e restrições;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Requisitos do Serviço: requisitos técnicos ou de negócio necessários para utilização;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Processo de Solicitação: como os usuários solicitam o se</w:t>
      </w:r>
      <w:r>
        <w:t xml:space="preserve">rviço, incluindo os recursos e funcionalidades fornecidos;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Níveis de Serviço: especificação dos níveis de desempenho, disponibilidade e suporte associados ao serviço;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Responsabilidades: identificação das responsabilidades da equipe de suporte e dos u</w:t>
      </w:r>
      <w:r>
        <w:t xml:space="preserve">suários em relação ao serviço; 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Políticas e prazos: informações sobre as políticas aplicáveis ao serviço, como políticas de segurança, privacidade e conformidade, além de indicar prazos de entrega e resolução de problemas;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Métricas de desempenho: def</w:t>
      </w:r>
      <w:r>
        <w:t xml:space="preserve">inição de métricas utilizadas para avaliar e monitorar o desempenho do serviço; </w:t>
      </w:r>
    </w:p>
    <w:p w:rsidR="00F01D5E" w:rsidRDefault="00D76B86">
      <w:pPr>
        <w:numPr>
          <w:ilvl w:val="0"/>
          <w:numId w:val="1"/>
        </w:numPr>
        <w:ind w:right="0" w:hanging="235"/>
      </w:pPr>
      <w:r>
        <w:t>–</w:t>
      </w:r>
      <w:r>
        <w:t xml:space="preserve"> Custos: caso existam custos associados ao serviço, incluir a especificação detalhada, incluindo modelos de precificação e opções de pagamento; XI </w:t>
      </w:r>
      <w:r>
        <w:t>–</w:t>
      </w:r>
      <w:r>
        <w:t xml:space="preserve"> </w:t>
      </w:r>
      <w:r>
        <w:t xml:space="preserve">Informações de contato: detalhes de contato do suporte técnico ou da equipe responsável pelo serviço, incluindo telefone, e-mail ou portal de autoatendimento.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Art. 3º - A Gestão do CSC-CAU adotará as medidas necessárias para a implantação do Catálogo </w:t>
      </w:r>
      <w:r>
        <w:t>ou Portfólio de Serviços, utilizando como referência frameworks reconhecidos, como ITIL (</w:t>
      </w:r>
      <w:proofErr w:type="spellStart"/>
      <w:r>
        <w:t>Information</w:t>
      </w:r>
      <w:proofErr w:type="spellEnd"/>
      <w:r>
        <w:t xml:space="preserve"> Technology </w:t>
      </w:r>
      <w:proofErr w:type="spellStart"/>
      <w:r>
        <w:t>Infrastructure</w:t>
      </w:r>
      <w:proofErr w:type="spellEnd"/>
      <w:r>
        <w:t xml:space="preserve"> Library), COBIT (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for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Technologies), ISO/IEC 20000 ou outro framework aplicável ao seto</w:t>
      </w:r>
      <w:r>
        <w:t xml:space="preserve">r público.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pStyle w:val="Ttulo1"/>
        <w:ind w:left="1126"/>
      </w:pPr>
      <w:r>
        <w:lastRenderedPageBreak/>
        <w:t>CAPÍTULO II DA GOVERNANÇA DO CSC-CAU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Art. 4º - A estrutura de Governança do CSC-CAU deverá observar os seguintes princípios: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2"/>
        </w:numPr>
        <w:ind w:right="0"/>
      </w:pPr>
      <w:r>
        <w:t xml:space="preserve">- Foco nas Partes Interessadas: as estruturas de governança e gestão do CSCCAU, bem como as estratégias, os </w:t>
      </w:r>
      <w:r>
        <w:t xml:space="preserve">planos, projetos e serviços de TI, deverão ser </w:t>
      </w:r>
      <w:proofErr w:type="gramStart"/>
      <w:r>
        <w:t>desenvolvidos</w:t>
      </w:r>
      <w:proofErr w:type="gramEnd"/>
      <w:r>
        <w:t xml:space="preserve"> tendo como principal insumo as necessidades das principais partes envolvidas no uso de TI no Conselho de Arquitetura e Urbanismo (CAU), alinhadas aos objetivos estratégicos do CAU;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2"/>
        </w:numPr>
        <w:ind w:right="0"/>
      </w:pPr>
      <w:r>
        <w:t>- TI como A</w:t>
      </w:r>
      <w:r>
        <w:t xml:space="preserve">tivo Estratégico do CAU: a governança de TI deve ser implantada buscando o papel estratégico da TI para contribuir, de maneira eficaz, com a sustentação dos serviços públicos providos pelo CAU e com a viabilização de novas estratégias;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2"/>
        </w:numPr>
        <w:ind w:right="0"/>
      </w:pPr>
      <w:r>
        <w:t>- Gestão por Resu</w:t>
      </w:r>
      <w:r>
        <w:t>ltados: as ações relacionadas à governança de TI deverão ser implantadas considerando mecanismos para a medição e o monitoramento das metas de TI, permitindo que a função de governança possa validar, direcionar, justificar e intervir nas estratégias e açõe</w:t>
      </w:r>
      <w:r>
        <w:t xml:space="preserve">s de TI do CAU, realizando benefícios com otimização de custos e gerenciamento de riscos;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2"/>
        </w:numPr>
        <w:ind w:right="0"/>
      </w:pPr>
      <w:r>
        <w:t>- Transparência: o desempenho, os custos, riscos e resultados das ações empreendidas pelo CSC-CAU deverão ser medidos pela gestão do CSC-CAU e reportados à alta ad</w:t>
      </w:r>
      <w:r>
        <w:t xml:space="preserve">ministração do CAU e à sociedade por meio de canais de comunicação adequados, provendo transparência à aplicação dos recursos públicos em iniciativas de TI e propiciando amplo acesso e divulgação das informações;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2"/>
        </w:numPr>
        <w:ind w:right="0"/>
      </w:pPr>
      <w:r>
        <w:t>- Prestação de Contas e Responsabilizaçã</w:t>
      </w:r>
      <w:r>
        <w:t>o: os papéis e responsabilidades acerca das tomadas de decisão que envolvem os diversos aspectos de TI deverão ser definidos, compreendidos e aceitos de maneira clara e sem ambiguidade, de forma a assegurar a adequada prestação de contas das ações, bem com</w:t>
      </w:r>
      <w:r>
        <w:t xml:space="preserve">o a responsabilização pelos atos praticados;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2"/>
        </w:numPr>
        <w:ind w:right="0"/>
      </w:pPr>
      <w:r>
        <w:t xml:space="preserve">- Conformidade: as ações relacionadas à governança de TI deverão contribuir para que as ações de TI cumpram obrigações regulamentares, legislativas, legais e contratuais aplicáveis.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lastRenderedPageBreak/>
        <w:t xml:space="preserve"> Art. 5º - A estrutu</w:t>
      </w:r>
      <w:r>
        <w:t>ra de Governança do CSC-CAU será composta por dois níveis, buscando criar uma clara separação entre os aspectos estratégicos, táticos e operacionais, permitindo uma melhor coordenação, tomada de decisões e controle sobre as atividades do CSC-CAU: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</w:p>
    <w:p w:rsidR="00F01D5E" w:rsidRDefault="00D76B86">
      <w:pPr>
        <w:spacing w:after="31" w:line="259" w:lineRule="auto"/>
        <w:ind w:left="1121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ind w:left="1116" w:right="0"/>
      </w:pPr>
      <w:r>
        <w:t xml:space="preserve">I </w:t>
      </w:r>
      <w:r>
        <w:t>–</w:t>
      </w:r>
      <w:r>
        <w:t xml:space="preserve"> </w:t>
      </w:r>
      <w:r>
        <w:t xml:space="preserve">O Comitê de Governança Corporativa de Tecnologia </w:t>
      </w:r>
      <w:r>
        <w:t>–</w:t>
      </w:r>
      <w:r>
        <w:t xml:space="preserve"> CGTI do CAU é responsável pela avaliação e direcionamento da TI para apoiar o CAU e pelo monitoramento do uso da TI para realizar estratégias, políticas, planos e projetos, tendo como atribuições: </w:t>
      </w:r>
    </w:p>
    <w:p w:rsidR="00F01D5E" w:rsidRDefault="00D76B86">
      <w:pPr>
        <w:numPr>
          <w:ilvl w:val="0"/>
          <w:numId w:val="3"/>
        </w:numPr>
        <w:ind w:right="0" w:hanging="360"/>
      </w:pPr>
      <w:r>
        <w:t>Definir</w:t>
      </w:r>
      <w:r>
        <w:t xml:space="preserve"> a visão e os objetivos estratégicos do CSC-CAU; </w:t>
      </w:r>
    </w:p>
    <w:p w:rsidR="00F01D5E" w:rsidRDefault="00D76B86">
      <w:pPr>
        <w:numPr>
          <w:ilvl w:val="0"/>
          <w:numId w:val="3"/>
        </w:numPr>
        <w:ind w:right="0" w:hanging="360"/>
      </w:pPr>
      <w:r>
        <w:t>Elaborar o Plano Estratégico de Tecnologia da Informação do CSC-CAU, assegurando que a área de TI gere valor e benefícios ao CAU, com riscos controlados e procedimentos seguros, vinculado ao cronograma da g</w:t>
      </w:r>
      <w:r>
        <w:t xml:space="preserve">estão da estratégia do CAU; </w:t>
      </w:r>
    </w:p>
    <w:p w:rsidR="00F01D5E" w:rsidRDefault="00D76B86">
      <w:pPr>
        <w:numPr>
          <w:ilvl w:val="0"/>
          <w:numId w:val="3"/>
        </w:numPr>
        <w:ind w:right="0" w:hanging="360"/>
      </w:pPr>
      <w:r>
        <w:t xml:space="preserve">Estabelecer políticas e diretrizes gerais para o funcionamento do CSC-CAU; </w:t>
      </w:r>
    </w:p>
    <w:p w:rsidR="00F01D5E" w:rsidRDefault="00D76B86">
      <w:pPr>
        <w:numPr>
          <w:ilvl w:val="0"/>
          <w:numId w:val="3"/>
        </w:numPr>
        <w:ind w:right="0" w:hanging="360"/>
      </w:pPr>
      <w:r>
        <w:t xml:space="preserve">Alocar recursos adequados para suportar as atividades do CSC-CAU; </w:t>
      </w:r>
    </w:p>
    <w:p w:rsidR="00F01D5E" w:rsidRDefault="00D76B86">
      <w:pPr>
        <w:numPr>
          <w:ilvl w:val="0"/>
          <w:numId w:val="3"/>
        </w:numPr>
        <w:ind w:right="0" w:hanging="360"/>
      </w:pPr>
      <w:r>
        <w:t xml:space="preserve">Monitorar a implantação da visão estratégica e o alcance dos objetivos do CSC-CAU.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Parágrafo único: para o desempenho de suas atribuições, o CGTI contará com o suporte da Gestão do CSC-CAU, que deverá constituir estrutura adequada para exercer tal suporte.   </w:t>
      </w:r>
    </w:p>
    <w:p w:rsidR="00F01D5E" w:rsidRDefault="00D76B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II </w:t>
      </w:r>
      <w:r>
        <w:t>–</w:t>
      </w:r>
      <w:r>
        <w:t xml:space="preserve"> A Gestão do CSC-CAU é responsável pelo planejamento, desenvolvimento,</w:t>
      </w:r>
      <w:r>
        <w:t xml:space="preserve"> execução e monitoramento das atividades de TI em consonância com o direcionamento definido pela função de governança, tendo como atribuições: </w:t>
      </w:r>
    </w:p>
    <w:p w:rsidR="00F01D5E" w:rsidRDefault="00D76B86">
      <w:pPr>
        <w:spacing w:after="63" w:line="259" w:lineRule="auto"/>
        <w:ind w:left="1121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numPr>
          <w:ilvl w:val="3"/>
          <w:numId w:val="4"/>
        </w:numPr>
        <w:ind w:right="0" w:hanging="360"/>
      </w:pPr>
      <w:r>
        <w:t xml:space="preserve">Traduzir a visão, os objetivos e o planejamento estratégico em planos e ações concretas para o CSC-CAU; </w:t>
      </w:r>
    </w:p>
    <w:p w:rsidR="00F01D5E" w:rsidRDefault="00D76B86">
      <w:pPr>
        <w:numPr>
          <w:ilvl w:val="3"/>
          <w:numId w:val="4"/>
        </w:numPr>
        <w:ind w:right="0" w:hanging="360"/>
      </w:pPr>
      <w:r>
        <w:t>Acomp</w:t>
      </w:r>
      <w:r>
        <w:t xml:space="preserve">anhar a execução do Plano de Ação e Orçamento do CSC-CAU, adotando, quando necessário, medidas adequadas para sanar desvios; </w:t>
      </w:r>
    </w:p>
    <w:p w:rsidR="00F01D5E" w:rsidRDefault="00D76B86">
      <w:pPr>
        <w:numPr>
          <w:ilvl w:val="3"/>
          <w:numId w:val="4"/>
        </w:numPr>
        <w:ind w:right="0" w:hanging="360"/>
      </w:pPr>
      <w:r>
        <w:t xml:space="preserve">Adotar, em conjunto com as áreas operacionais do CSC-CAU, medidas voltadas para a otimização de recursos; </w:t>
      </w:r>
    </w:p>
    <w:p w:rsidR="00F01D5E" w:rsidRDefault="00D76B86">
      <w:pPr>
        <w:numPr>
          <w:ilvl w:val="3"/>
          <w:numId w:val="4"/>
        </w:numPr>
        <w:ind w:right="0" w:hanging="360"/>
      </w:pPr>
      <w:r>
        <w:t xml:space="preserve">Adotar, em conjunto com as áreas operacionais do CSC-CAU, medidas de mitigação de riscos, voltadas para garantir a continuidade das atividades do CAU frente à eventos adversos.  </w:t>
      </w:r>
    </w:p>
    <w:p w:rsidR="00F01D5E" w:rsidRDefault="00D76B86">
      <w:pPr>
        <w:spacing w:after="2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ind w:left="1116" w:right="0"/>
      </w:pPr>
      <w:r>
        <w:t>Parágrafo único: para o desempenho de suas atribuições, a Gestão do CSC-CAU</w:t>
      </w:r>
      <w:r>
        <w:t xml:space="preserve"> deverá propor estrutura organizacional adequada, a ser construída com a </w:t>
      </w:r>
      <w:r>
        <w:lastRenderedPageBreak/>
        <w:t xml:space="preserve">participação do CGTI e posteriormente homologada pelas instâncias competentes do CAU/BR.   </w:t>
      </w:r>
    </w:p>
    <w:p w:rsidR="00F01D5E" w:rsidRDefault="00D76B86">
      <w:pPr>
        <w:spacing w:after="2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ind w:left="1116" w:right="0"/>
      </w:pPr>
      <w:r>
        <w:t>Art. 6º - A estrutura de Governança do CSC-</w:t>
      </w:r>
      <w:r>
        <w:t xml:space="preserve">CAU utilizará artefatos de gestão adequados para cada um dos níveis, considerando, no mínimo, os seguintes: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3"/>
        </w:numPr>
        <w:ind w:right="0"/>
      </w:pPr>
      <w:r>
        <w:t xml:space="preserve">- Plano Estratégico de Tecnologia da Informação do CSC-CAU: documento elaborado pelo Comitê de Governança Corporativa de Tecnologia </w:t>
      </w:r>
      <w:r>
        <w:t>–</w:t>
      </w:r>
      <w:r>
        <w:t xml:space="preserve"> CGTI, que d</w:t>
      </w:r>
      <w:r>
        <w:t>escreve a visão, objetivos, metas e diretrizes para os serviços de Tecnologia da Informação (TI) fornecidos pelo CSC-CAU, estabelecendo a estratégia de TI a ser seguida, identificando as áreas de foco e definindo os planos de ação para alcançar os resultad</w:t>
      </w:r>
      <w:r>
        <w:t xml:space="preserve">os desejados. É o documento que orienta, a longo prazo, as atividades de TI do CAU, alinhando-as com as necessidades e objetivos autárquicos. É atualizado periodicamente, como parte integrante dos processos de gestão da estratégia do CAU.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3"/>
        </w:numPr>
        <w:ind w:right="0"/>
      </w:pPr>
      <w:r>
        <w:t>- Políticas e</w:t>
      </w:r>
      <w:r>
        <w:t xml:space="preserve"> Diretrizes do CSC-CAU: são um conjunto de documentos, elaborados pela Gestão do CSC-CAU em conjunto com o Comitê de Governança Corporativa de Tecnologia </w:t>
      </w:r>
      <w:r>
        <w:t>–</w:t>
      </w:r>
      <w:r>
        <w:t xml:space="preserve"> CGTI, que estabelecem regras, princípios e orientações voltados para governar a gestão e o uso da TI</w:t>
      </w:r>
      <w:r>
        <w:t xml:space="preserve"> no CAU, visando garantir a segurança, a confiabilidade, a conformidade e a eficiência dos processos e dos sistemas de TI, abrangendo áreas como segurança da informação, gestão de ativos de TI, gerenciamento de mudanças, governança de dados, dentre outros </w:t>
      </w:r>
      <w:r>
        <w:t>aspectos relevantes para a governança corporativa de TI. Esses documentos ajudam a estabelecer um conjunto consistente de práticas e responsabilidades para o uso adequado e efetivo da tecnologia no contexto organizacional. São atualizados periodicamente, d</w:t>
      </w:r>
      <w:r>
        <w:t xml:space="preserve">e acordo com as necessidades e mudanças no ambiente tecnológico ou nas estratégias do CAU.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3"/>
        </w:numPr>
        <w:ind w:right="0"/>
      </w:pPr>
      <w:r>
        <w:t>- Relatórios de acompanhamento de indicadores estratégicos: são documentos que fornecem informações sobre o desempenho e o progresso do CSC-CAU em relação aos ob</w:t>
      </w:r>
      <w:r>
        <w:t>jetivos estratégicos estabelecidos. São elaborados pela Gestão do CSC-CAU e apreciados pelo CGTI em intervalos regulares (trimestral ou semestral) para permitir uma avaliação contínua do desempenho, com base em métricas e indicadores-chave de desempenho de</w:t>
      </w:r>
      <w:r>
        <w:t xml:space="preserve">finidos previamente no Plano Estratégico de Serviços, permitindo que seja avaliado o progresso em relação às metas estabelecidas e tome ações corretivas, se necessário.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3"/>
        </w:numPr>
        <w:ind w:right="0"/>
      </w:pPr>
      <w:r>
        <w:t>–</w:t>
      </w:r>
      <w:r>
        <w:t xml:space="preserve"> Plano de Ação e Orçamento do CSC-CAU: é um documento elaborado pela Gestão do CSC-</w:t>
      </w:r>
      <w:r>
        <w:t xml:space="preserve">CAU que descreve as ações e os projetos específicos a serem </w:t>
      </w:r>
      <w:r>
        <w:lastRenderedPageBreak/>
        <w:t xml:space="preserve">realizados para alcançar os objetivos estratégicos estabelecidos pelo CGCTI, concentrando-se nas atividades de médio e curto prazo, com horizonte de </w:t>
      </w:r>
      <w:proofErr w:type="gramStart"/>
      <w:r>
        <w:t>um até três anos</w:t>
      </w:r>
      <w:proofErr w:type="gramEnd"/>
      <w:r>
        <w:t>, detalhando as iniciativas, os</w:t>
      </w:r>
      <w:r>
        <w:t xml:space="preserve"> recursos necessários, os prazos e as responsabilidades envolvidas. Deve ser elaborado com base no Plano Estratégico de Serviços, fornecendo uma abordagem mais detalhada e operacional para implementar as estratégias de TI. Abrange o planejamento, o monitor</w:t>
      </w:r>
      <w:r>
        <w:t>amento e o controle dos recursos financeiros relacionados às atividades de TI, incluindo a estimativa de custos, alocação de recursos, previsão de receitas e despesas, controle de gastos e acompanhamento financeiro geral, permitindo a gestão financeira efe</w:t>
      </w:r>
      <w:r>
        <w:t>tiva do CSC-CAU, garantindo que os recursos financeiros sejam utilizados de maneira adequada e alinhada às metas e prioridades estabelecidas. Elaborado e revisado anualmente, com acompanhamento contínuo ao longo do ano para garantir a conformidade financei</w:t>
      </w:r>
      <w:r>
        <w:t xml:space="preserve">ra e a eficiência dos investimentos em TI.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3"/>
        </w:numPr>
        <w:ind w:right="0"/>
      </w:pPr>
      <w:r>
        <w:t>- Relatórios de desempenho e indicadores de serviços: são documentos elaborados pela Gestão do CSC-CAU que fornecem informações sobre o desempenho dos serviços TI fornecidos pelo CSC-CAU, incluindo métricas e i</w:t>
      </w:r>
      <w:r>
        <w:t xml:space="preserve">ndicadores-chave de desempenho que medem a eficiência, a qualidade e a satisfação dos serviços de TI, abordando aspectos como disponibilidade dos sistemas, tempo de resposta, tempo médio de resolução de incidentes, satisfação do usuário, entre outros. São </w:t>
      </w:r>
      <w:r>
        <w:t xml:space="preserve">elaborados regularmente, em intervalos mensais, trimestrais ou semestrais, para monitorar o desempenho dos serviços de TI e identificar áreas de melhoria.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3"/>
        </w:numPr>
        <w:ind w:right="0"/>
      </w:pPr>
      <w:r>
        <w:t xml:space="preserve">- Relatórios de incidentes, requisições e problemas: são documentos que registram e acompanham as </w:t>
      </w:r>
      <w:r>
        <w:t>ocorrências relacionadas aos serviços de TI do CSCCAU, registrando os incidentes reportados pelos usuários, as requisições de serviço solicitadas e os problemas identificados, podendo conter informações como a descrição do incidente, a sua prioridade, o te</w:t>
      </w:r>
      <w:r>
        <w:t xml:space="preserve">mpo de resposta, o status atual e as ações tomadas para resolvê-lo. São essenciais para o controle e a gestão operacional, permitindo a identificação de tendências, a resolução eficiente de problemas e a melhoria contínua dos serviços. </w:t>
      </w:r>
    </w:p>
    <w:p w:rsidR="00F01D5E" w:rsidRDefault="00D76B86">
      <w:pPr>
        <w:spacing w:after="0" w:line="259" w:lineRule="auto"/>
        <w:ind w:left="1800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3"/>
        </w:numPr>
        <w:ind w:right="0"/>
      </w:pPr>
      <w:r>
        <w:t xml:space="preserve">- </w:t>
      </w:r>
      <w:r>
        <w:t>Métricas de desempenho operacional: indicadores quantitativos utilizados para avaliar e monitorar o desempenho das operações do CSC-CAU, podendo incluir tempo médio de resposta, tempo médio de resolução, taxa de resolução no primeiro contato, satisfação do</w:t>
      </w:r>
      <w:r>
        <w:t xml:space="preserve"> usuário, disponibilidade dos sistemas, entre outros. As métricas são coletadas e analisadas regularmente para acompanhar o desempenho operacional, identificar áreas de melhoria, medir a eficiência dos processos e fornecer informações para a tomada de </w:t>
      </w:r>
      <w:r>
        <w:lastRenderedPageBreak/>
        <w:t>deci</w:t>
      </w:r>
      <w:r>
        <w:t xml:space="preserve">sões, sendo fundamentais para a gestão operacional efetiva e para o cumprimento dos níveis de serviço acordados. </w:t>
      </w:r>
    </w:p>
    <w:p w:rsidR="00F01D5E" w:rsidRDefault="00D76B86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Art. 7º - O Comitê de Governança Corporativa de Tecnologia </w:t>
      </w:r>
      <w:r>
        <w:t>–</w:t>
      </w:r>
      <w:r>
        <w:t xml:space="preserve"> CGTI realizará reuniões ordinárias mensais, entre os meses de março e novembro,</w:t>
      </w:r>
      <w:r>
        <w:t xml:space="preserve"> tratando de pautas estratégicas, como análise da Governança de TI; gerenciamento de riscos; acompanhamento de projetos e iniciativas; novas iniciativas; dentre outros considerados relevantes.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Art. 8º - O Comitê de Governança Corporativa de Tecnologia </w:t>
      </w:r>
      <w:r>
        <w:t>–</w:t>
      </w:r>
      <w:r>
        <w:t xml:space="preserve"> CGCTI será presidido pelo Presidente do CAU/BR e composto pelos seguintes membros e seus suplentes: </w:t>
      </w:r>
    </w:p>
    <w:p w:rsidR="00F01D5E" w:rsidRDefault="00D76B86">
      <w:pPr>
        <w:numPr>
          <w:ilvl w:val="0"/>
          <w:numId w:val="5"/>
        </w:numPr>
        <w:ind w:right="0" w:hanging="360"/>
      </w:pPr>
      <w:r>
        <w:t xml:space="preserve">Presidente do CAU/BR (Suplente: 1° Vice-Presidente); </w:t>
      </w:r>
    </w:p>
    <w:p w:rsidR="00F01D5E" w:rsidRDefault="00D76B86">
      <w:pPr>
        <w:numPr>
          <w:ilvl w:val="0"/>
          <w:numId w:val="5"/>
        </w:numPr>
        <w:ind w:right="0" w:hanging="360"/>
      </w:pPr>
      <w:r>
        <w:t xml:space="preserve">Coordenador da COA/BR (Suplente: Coordenador-Adjunto); </w:t>
      </w:r>
    </w:p>
    <w:p w:rsidR="00F01D5E" w:rsidRDefault="00D76B86">
      <w:pPr>
        <w:numPr>
          <w:ilvl w:val="0"/>
          <w:numId w:val="5"/>
        </w:numPr>
        <w:ind w:right="0" w:hanging="360"/>
      </w:pPr>
      <w:r>
        <w:t>Coordenador da CPFI/BR (Suplente: Coordenad</w:t>
      </w:r>
      <w:r>
        <w:t xml:space="preserve">or-Adjunto); </w:t>
      </w:r>
    </w:p>
    <w:p w:rsidR="00F01D5E" w:rsidRDefault="00D76B86">
      <w:pPr>
        <w:numPr>
          <w:ilvl w:val="0"/>
          <w:numId w:val="5"/>
        </w:numPr>
        <w:ind w:right="0" w:hanging="360"/>
      </w:pPr>
      <w:r>
        <w:t xml:space="preserve">01 Presidente de CAU/UF básico e suplente; </w:t>
      </w:r>
    </w:p>
    <w:p w:rsidR="00F01D5E" w:rsidRDefault="00D76B86">
      <w:pPr>
        <w:numPr>
          <w:ilvl w:val="0"/>
          <w:numId w:val="5"/>
        </w:numPr>
        <w:ind w:right="0" w:hanging="360"/>
      </w:pPr>
      <w:r>
        <w:t xml:space="preserve">02 Presidentes de CAU/UF intermediário e suplente; </w:t>
      </w:r>
    </w:p>
    <w:p w:rsidR="00F01D5E" w:rsidRDefault="00D76B86">
      <w:pPr>
        <w:numPr>
          <w:ilvl w:val="0"/>
          <w:numId w:val="5"/>
        </w:numPr>
        <w:ind w:right="0" w:hanging="360"/>
      </w:pPr>
      <w:r>
        <w:t xml:space="preserve">01 Presidente de CAU/UF grande e suplente; </w:t>
      </w:r>
    </w:p>
    <w:p w:rsidR="00F01D5E" w:rsidRDefault="00D76B86">
      <w:pPr>
        <w:numPr>
          <w:ilvl w:val="0"/>
          <w:numId w:val="5"/>
        </w:numPr>
        <w:ind w:right="0" w:hanging="360"/>
      </w:pPr>
      <w:r>
        <w:t xml:space="preserve">Gerente do CSC-CAU, sem direito a voto. </w:t>
      </w:r>
    </w:p>
    <w:p w:rsidR="00F01D5E" w:rsidRDefault="00D76B86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§ 1° - O comitê contará com o suporte técnico dos seguintes</w:t>
      </w:r>
      <w:r>
        <w:t xml:space="preserve"> profissionais, com direito a manifestação, sem direito a voto: </w:t>
      </w:r>
    </w:p>
    <w:p w:rsidR="00F01D5E" w:rsidRDefault="00D76B86">
      <w:pPr>
        <w:spacing w:after="5" w:line="259" w:lineRule="auto"/>
        <w:ind w:left="1440" w:right="0" w:firstLine="0"/>
        <w:jc w:val="left"/>
      </w:pPr>
      <w:r>
        <w:t xml:space="preserve"> </w:t>
      </w:r>
    </w:p>
    <w:p w:rsidR="00F01D5E" w:rsidRDefault="00D76B86">
      <w:pPr>
        <w:numPr>
          <w:ilvl w:val="1"/>
          <w:numId w:val="5"/>
        </w:numPr>
        <w:ind w:right="0" w:hanging="360"/>
      </w:pPr>
      <w:r>
        <w:t xml:space="preserve">Gerente de Planejamento e Gestão da Estratégia do CAU/BR; </w:t>
      </w:r>
    </w:p>
    <w:p w:rsidR="00F01D5E" w:rsidRDefault="00D76B86">
      <w:pPr>
        <w:numPr>
          <w:ilvl w:val="1"/>
          <w:numId w:val="5"/>
        </w:numPr>
        <w:ind w:right="0" w:hanging="360"/>
      </w:pPr>
      <w:r>
        <w:t xml:space="preserve">Gerente de Orçamento e Finanças do CAU/BR; </w:t>
      </w:r>
    </w:p>
    <w:p w:rsidR="00F01D5E" w:rsidRDefault="00D76B86">
      <w:pPr>
        <w:numPr>
          <w:ilvl w:val="1"/>
          <w:numId w:val="5"/>
        </w:numPr>
        <w:ind w:right="0" w:hanging="360"/>
      </w:pPr>
      <w:r>
        <w:t xml:space="preserve">01 Representante Técnico de CAU/UF básico; </w:t>
      </w:r>
    </w:p>
    <w:p w:rsidR="00F01D5E" w:rsidRDefault="00D76B86">
      <w:pPr>
        <w:numPr>
          <w:ilvl w:val="1"/>
          <w:numId w:val="5"/>
        </w:numPr>
        <w:ind w:right="0" w:hanging="360"/>
      </w:pPr>
      <w:r>
        <w:t xml:space="preserve">02 Representantes Técnicos </w:t>
      </w:r>
      <w:r>
        <w:t xml:space="preserve">de CAU/UF intermediário; </w:t>
      </w:r>
    </w:p>
    <w:p w:rsidR="00F01D5E" w:rsidRDefault="00D76B86">
      <w:pPr>
        <w:numPr>
          <w:ilvl w:val="1"/>
          <w:numId w:val="5"/>
        </w:numPr>
        <w:ind w:right="0" w:hanging="360"/>
      </w:pPr>
      <w:r>
        <w:t xml:space="preserve">01 Representante Técnico de CAU/UF grande.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§ 2° - Os presidentes integrantes do comitê (titulares e suplentes) serão escolhidos pelo Fórum de Presidentes, com posterior homologação do Plenário do CAU/BR.  </w:t>
      </w:r>
    </w:p>
    <w:p w:rsidR="00F01D5E" w:rsidRDefault="00D76B86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§ 3° - Os presiden</w:t>
      </w:r>
      <w:r>
        <w:t xml:space="preserve">tes integrantes do comitê terão mandatos anuais, podendo ser reconduzidos até duas vezes.  </w:t>
      </w:r>
    </w:p>
    <w:p w:rsidR="00F01D5E" w:rsidRDefault="00D76B86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§ 4° - O Gerente do CSC-CAU será indicado pela Presidência do CAU/BR e terá sua contratação homologada pelo CGTI. </w:t>
      </w:r>
    </w:p>
    <w:p w:rsidR="00F01D5E" w:rsidRDefault="00D76B86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pStyle w:val="Ttulo1"/>
        <w:ind w:left="1126" w:right="2"/>
      </w:pPr>
      <w:r>
        <w:lastRenderedPageBreak/>
        <w:t>CAPÍTULO III DO ORÇAMENTO DO CSC-CAU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01D5E" w:rsidRDefault="00D76B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Art. 9º - O Plano de Ação e Orçamento do CSC-CAU deverá ser composto por despesas de custeio e de investimento, estabelecendo uma visão clara e diferenciando as necessidades operacionais e as oportunidades de inovação e crescimento de longo prazo.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Art.</w:t>
      </w:r>
      <w:r>
        <w:t xml:space="preserve"> 10º - O Plano de Ação e Orçamento do CSC-CAU será formulado anualmente pela Gestão do CSC-CAU, com suporte da Gerência de Planejamento e Gestão da Estratégia e da Gerência de Orçamento e Finanças, aprovado pelo CGTI e incorporado, como elemento de atendim</w:t>
      </w:r>
      <w:r>
        <w:t xml:space="preserve">ento obrigatório, nas Diretrizes Orçamentárias do CAU.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§ 1° - As despesas de custeio não serão objeto de reprogramação ordinária.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§ 2° - Eventuais necessidades de recursos deverão ser cobertas pelo Fundo de Reserva do CSC-</w:t>
      </w:r>
      <w:r>
        <w:t xml:space="preserve">CAU, que manterá, em conta corrente específica, o valor equivalente a 10% do orçamento anual, destinado a cobrir eventuais contingências no custeio do CSC-CAU, de modo a garantir a continuidade da prestação dos serviços.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§ 3° - O uso do Fundo de Reserva</w:t>
      </w:r>
      <w:r>
        <w:t xml:space="preserve">, devidamente justificado, deverá ser aprovado pelo CGTI.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§ 4° - As despesas de investimento poderão ser reprogramadas a qualquer momento, mediante apresentação de projeto específico aprovado pelo CGTI, que deverá ser suportado por recursos originados </w:t>
      </w:r>
      <w:r>
        <w:t xml:space="preserve">do superávit financeiro acumulado pelo CAU ou outro fundo equivalente, de modo a garantir que não ocorra impacto nas receitas correntes.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1121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1815"/>
      </w:tblGrid>
      <w:tr w:rsidR="00F01D5E">
        <w:trPr>
          <w:trHeight w:val="317"/>
        </w:trPr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01D5E" w:rsidRDefault="00D76B86">
            <w:pPr>
              <w:spacing w:after="0" w:line="259" w:lineRule="auto"/>
              <w:ind w:left="0" w:right="0" w:firstLine="0"/>
            </w:pPr>
            <w:r>
              <w:t xml:space="preserve">§ 5° - O Plano de Ação e Orçamento do CSC-CAU considerará, para seus reajustes </w:t>
            </w:r>
          </w:p>
        </w:tc>
      </w:tr>
      <w:tr w:rsidR="00F01D5E">
        <w:trPr>
          <w:trHeight w:val="317"/>
        </w:trPr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01D5E" w:rsidRDefault="00D76B86">
            <w:pPr>
              <w:spacing w:after="0" w:line="259" w:lineRule="auto"/>
              <w:ind w:left="0" w:right="0" w:firstLine="0"/>
            </w:pPr>
            <w:r>
              <w:t>anuais, os mesmos índices aplicado</w:t>
            </w:r>
            <w:r>
              <w:t>s ao reajuste das anuidades.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01D5E" w:rsidRDefault="00D76B8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§ 6° - Os recursos financeiros do CSC-CAU serão mantidos em conta corrente específica.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§ 7° - Eventuais sobras orçamentárias anuais serão adicionadas ao saldo do CSCCAU.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lastRenderedPageBreak/>
        <w:t>§ 8° - O saldo do CSC-</w:t>
      </w:r>
      <w:r>
        <w:t xml:space="preserve">CAU será utilizado para composição do Plano de Ação e Orçamento do ano subsequente.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§ 9° - O aporte de recursos ao Plano de Ação e Orçamento do CSC-CAU será calculado considerando o saldo do CSC-CAU como redutor do valor devido pelos CAU/UF.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Art. 1</w:t>
      </w:r>
      <w:r>
        <w:t xml:space="preserve">1º - As despesas de custeio englobam os gastos necessários para manter as operações do CSC-CAU, como, por exemplo, despesas administrativas, de pessoal, suprimentos e materiais. 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Art. 12º - As despesas de investimento referem-se aos gastos destinados a</w:t>
      </w:r>
      <w:r>
        <w:t xml:space="preserve"> projetos de expansão, desenvolvimento de novos serviços, atualização de infraestrutura, capacitação de pessoal, dentre outros. Exemplos de investimentos são aqueles realizados em pesquisa, design, prototipagem, aquisição de equipamentos, tecnologias emerg</w:t>
      </w:r>
      <w:r>
        <w:t xml:space="preserve">entes, transformação digital, automação de dados, dentre outros.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Art. 13º - As despesas de custeio e de investimento devem ser monitoradas separadamente, por meios e métodos próprios, proporcionando a monitoração e o controle das despesas, de modo a pe</w:t>
      </w:r>
      <w:r>
        <w:t xml:space="preserve">rmitir uma gestão mais eficiente e orientada para o crescimento sustentável do CAU.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Art. 14° - O custeio das despesas constantes no orçamento será efetivado pelos CAU/UF mediante o pagamento mensal de boletos bancários, cada um destes no valor correspo</w:t>
      </w:r>
      <w:r>
        <w:t>ndente a 1/12 (</w:t>
      </w:r>
      <w:proofErr w:type="gramStart"/>
      <w:r>
        <w:t>um doze avos</w:t>
      </w:r>
      <w:proofErr w:type="gramEnd"/>
      <w:r>
        <w:t xml:space="preserve">) do total, a serem emitidos pelo CAU/BR a partir da apuração do orçamento anual.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Parágrafo único </w:t>
      </w:r>
      <w:r>
        <w:t>–</w:t>
      </w:r>
      <w:r>
        <w:t xml:space="preserve"> </w:t>
      </w:r>
      <w:r>
        <w:t>A não quitação da parcela mensal na data prevista determinará a atualização diária do débito pelo Índice Nacional de Preços ao Consumidor (INPC) - ou outro que venha a substituí-lo como referencial para a atualização do orçamento do CAU - correspondente ao</w:t>
      </w:r>
      <w:r>
        <w:t xml:space="preserve"> período do atraso.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Art. 15° - Os serviços do CSC-CAU serão disponibilizados aos CAU/UF mediante assinatura no </w:t>
      </w:r>
      <w:r>
        <w:t>“</w:t>
      </w:r>
      <w:r>
        <w:t>Termo de Cessão de Uso de Sistemas Compartilhados mediante Acordo de Cooperação</w:t>
      </w:r>
      <w:r>
        <w:t>”, documento</w:t>
      </w:r>
      <w:r>
        <w:t>, revisado e renovado trienalmente, que tem por ob</w:t>
      </w:r>
      <w:r>
        <w:t xml:space="preserve">jetivo estabelecer os termos e condições contratuais para a participação no CSC-CAU e garantir a clareza e o alinhamento entre as partes, contendo, minimamente, os seguintes elementos: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6"/>
        </w:numPr>
        <w:ind w:right="0"/>
      </w:pPr>
      <w:r>
        <w:lastRenderedPageBreak/>
        <w:t>–</w:t>
      </w:r>
      <w:r>
        <w:t xml:space="preserve"> Objeto e escopo: descrição detalhada dos serviços que o CSC-CAU of</w:t>
      </w:r>
      <w:r>
        <w:t xml:space="preserve">erece, incluindo os processos e atividades cobertos, níveis de serviço acordados, prazos, métricas de desempenho e responsabilidades do CSC-CAU em relação à prestação desses serviços, de acordo com o Catálogo de Serviços de TI.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6"/>
        </w:numPr>
        <w:ind w:right="0"/>
      </w:pPr>
      <w:r>
        <w:t>- Responsabilidades dos C</w:t>
      </w:r>
      <w:r>
        <w:t xml:space="preserve">AU/UF: obrigações e responsabilidades dos CAU/UF ao utilizar os serviços do CSC-CAU, podendo incluir requisitos de fornecimento de dados, cooperação na execução de processos, adesão às políticas e procedimentos do centro de serviços, entre outros.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6"/>
        </w:numPr>
        <w:ind w:right="0"/>
      </w:pPr>
      <w:r>
        <w:t>–</w:t>
      </w:r>
      <w:r>
        <w:t xml:space="preserve"> Rec</w:t>
      </w:r>
      <w:r>
        <w:t>ursos financeiros: informações sobre o Plano de Ação e processos de aprovação e revisão orçamentária, bem como a menção de que o detalhamento do valor de aporte anual de cada CAU/UF (diferenciando valores relativos às despesas de custeio e despesas de inve</w:t>
      </w:r>
      <w:r>
        <w:t xml:space="preserve">stimento, com previsão de utilização de recursos de superávit financeiro para pagamento daquelas de investimento) será parte das Diretrizes Orçamentárias do CAU.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6"/>
        </w:numPr>
        <w:ind w:right="0"/>
      </w:pPr>
      <w:r>
        <w:t xml:space="preserve">- Governança e tomada de decisão: definição da estrutura de governança do CSC-CAU.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6"/>
        </w:numPr>
        <w:ind w:right="0"/>
      </w:pPr>
      <w:r>
        <w:t xml:space="preserve">- </w:t>
      </w:r>
      <w:r>
        <w:t xml:space="preserve">Confidencialidade e segurança: confidencialidade e a segurança das informações compartilhadas entre o CSC-CAU e os CAU/UF, estabelecendo as diretrizes e salvaguardas necessárias para proteger os dados sensíveis.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6"/>
        </w:numPr>
        <w:ind w:right="0"/>
      </w:pPr>
      <w:r>
        <w:t>- Métricas de desempenho e relatórios: mé</w:t>
      </w:r>
      <w:r>
        <w:t xml:space="preserve">tricas de desempenho que serão monitoradas para avaliar a eficiência e a eficácia dos serviços do CSC-CAU, estabelecendo a frequência e o formato dos relatórios a serem fornecidos aos CAU/UF.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numPr>
          <w:ilvl w:val="0"/>
          <w:numId w:val="6"/>
        </w:numPr>
        <w:ind w:right="0"/>
      </w:pPr>
      <w:r>
        <w:t xml:space="preserve">- Termos e condições gerais: duração do acordo, resolução de </w:t>
      </w:r>
      <w:r>
        <w:t xml:space="preserve">disputas, alterações no acordo, entre outros aspectos relevantes.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Parágrafo 1° </w:t>
      </w:r>
      <w:r>
        <w:t>–</w:t>
      </w:r>
      <w:r>
        <w:t xml:space="preserve"> O Acordo de Adesão ao Centro de Serviços Compartilhados será assinado trienalmente, por ocasião da aprovação do Plano Estratégico de Tecnologia da Informação.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1121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4967"/>
      </w:tblGrid>
      <w:tr w:rsidR="00F01D5E">
        <w:trPr>
          <w:trHeight w:val="317"/>
        </w:trPr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01D5E" w:rsidRDefault="00D76B86">
            <w:pPr>
              <w:spacing w:after="0" w:line="259" w:lineRule="auto"/>
              <w:ind w:left="0" w:right="0" w:firstLine="0"/>
            </w:pPr>
            <w:r>
              <w:t>Parágrafo</w:t>
            </w:r>
            <w:r>
              <w:t xml:space="preserve"> 2° </w:t>
            </w:r>
            <w:r>
              <w:t>–</w:t>
            </w:r>
            <w:r>
              <w:t xml:space="preserve"> O instrumento contratual elencado no caput deverá ser </w:t>
            </w:r>
          </w:p>
        </w:tc>
      </w:tr>
      <w:tr w:rsidR="00F01D5E">
        <w:trPr>
          <w:trHeight w:val="317"/>
        </w:trPr>
        <w:tc>
          <w:tcPr>
            <w:tcW w:w="4107" w:type="dxa"/>
            <w:tcBorders>
              <w:top w:val="nil"/>
              <w:left w:val="nil"/>
              <w:bottom w:val="nil"/>
              <w:right w:val="single" w:sz="23" w:space="0" w:color="FFFFFF"/>
            </w:tcBorders>
            <w:shd w:val="clear" w:color="auto" w:fill="FFFF00"/>
          </w:tcPr>
          <w:p w:rsidR="00F01D5E" w:rsidRDefault="00D76B86">
            <w:pPr>
              <w:spacing w:after="0" w:line="259" w:lineRule="auto"/>
              <w:ind w:left="0" w:right="0" w:firstLine="0"/>
            </w:pPr>
            <w:r>
              <w:t>elaborado em até 90(noventa) dias.</w:t>
            </w:r>
          </w:p>
        </w:tc>
        <w:tc>
          <w:tcPr>
            <w:tcW w:w="4967" w:type="dxa"/>
            <w:tcBorders>
              <w:top w:val="nil"/>
              <w:left w:val="single" w:sz="23" w:space="0" w:color="FFFFFF"/>
              <w:bottom w:val="nil"/>
              <w:right w:val="nil"/>
            </w:tcBorders>
          </w:tcPr>
          <w:p w:rsidR="00F01D5E" w:rsidRDefault="00D76B86">
            <w:pPr>
              <w:spacing w:after="0" w:line="259" w:lineRule="auto"/>
              <w:ind w:left="-22" w:right="0" w:firstLine="0"/>
              <w:jc w:val="left"/>
            </w:pPr>
            <w:r>
              <w:t xml:space="preserve">  </w:t>
            </w:r>
          </w:p>
        </w:tc>
      </w:tr>
    </w:tbl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lastRenderedPageBreak/>
        <w:t xml:space="preserve">Art. 16° - </w:t>
      </w:r>
      <w:r>
        <w:t xml:space="preserve">O CGTI deverá, em até 12 (doze) meses, emitir normatizações para detalhar a operacionalização administrativa, financeira e contábil da presente resolução.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 xml:space="preserve">Art. 17° - Ficam revogadas todas as disposições anteriores relacionadas ao CSCCAU.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ind w:left="1116" w:right="0"/>
      </w:pPr>
      <w:r>
        <w:t>Art. 18° - E</w:t>
      </w:r>
      <w:r>
        <w:t xml:space="preserve">sta resolução entra em vigor na data de sua publicação. 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spacing w:after="0" w:line="259" w:lineRule="auto"/>
        <w:ind w:left="1125" w:right="3"/>
        <w:jc w:val="center"/>
      </w:pPr>
      <w:r>
        <w:t xml:space="preserve">Brasília,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</w:t>
      </w:r>
    </w:p>
    <w:p w:rsidR="00F01D5E" w:rsidRDefault="00D76B86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F01D5E" w:rsidRDefault="00D76B86">
      <w:pPr>
        <w:spacing w:after="0" w:line="259" w:lineRule="auto"/>
        <w:ind w:left="1125" w:right="0"/>
        <w:jc w:val="center"/>
      </w:pPr>
      <w:r>
        <w:t xml:space="preserve">Presidente do CAU/BR </w:t>
      </w:r>
    </w:p>
    <w:p w:rsidR="00F01D5E" w:rsidRDefault="00D76B8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01D5E">
      <w:headerReference w:type="even" r:id="rId7"/>
      <w:headerReference w:type="default" r:id="rId8"/>
      <w:headerReference w:type="first" r:id="rId9"/>
      <w:pgSz w:w="11899" w:h="16850"/>
      <w:pgMar w:top="1748" w:right="1260" w:bottom="1536" w:left="439" w:header="4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6B86">
      <w:pPr>
        <w:spacing w:after="0" w:line="240" w:lineRule="auto"/>
      </w:pPr>
      <w:r>
        <w:separator/>
      </w:r>
    </w:p>
  </w:endnote>
  <w:endnote w:type="continuationSeparator" w:id="0">
    <w:p w:rsidR="00000000" w:rsidRDefault="00D7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6B86">
      <w:pPr>
        <w:spacing w:after="0" w:line="240" w:lineRule="auto"/>
      </w:pPr>
      <w:r>
        <w:separator/>
      </w:r>
    </w:p>
  </w:footnote>
  <w:footnote w:type="continuationSeparator" w:id="0">
    <w:p w:rsidR="00000000" w:rsidRDefault="00D7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5E" w:rsidRDefault="00D76B86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360680</wp:posOffset>
          </wp:positionV>
          <wp:extent cx="7555611" cy="5848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611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5E" w:rsidRDefault="00D76B86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360680</wp:posOffset>
          </wp:positionV>
          <wp:extent cx="7555611" cy="5848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611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5E" w:rsidRDefault="00D76B86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360680</wp:posOffset>
          </wp:positionV>
          <wp:extent cx="7555611" cy="5848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611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326"/>
    <w:multiLevelType w:val="hybridMultilevel"/>
    <w:tmpl w:val="7C4038EE"/>
    <w:lvl w:ilvl="0" w:tplc="73923AD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FAB19A">
      <w:start w:val="1"/>
      <w:numFmt w:val="lowerLetter"/>
      <w:lvlText w:val="%2"/>
      <w:lvlJc w:val="left"/>
      <w:pPr>
        <w:ind w:left="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6FAF9B6">
      <w:start w:val="1"/>
      <w:numFmt w:val="lowerRoman"/>
      <w:lvlText w:val="%3"/>
      <w:lvlJc w:val="left"/>
      <w:pPr>
        <w:ind w:left="1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784CBEE">
      <w:start w:val="1"/>
      <w:numFmt w:val="lowerLetter"/>
      <w:lvlRestart w:val="0"/>
      <w:lvlText w:val="%4)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BBE6A5E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42BD6E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A9C69D0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E6E30AE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5A4A494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86105"/>
    <w:multiLevelType w:val="hybridMultilevel"/>
    <w:tmpl w:val="6FFEFC1A"/>
    <w:lvl w:ilvl="0" w:tplc="20CA4A18">
      <w:start w:val="1"/>
      <w:numFmt w:val="upperRoman"/>
      <w:lvlText w:val="%1"/>
      <w:lvlJc w:val="left"/>
      <w:pPr>
        <w:ind w:left="1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B2652E">
      <w:start w:val="1"/>
      <w:numFmt w:val="lowerLetter"/>
      <w:lvlText w:val="%2"/>
      <w:lvlJc w:val="left"/>
      <w:pPr>
        <w:ind w:left="1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584540C">
      <w:start w:val="1"/>
      <w:numFmt w:val="lowerRoman"/>
      <w:lvlText w:val="%3"/>
      <w:lvlJc w:val="left"/>
      <w:pPr>
        <w:ind w:left="1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776DD7A">
      <w:start w:val="1"/>
      <w:numFmt w:val="decimal"/>
      <w:lvlText w:val="%4"/>
      <w:lvlJc w:val="left"/>
      <w:pPr>
        <w:ind w:left="2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EBEA268">
      <w:start w:val="1"/>
      <w:numFmt w:val="lowerLetter"/>
      <w:lvlText w:val="%5"/>
      <w:lvlJc w:val="left"/>
      <w:pPr>
        <w:ind w:left="3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B500B52">
      <w:start w:val="1"/>
      <w:numFmt w:val="lowerRoman"/>
      <w:lvlText w:val="%6"/>
      <w:lvlJc w:val="left"/>
      <w:pPr>
        <w:ind w:left="4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93488EE">
      <w:start w:val="1"/>
      <w:numFmt w:val="decimal"/>
      <w:lvlText w:val="%7"/>
      <w:lvlJc w:val="left"/>
      <w:pPr>
        <w:ind w:left="4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5587D54">
      <w:start w:val="1"/>
      <w:numFmt w:val="lowerLetter"/>
      <w:lvlText w:val="%8"/>
      <w:lvlJc w:val="left"/>
      <w:pPr>
        <w:ind w:left="5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EE2E4EC">
      <w:start w:val="1"/>
      <w:numFmt w:val="lowerRoman"/>
      <w:lvlText w:val="%9"/>
      <w:lvlJc w:val="left"/>
      <w:pPr>
        <w:ind w:left="6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E3455"/>
    <w:multiLevelType w:val="hybridMultilevel"/>
    <w:tmpl w:val="DA826BB4"/>
    <w:lvl w:ilvl="0" w:tplc="5D4A4544">
      <w:start w:val="1"/>
      <w:numFmt w:val="lowerLetter"/>
      <w:lvlText w:val="%1)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74A78FC">
      <w:start w:val="1"/>
      <w:numFmt w:val="lowerLetter"/>
      <w:lvlText w:val="%2)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0A0F726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956E88A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14D7EE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BD8A82A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696221C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B0C80CA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D6A1E7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470E6"/>
    <w:multiLevelType w:val="hybridMultilevel"/>
    <w:tmpl w:val="01E28B92"/>
    <w:lvl w:ilvl="0" w:tplc="C326015A">
      <w:start w:val="1"/>
      <w:numFmt w:val="upperRoman"/>
      <w:lvlText w:val="%1"/>
      <w:lvlJc w:val="left"/>
      <w:pPr>
        <w:ind w:left="1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F62CF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22426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AB2AF6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586DF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656A4B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2E420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228B50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748115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6D104F"/>
    <w:multiLevelType w:val="hybridMultilevel"/>
    <w:tmpl w:val="9424B33A"/>
    <w:lvl w:ilvl="0" w:tplc="39222398">
      <w:start w:val="1"/>
      <w:numFmt w:val="lowerLetter"/>
      <w:lvlText w:val="%1)"/>
      <w:lvlJc w:val="left"/>
      <w:pPr>
        <w:ind w:left="14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E60F7AC">
      <w:start w:val="1"/>
      <w:numFmt w:val="upperRoman"/>
      <w:lvlText w:val="%2"/>
      <w:lvlJc w:val="left"/>
      <w:pPr>
        <w:ind w:left="1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3CE90E">
      <w:start w:val="1"/>
      <w:numFmt w:val="lowerRoman"/>
      <w:lvlText w:val="%3"/>
      <w:lvlJc w:val="left"/>
      <w:pPr>
        <w:ind w:left="1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B682A82">
      <w:start w:val="1"/>
      <w:numFmt w:val="decimal"/>
      <w:lvlText w:val="%4"/>
      <w:lvlJc w:val="left"/>
      <w:pPr>
        <w:ind w:left="1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1228414">
      <w:start w:val="1"/>
      <w:numFmt w:val="lowerLetter"/>
      <w:lvlText w:val="%5"/>
      <w:lvlJc w:val="left"/>
      <w:pPr>
        <w:ind w:left="2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28277A6">
      <w:start w:val="1"/>
      <w:numFmt w:val="lowerRoman"/>
      <w:lvlText w:val="%6"/>
      <w:lvlJc w:val="left"/>
      <w:pPr>
        <w:ind w:left="3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2B86FA2">
      <w:start w:val="1"/>
      <w:numFmt w:val="decimal"/>
      <w:lvlText w:val="%7"/>
      <w:lvlJc w:val="left"/>
      <w:pPr>
        <w:ind w:left="4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47AB354">
      <w:start w:val="1"/>
      <w:numFmt w:val="lowerLetter"/>
      <w:lvlText w:val="%8"/>
      <w:lvlJc w:val="left"/>
      <w:pPr>
        <w:ind w:left="4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FEC2198">
      <w:start w:val="1"/>
      <w:numFmt w:val="lowerRoman"/>
      <w:lvlText w:val="%9"/>
      <w:lvlJc w:val="left"/>
      <w:pPr>
        <w:ind w:left="5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1463A5"/>
    <w:multiLevelType w:val="hybridMultilevel"/>
    <w:tmpl w:val="D7F45B2A"/>
    <w:lvl w:ilvl="0" w:tplc="B17A1DD4">
      <w:start w:val="1"/>
      <w:numFmt w:val="upperRoman"/>
      <w:lvlText w:val="%1"/>
      <w:lvlJc w:val="left"/>
      <w:pPr>
        <w:ind w:left="1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ECAFD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5ECD0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CC058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F9AE7E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6DEB3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BC2B9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C306C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7605E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5E"/>
    <w:rsid w:val="00D76B86"/>
    <w:rsid w:val="00F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41D58-FE64-452F-891C-6CF1B88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7" w:lineRule="auto"/>
      <w:ind w:left="1131" w:right="2" w:hanging="10"/>
      <w:jc w:val="both"/>
    </w:pPr>
    <w:rPr>
      <w:rFonts w:ascii="Cambria" w:eastAsia="Cambria" w:hAnsi="Cambria" w:cs="Cambria"/>
      <w:color w:val="000000"/>
      <w:sz w:val="27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131" w:hanging="10"/>
      <w:jc w:val="center"/>
      <w:outlineLvl w:val="0"/>
    </w:pPr>
    <w:rPr>
      <w:rFonts w:ascii="Cambria" w:eastAsia="Cambria" w:hAnsi="Cambria" w:cs="Cambria"/>
      <w:b/>
      <w:color w:val="000000"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3304</Words>
  <Characters>17845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Aleide Vieira Cerqueira</cp:lastModifiedBy>
  <cp:revision>2</cp:revision>
  <dcterms:created xsi:type="dcterms:W3CDTF">2023-11-27T20:23:00Z</dcterms:created>
  <dcterms:modified xsi:type="dcterms:W3CDTF">2023-11-27T20:23:00Z</dcterms:modified>
</cp:coreProperties>
</file>