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15E13" w:rsidR="00752E90" w:rsidRPr="00D379E7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D379E7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  <w:r w:rsidR="008B202C" w:rsidRPr="00D379E7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8B02AEE" w14:textId="77777777" w:rsidR="00AD097E" w:rsidRDefault="003D56FA" w:rsidP="00AD097E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</w:t>
            </w:r>
            <w:r w:rsidR="00AD09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 Siccau nº 1321083-PR</w:t>
            </w:r>
            <w:r w:rsidR="00543A09"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, 1433305</w:t>
            </w:r>
            <w:r w:rsidR="00AD09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-PR</w:t>
            </w:r>
            <w:r w:rsidR="00543A09"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 1625569</w:t>
            </w:r>
            <w:r w:rsidR="00AD09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-SP</w:t>
            </w:r>
          </w:p>
          <w:p w14:paraId="30F72E61" w14:textId="4A4D8E25" w:rsidR="00752E90" w:rsidRPr="00D379E7" w:rsidRDefault="00543A09" w:rsidP="00AD097E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Processo </w:t>
            </w:r>
            <w:r w:rsidR="00752E90"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AB175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</w:t>
            </w:r>
            <w:r w:rsidR="00626924"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</w:t>
            </w:r>
            <w:r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100060/2022-91</w:t>
            </w:r>
            <w:r w:rsidR="00626924" w:rsidRPr="00D379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379E7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E8A9137" w:rsidR="00B82D73" w:rsidRPr="00D379E7" w:rsidRDefault="001C174A" w:rsidP="00036C95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</w:t>
            </w:r>
            <w:r w:rsidR="002C45F5"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379E7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32AD70C7" w:rsidR="00B82D73" w:rsidRPr="00D379E7" w:rsidRDefault="00543A09" w:rsidP="0032256B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Propostas de melhorias nas </w:t>
            </w:r>
            <w:r w:rsidR="0032256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funcionalidades </w:t>
            </w: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do SICCAU para atualização cadastral e alterações do registro de PJ e de profissional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5781D6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FE22D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32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D732B41" w:rsidR="003C171C" w:rsidRPr="002C45F5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AD09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31 de agosto e 01 de setembro 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543A09" w:rsidRDefault="00130CE4" w:rsidP="00543A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590DA" w14:textId="32DCE8F9" w:rsidR="00A1425B" w:rsidRPr="007256CD" w:rsidRDefault="00A1425B" w:rsidP="007256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6CD">
        <w:rPr>
          <w:rFonts w:asciiTheme="minorHAnsi" w:hAnsiTheme="minorHAnsi" w:cstheme="minorHAnsi"/>
          <w:sz w:val="24"/>
          <w:szCs w:val="24"/>
        </w:rPr>
        <w:t>Considerando as demandas enviadas pelo</w:t>
      </w:r>
      <w:r w:rsidR="00F55223">
        <w:rPr>
          <w:rFonts w:asciiTheme="minorHAnsi" w:hAnsiTheme="minorHAnsi" w:cstheme="minorHAnsi"/>
          <w:sz w:val="24"/>
          <w:szCs w:val="24"/>
        </w:rPr>
        <w:t>s</w:t>
      </w:r>
      <w:r w:rsidRPr="007256CD">
        <w:rPr>
          <w:rFonts w:asciiTheme="minorHAnsi" w:hAnsiTheme="minorHAnsi" w:cstheme="minorHAnsi"/>
          <w:sz w:val="24"/>
          <w:szCs w:val="24"/>
        </w:rPr>
        <w:t xml:space="preserve"> </w:t>
      </w:r>
      <w:r w:rsidR="002B0118">
        <w:rPr>
          <w:rFonts w:asciiTheme="minorHAnsi" w:hAnsiTheme="minorHAnsi" w:cstheme="minorHAnsi"/>
          <w:sz w:val="24"/>
          <w:szCs w:val="24"/>
        </w:rPr>
        <w:t xml:space="preserve">CAU/UF </w:t>
      </w:r>
      <w:r w:rsidR="0043336C">
        <w:rPr>
          <w:rFonts w:asciiTheme="minorHAnsi" w:hAnsiTheme="minorHAnsi" w:cstheme="minorHAnsi"/>
          <w:sz w:val="24"/>
          <w:szCs w:val="24"/>
        </w:rPr>
        <w:t xml:space="preserve">à Presidência do CAU/BR, </w:t>
      </w:r>
      <w:r w:rsidR="00543A09" w:rsidRPr="00543A09">
        <w:rPr>
          <w:rFonts w:asciiTheme="minorHAnsi" w:hAnsiTheme="minorHAnsi" w:cstheme="minorHAnsi"/>
          <w:sz w:val="24"/>
          <w:szCs w:val="24"/>
        </w:rPr>
        <w:t>solicita</w:t>
      </w:r>
      <w:r w:rsidR="00543A09">
        <w:rPr>
          <w:rFonts w:asciiTheme="minorHAnsi" w:hAnsiTheme="minorHAnsi" w:cstheme="minorHAnsi"/>
          <w:sz w:val="24"/>
          <w:szCs w:val="24"/>
        </w:rPr>
        <w:t xml:space="preserve">ndo </w:t>
      </w:r>
      <w:r w:rsidR="00543A09" w:rsidRPr="00543A09">
        <w:rPr>
          <w:rFonts w:asciiTheme="minorHAnsi" w:hAnsiTheme="minorHAnsi" w:cstheme="minorHAnsi"/>
          <w:sz w:val="24"/>
          <w:szCs w:val="24"/>
        </w:rPr>
        <w:t>uma série de melhorias evolutivas nas funcionalidades e operacionalidade do S</w:t>
      </w:r>
      <w:r w:rsidR="0043336C">
        <w:rPr>
          <w:rFonts w:asciiTheme="minorHAnsi" w:hAnsiTheme="minorHAnsi" w:cstheme="minorHAnsi"/>
          <w:sz w:val="24"/>
          <w:szCs w:val="24"/>
        </w:rPr>
        <w:t>ICCAU</w:t>
      </w:r>
      <w:r w:rsidR="00543A09" w:rsidRPr="00543A09">
        <w:rPr>
          <w:rFonts w:asciiTheme="minorHAnsi" w:hAnsiTheme="minorHAnsi" w:cstheme="minorHAnsi"/>
          <w:sz w:val="24"/>
          <w:szCs w:val="24"/>
        </w:rPr>
        <w:t xml:space="preserve"> para as atualizações cadastrais e alterações dos registros dos profissionais e das pessoas jurídicas</w:t>
      </w:r>
      <w:r w:rsidR="002B0118">
        <w:rPr>
          <w:rFonts w:asciiTheme="minorHAnsi" w:hAnsiTheme="minorHAnsi" w:cstheme="minorHAnsi"/>
          <w:sz w:val="24"/>
          <w:szCs w:val="24"/>
        </w:rPr>
        <w:t xml:space="preserve"> (já enviado</w:t>
      </w:r>
      <w:r w:rsidR="00543A09" w:rsidRPr="00C86D83">
        <w:rPr>
          <w:rFonts w:asciiTheme="minorHAnsi" w:hAnsiTheme="minorHAnsi" w:cstheme="minorHAnsi"/>
          <w:sz w:val="24"/>
          <w:szCs w:val="24"/>
        </w:rPr>
        <w:t>s à</w:t>
      </w:r>
      <w:r w:rsidR="002B0118">
        <w:rPr>
          <w:rFonts w:asciiTheme="minorHAnsi" w:hAnsiTheme="minorHAnsi" w:cstheme="minorHAnsi"/>
          <w:sz w:val="24"/>
          <w:szCs w:val="24"/>
        </w:rPr>
        <w:t xml:space="preserve"> Gerencia do CSC/CORSSICAU </w:t>
      </w:r>
      <w:r w:rsidR="00543A09" w:rsidRPr="00C86D83">
        <w:rPr>
          <w:rFonts w:asciiTheme="minorHAnsi" w:hAnsiTheme="minorHAnsi" w:cstheme="minorHAnsi"/>
          <w:sz w:val="24"/>
          <w:szCs w:val="24"/>
        </w:rPr>
        <w:t xml:space="preserve">por meio de </w:t>
      </w:r>
      <w:proofErr w:type="spellStart"/>
      <w:r w:rsidR="00543A09" w:rsidRPr="00C86D83">
        <w:rPr>
          <w:rFonts w:asciiTheme="minorHAnsi" w:hAnsiTheme="minorHAnsi" w:cstheme="minorHAnsi"/>
          <w:sz w:val="24"/>
          <w:szCs w:val="24"/>
        </w:rPr>
        <w:t>GADs</w:t>
      </w:r>
      <w:proofErr w:type="spellEnd"/>
      <w:r w:rsidR="002B0118">
        <w:rPr>
          <w:rFonts w:asciiTheme="minorHAnsi" w:hAnsiTheme="minorHAnsi" w:cstheme="minorHAnsi"/>
          <w:sz w:val="24"/>
          <w:szCs w:val="24"/>
        </w:rPr>
        <w:t>)</w:t>
      </w:r>
      <w:r w:rsidR="00543A09" w:rsidRPr="00C86D83">
        <w:rPr>
          <w:rFonts w:asciiTheme="minorHAnsi" w:hAnsiTheme="minorHAnsi" w:cstheme="minorHAnsi"/>
          <w:sz w:val="24"/>
          <w:szCs w:val="24"/>
        </w:rPr>
        <w:t>.</w:t>
      </w:r>
    </w:p>
    <w:p w14:paraId="40AA47CA" w14:textId="5CD55342" w:rsidR="00FE22D6" w:rsidRDefault="00FE22D6" w:rsidP="007256C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A92554" w14:textId="3AF79952" w:rsidR="007256CD" w:rsidRDefault="007256CD" w:rsidP="00C86D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6D83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543A09" w:rsidRPr="00C86D83">
        <w:rPr>
          <w:rFonts w:asciiTheme="minorHAnsi" w:hAnsiTheme="minorHAnsi" w:cstheme="minorHAnsi"/>
          <w:sz w:val="24"/>
          <w:szCs w:val="24"/>
        </w:rPr>
        <w:t>a Deliberação nº 065/2022</w:t>
      </w:r>
      <w:r w:rsidR="00FE22D6">
        <w:rPr>
          <w:rFonts w:asciiTheme="minorHAnsi" w:hAnsiTheme="minorHAnsi" w:cstheme="minorHAnsi"/>
          <w:sz w:val="24"/>
          <w:szCs w:val="24"/>
        </w:rPr>
        <w:t xml:space="preserve"> da CEP-CAU/BR que solicitou à</w:t>
      </w:r>
      <w:r w:rsidR="00543A09" w:rsidRPr="00C86D83">
        <w:rPr>
          <w:rFonts w:asciiTheme="minorHAnsi" w:hAnsiTheme="minorHAnsi" w:cstheme="minorHAnsi"/>
          <w:sz w:val="24"/>
          <w:szCs w:val="24"/>
        </w:rPr>
        <w:t xml:space="preserve"> Coordenação Técnica do Siccau</w:t>
      </w:r>
      <w:r w:rsidR="00FE22D6">
        <w:rPr>
          <w:rFonts w:asciiTheme="minorHAnsi" w:hAnsiTheme="minorHAnsi" w:cstheme="minorHAnsi"/>
          <w:sz w:val="24"/>
          <w:szCs w:val="24"/>
        </w:rPr>
        <w:t xml:space="preserve"> (CORSICCAU) manifestação</w:t>
      </w:r>
      <w:r w:rsidR="00543A09" w:rsidRPr="00C86D83">
        <w:rPr>
          <w:rFonts w:asciiTheme="minorHAnsi" w:hAnsiTheme="minorHAnsi" w:cstheme="minorHAnsi"/>
          <w:sz w:val="24"/>
          <w:szCs w:val="24"/>
        </w:rPr>
        <w:t xml:space="preserve"> </w:t>
      </w:r>
      <w:r w:rsidR="00543A09" w:rsidRPr="00AD097E">
        <w:rPr>
          <w:rFonts w:asciiTheme="minorHAnsi" w:hAnsiTheme="minorHAnsi" w:cstheme="minorHAnsi"/>
          <w:sz w:val="24"/>
          <w:szCs w:val="24"/>
          <w:u w:val="single"/>
        </w:rPr>
        <w:t>quanto à viabilidade e prazos</w:t>
      </w:r>
      <w:r w:rsidR="00543A09" w:rsidRPr="00C86D83">
        <w:rPr>
          <w:rFonts w:asciiTheme="minorHAnsi" w:hAnsiTheme="minorHAnsi" w:cstheme="minorHAnsi"/>
          <w:sz w:val="24"/>
          <w:szCs w:val="24"/>
        </w:rPr>
        <w:t xml:space="preserve"> para atendimento e implementação das funcionalidades e melhorias propostas na operacionalidade dos procedimentos de atualização cadastral e alterações d</w:t>
      </w:r>
      <w:r w:rsidR="00FE22D6">
        <w:rPr>
          <w:rFonts w:asciiTheme="minorHAnsi" w:hAnsiTheme="minorHAnsi" w:cstheme="minorHAnsi"/>
          <w:sz w:val="24"/>
          <w:szCs w:val="24"/>
        </w:rPr>
        <w:t>e</w:t>
      </w:r>
      <w:r w:rsidR="00543A09" w:rsidRPr="00C86D83">
        <w:rPr>
          <w:rFonts w:asciiTheme="minorHAnsi" w:hAnsiTheme="minorHAnsi" w:cstheme="minorHAnsi"/>
          <w:sz w:val="24"/>
          <w:szCs w:val="24"/>
        </w:rPr>
        <w:t xml:space="preserve"> registros no SICCAU</w:t>
      </w:r>
      <w:r w:rsidR="00FE22D6">
        <w:rPr>
          <w:rFonts w:asciiTheme="minorHAnsi" w:hAnsiTheme="minorHAnsi" w:cstheme="minorHAnsi"/>
          <w:sz w:val="24"/>
          <w:szCs w:val="24"/>
        </w:rPr>
        <w:t>, por meio do</w:t>
      </w:r>
      <w:r w:rsidR="00FE22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processo SEI nº </w:t>
      </w:r>
      <w:r w:rsidR="009E7AD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</w:t>
      </w:r>
      <w:r w:rsidR="00FE22D6" w:rsidRPr="00626924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</w:t>
      </w:r>
      <w:r w:rsidR="00FE22D6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100060/2022-91</w:t>
      </w:r>
      <w:r w:rsidR="00543A09" w:rsidRPr="00C86D83">
        <w:rPr>
          <w:rFonts w:asciiTheme="minorHAnsi" w:hAnsiTheme="minorHAnsi" w:cstheme="minorHAnsi"/>
          <w:sz w:val="24"/>
          <w:szCs w:val="24"/>
        </w:rPr>
        <w:t>;</w:t>
      </w:r>
    </w:p>
    <w:p w14:paraId="6E081716" w14:textId="77777777" w:rsidR="00C86D83" w:rsidRPr="00C86D83" w:rsidRDefault="00C86D83" w:rsidP="00C86D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BCAE31" w14:textId="77777777" w:rsidR="002B0118" w:rsidRDefault="00543A09" w:rsidP="001360AE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parecer apresentado pelo Gerente do CSC por meio do Memorando </w:t>
      </w:r>
      <w:r w:rsidR="00C86D8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004/2023-GERCSC</w:t>
      </w:r>
      <w:r w:rsidR="00C86D83">
        <w:rPr>
          <w:rFonts w:asciiTheme="minorHAnsi" w:eastAsia="Times New Roman" w:hAnsiTheme="minorHAnsi" w:cstheme="minorHAnsi"/>
          <w:sz w:val="24"/>
          <w:szCs w:val="24"/>
          <w:lang w:eastAsia="pt-BR"/>
        </w:rPr>
        <w:t>/CAUBR, de 28 de abril de 2023,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resposta à solicitação da </w:t>
      </w:r>
      <w:r w:rsidR="00FE22D6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 na Deliberação nº 065/2022;</w:t>
      </w:r>
    </w:p>
    <w:p w14:paraId="361C6CE4" w14:textId="31DD5EB5" w:rsidR="00543A09" w:rsidRDefault="002B0118" w:rsidP="002B01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86D83">
        <w:rPr>
          <w:rFonts w:asciiTheme="minorHAnsi" w:hAnsiTheme="minorHAnsi" w:cstheme="minorHAnsi"/>
          <w:sz w:val="24"/>
          <w:szCs w:val="24"/>
        </w:rPr>
        <w:t>Considerando o disposto no inciso IX do art. 101 do Regimento Interno do CAU/BR, no qual compete à CEP-CAU/BR propor, apreciar e deliberar sobre uniformização de ações voltadas à eficácia do funcionamento das comissões que tratam de exercício profis</w:t>
      </w:r>
      <w:r>
        <w:rPr>
          <w:rFonts w:asciiTheme="minorHAnsi" w:hAnsiTheme="minorHAnsi" w:cstheme="minorHAnsi"/>
          <w:sz w:val="24"/>
          <w:szCs w:val="24"/>
        </w:rPr>
        <w:t>sional nos CAU/UF e no CAU/BR;</w:t>
      </w:r>
      <w:r w:rsidR="00FE22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1487064F" w14:textId="77777777" w:rsidR="002B0118" w:rsidRPr="002B0118" w:rsidRDefault="002B0118" w:rsidP="002B01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D4689B" w14:textId="07944922" w:rsidR="00C86D83" w:rsidRDefault="00C86D83" w:rsidP="00B50AA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50AA9">
        <w:rPr>
          <w:rFonts w:asciiTheme="minorHAnsi" w:hAnsiTheme="minorHAnsi" w:cstheme="minorHAnsi"/>
          <w:sz w:val="24"/>
          <w:szCs w:val="24"/>
        </w:rPr>
        <w:t xml:space="preserve"> </w:t>
      </w:r>
      <w:r w:rsidR="00AD097E">
        <w:rPr>
          <w:rFonts w:asciiTheme="minorHAnsi" w:hAnsiTheme="minorHAnsi" w:cstheme="minorHAnsi"/>
          <w:sz w:val="24"/>
          <w:szCs w:val="24"/>
        </w:rPr>
        <w:t xml:space="preserve">Encaminhar </w:t>
      </w:r>
      <w:r w:rsidRPr="00B50AA9">
        <w:rPr>
          <w:rFonts w:asciiTheme="minorHAnsi" w:hAnsiTheme="minorHAnsi" w:cstheme="minorHAnsi"/>
          <w:sz w:val="24"/>
          <w:szCs w:val="24"/>
        </w:rPr>
        <w:t xml:space="preserve">à Presidência do CAU/BR </w:t>
      </w:r>
      <w:r w:rsidR="00B50AA9" w:rsidRPr="00B50AA9">
        <w:rPr>
          <w:rFonts w:asciiTheme="minorHAnsi" w:hAnsiTheme="minorHAnsi" w:cstheme="minorHAnsi"/>
          <w:sz w:val="24"/>
          <w:szCs w:val="24"/>
        </w:rPr>
        <w:t>as propostas de</w:t>
      </w:r>
      <w:r w:rsidRPr="00B50AA9">
        <w:rPr>
          <w:rFonts w:asciiTheme="minorHAnsi" w:hAnsiTheme="minorHAnsi" w:cstheme="minorHAnsi"/>
          <w:sz w:val="24"/>
          <w:szCs w:val="24"/>
        </w:rPr>
        <w:t xml:space="preserve"> melhorias e evoluções </w:t>
      </w:r>
      <w:r w:rsidR="00D379E7">
        <w:rPr>
          <w:rFonts w:asciiTheme="minorHAnsi" w:hAnsiTheme="minorHAnsi" w:cstheme="minorHAnsi"/>
          <w:sz w:val="24"/>
          <w:szCs w:val="24"/>
        </w:rPr>
        <w:t xml:space="preserve">do SICCAU, conforme ANEXO, </w:t>
      </w:r>
      <w:r w:rsidR="00AD097E">
        <w:rPr>
          <w:rFonts w:asciiTheme="minorHAnsi" w:hAnsiTheme="minorHAnsi" w:cstheme="minorHAnsi"/>
          <w:sz w:val="24"/>
          <w:szCs w:val="24"/>
        </w:rPr>
        <w:t>relativas às</w:t>
      </w:r>
      <w:r w:rsidR="00B50AA9" w:rsidRPr="00B50AA9">
        <w:rPr>
          <w:rFonts w:asciiTheme="minorHAnsi" w:hAnsiTheme="minorHAnsi" w:cstheme="minorHAnsi"/>
          <w:sz w:val="24"/>
          <w:szCs w:val="24"/>
        </w:rPr>
        <w:t xml:space="preserve"> atualizações de cadastro dos registros de profissionais e de pessoas jurídicas, </w:t>
      </w:r>
      <w:r w:rsidR="00AD097E">
        <w:rPr>
          <w:rFonts w:asciiTheme="minorHAnsi" w:hAnsiTheme="minorHAnsi" w:cstheme="minorHAnsi"/>
          <w:sz w:val="24"/>
          <w:szCs w:val="24"/>
        </w:rPr>
        <w:t xml:space="preserve">para solicitação </w:t>
      </w:r>
      <w:r w:rsidR="00FE22D6">
        <w:rPr>
          <w:rFonts w:asciiTheme="minorHAnsi" w:hAnsiTheme="minorHAnsi" w:cstheme="minorHAnsi"/>
          <w:sz w:val="24"/>
          <w:szCs w:val="24"/>
        </w:rPr>
        <w:t xml:space="preserve">e acompanhamento </w:t>
      </w:r>
      <w:r w:rsidR="00AD097E">
        <w:rPr>
          <w:rFonts w:asciiTheme="minorHAnsi" w:hAnsiTheme="minorHAnsi" w:cstheme="minorHAnsi"/>
          <w:sz w:val="24"/>
          <w:szCs w:val="24"/>
        </w:rPr>
        <w:t xml:space="preserve">das ações </w:t>
      </w:r>
      <w:r w:rsidR="00FE22D6">
        <w:rPr>
          <w:rFonts w:asciiTheme="minorHAnsi" w:hAnsiTheme="minorHAnsi" w:cstheme="minorHAnsi"/>
          <w:sz w:val="24"/>
          <w:szCs w:val="24"/>
        </w:rPr>
        <w:t xml:space="preserve">junto </w:t>
      </w:r>
      <w:r w:rsidR="00AD097E">
        <w:rPr>
          <w:rFonts w:asciiTheme="minorHAnsi" w:hAnsiTheme="minorHAnsi" w:cstheme="minorHAnsi"/>
          <w:sz w:val="24"/>
          <w:szCs w:val="24"/>
        </w:rPr>
        <w:t xml:space="preserve">à Gerencia do CSC </w:t>
      </w:r>
      <w:r w:rsidR="00FE22D6">
        <w:rPr>
          <w:rFonts w:asciiTheme="minorHAnsi" w:hAnsiTheme="minorHAnsi" w:cstheme="minorHAnsi"/>
          <w:sz w:val="24"/>
          <w:szCs w:val="24"/>
        </w:rPr>
        <w:t xml:space="preserve">para que a </w:t>
      </w:r>
      <w:r w:rsidR="00D379E7">
        <w:rPr>
          <w:rFonts w:asciiTheme="minorHAnsi" w:hAnsiTheme="minorHAnsi" w:cstheme="minorHAnsi"/>
          <w:sz w:val="24"/>
          <w:szCs w:val="24"/>
        </w:rPr>
        <w:t>i</w:t>
      </w:r>
      <w:r w:rsidR="00B50AA9">
        <w:rPr>
          <w:rFonts w:asciiTheme="minorHAnsi" w:hAnsiTheme="minorHAnsi" w:cstheme="minorHAnsi"/>
          <w:sz w:val="24"/>
          <w:szCs w:val="24"/>
        </w:rPr>
        <w:t xml:space="preserve">mplantação no </w:t>
      </w:r>
      <w:r w:rsidR="00D379E7">
        <w:rPr>
          <w:rFonts w:asciiTheme="minorHAnsi" w:hAnsiTheme="minorHAnsi" w:cstheme="minorHAnsi"/>
          <w:sz w:val="24"/>
          <w:szCs w:val="24"/>
        </w:rPr>
        <w:t xml:space="preserve">SICCAU seja realizada </w:t>
      </w:r>
      <w:r w:rsidR="00B50AA9">
        <w:rPr>
          <w:rFonts w:asciiTheme="minorHAnsi" w:hAnsiTheme="minorHAnsi" w:cstheme="minorHAnsi"/>
          <w:sz w:val="24"/>
          <w:szCs w:val="24"/>
        </w:rPr>
        <w:t xml:space="preserve">em até 6 meses, contados da data </w:t>
      </w:r>
      <w:r w:rsidR="00AD097E">
        <w:rPr>
          <w:rFonts w:asciiTheme="minorHAnsi" w:hAnsiTheme="minorHAnsi" w:cstheme="minorHAnsi"/>
          <w:sz w:val="24"/>
          <w:szCs w:val="24"/>
        </w:rPr>
        <w:t xml:space="preserve">de recebimento do processo SEI </w:t>
      </w:r>
      <w:r w:rsidR="009E7AD1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</w:t>
      </w:r>
      <w:r w:rsidR="00AD097E" w:rsidRPr="00D379E7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00100060/2022-91</w:t>
      </w:r>
      <w:r w:rsidR="00B50AA9">
        <w:rPr>
          <w:rFonts w:asciiTheme="minorHAnsi" w:hAnsiTheme="minorHAnsi" w:cstheme="minorHAnsi"/>
          <w:sz w:val="24"/>
          <w:szCs w:val="24"/>
        </w:rPr>
        <w:t>.</w:t>
      </w:r>
    </w:p>
    <w:p w14:paraId="50622150" w14:textId="77777777" w:rsidR="00B50AA9" w:rsidRPr="00B50AA9" w:rsidRDefault="00B50AA9" w:rsidP="00B50AA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557C1" w14:textId="29EEFE0E" w:rsidR="00036C2B" w:rsidRPr="00531B60" w:rsidRDefault="00C86D83" w:rsidP="00531B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Esclarecer ao Gerente do CSC, Sr. Marcio, que a CEP-CAU/BR </w:t>
      </w:r>
      <w:r w:rsidR="00AD097E">
        <w:rPr>
          <w:rFonts w:asciiTheme="minorHAnsi" w:hAnsiTheme="minorHAnsi" w:cstheme="minorHAnsi"/>
          <w:b/>
          <w:sz w:val="24"/>
          <w:szCs w:val="24"/>
          <w:u w:val="single"/>
        </w:rPr>
        <w:t>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097E">
        <w:rPr>
          <w:rFonts w:asciiTheme="minorHAnsi" w:hAnsiTheme="minorHAnsi" w:cstheme="minorHAnsi"/>
          <w:sz w:val="24"/>
          <w:szCs w:val="24"/>
        </w:rPr>
        <w:t xml:space="preserve">deliberou ou </w:t>
      </w:r>
      <w:r>
        <w:rPr>
          <w:rFonts w:asciiTheme="minorHAnsi" w:hAnsiTheme="minorHAnsi" w:cstheme="minorHAnsi"/>
          <w:sz w:val="24"/>
          <w:szCs w:val="24"/>
        </w:rPr>
        <w:t xml:space="preserve">solicitou que o RRT Simples de Desempenho de Cargo ou Função </w:t>
      </w:r>
      <w:r w:rsidR="00D379E7">
        <w:rPr>
          <w:rFonts w:asciiTheme="minorHAnsi" w:hAnsiTheme="minorHAnsi" w:cstheme="minorHAnsi"/>
          <w:sz w:val="24"/>
          <w:szCs w:val="24"/>
        </w:rPr>
        <w:t>volte a ser analisado pelos CAU/</w:t>
      </w:r>
      <w:r>
        <w:rPr>
          <w:rFonts w:asciiTheme="minorHAnsi" w:hAnsiTheme="minorHAnsi" w:cstheme="minorHAnsi"/>
          <w:sz w:val="24"/>
          <w:szCs w:val="24"/>
        </w:rPr>
        <w:t>UF</w:t>
      </w:r>
      <w:r w:rsidR="00D379E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como foi descrito no </w:t>
      </w:r>
      <w:r w:rsidR="00AD097E">
        <w:rPr>
          <w:rFonts w:asciiTheme="minorHAnsi" w:hAnsiTheme="minorHAnsi" w:cstheme="minorHAnsi"/>
          <w:sz w:val="24"/>
          <w:szCs w:val="24"/>
        </w:rPr>
        <w:t>item 1.8 do Memorando 004/2023-GERCSC</w:t>
      </w:r>
      <w:r w:rsidR="0071306C">
        <w:rPr>
          <w:rFonts w:asciiTheme="minorHAnsi" w:hAnsiTheme="minorHAnsi" w:cstheme="minorHAnsi"/>
          <w:sz w:val="24"/>
          <w:szCs w:val="24"/>
        </w:rPr>
        <w:t>, como sendo um O.S. em execução</w:t>
      </w:r>
      <w:r w:rsidR="00AD097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Vale ressaltar que as regras para análise de</w:t>
      </w:r>
      <w:r w:rsidR="0071306C">
        <w:rPr>
          <w:rFonts w:asciiTheme="minorHAnsi" w:hAnsiTheme="minorHAnsi" w:cstheme="minorHAnsi"/>
          <w:sz w:val="24"/>
          <w:szCs w:val="24"/>
        </w:rPr>
        <w:t>ste</w:t>
      </w:r>
      <w:r>
        <w:rPr>
          <w:rFonts w:asciiTheme="minorHAnsi" w:hAnsiTheme="minorHAnsi" w:cstheme="minorHAnsi"/>
          <w:sz w:val="24"/>
          <w:szCs w:val="24"/>
        </w:rPr>
        <w:t xml:space="preserve"> RRT estão estabelecidas na Resolução nº 91/2014 vigente, mais especificamente no artigo 46 e </w:t>
      </w:r>
      <w:r w:rsidR="00B50AA9">
        <w:rPr>
          <w:rFonts w:asciiTheme="minorHAnsi" w:hAnsiTheme="minorHAnsi" w:cstheme="minorHAnsi"/>
          <w:sz w:val="24"/>
          <w:szCs w:val="24"/>
        </w:rPr>
        <w:t>inciso VII</w:t>
      </w:r>
      <w:r w:rsidR="0071306C">
        <w:rPr>
          <w:rFonts w:asciiTheme="minorHAnsi" w:hAnsiTheme="minorHAnsi" w:cstheme="minorHAnsi"/>
          <w:sz w:val="24"/>
          <w:szCs w:val="24"/>
        </w:rPr>
        <w:t xml:space="preserve">, </w:t>
      </w:r>
      <w:r w:rsidR="00AD097E">
        <w:rPr>
          <w:rFonts w:asciiTheme="minorHAnsi" w:hAnsiTheme="minorHAnsi" w:cstheme="minorHAnsi"/>
          <w:sz w:val="24"/>
          <w:szCs w:val="24"/>
        </w:rPr>
        <w:t xml:space="preserve">e devem ser seguidas e implantadas no SICCAU conforme </w:t>
      </w:r>
      <w:r w:rsidR="0071306C">
        <w:rPr>
          <w:rFonts w:asciiTheme="minorHAnsi" w:hAnsiTheme="minorHAnsi" w:cstheme="minorHAnsi"/>
          <w:sz w:val="24"/>
          <w:szCs w:val="24"/>
        </w:rPr>
        <w:t xml:space="preserve">o </w:t>
      </w:r>
      <w:r w:rsidR="00AD097E">
        <w:rPr>
          <w:rFonts w:asciiTheme="minorHAnsi" w:hAnsiTheme="minorHAnsi" w:cstheme="minorHAnsi"/>
          <w:sz w:val="24"/>
          <w:szCs w:val="24"/>
        </w:rPr>
        <w:t xml:space="preserve">normativo, </w:t>
      </w:r>
      <w:r w:rsidR="0071306C">
        <w:rPr>
          <w:rFonts w:asciiTheme="minorHAnsi" w:hAnsiTheme="minorHAnsi" w:cstheme="minorHAnsi"/>
          <w:sz w:val="24"/>
          <w:szCs w:val="24"/>
        </w:rPr>
        <w:t xml:space="preserve">que foi </w:t>
      </w:r>
      <w:r w:rsidR="00AD097E">
        <w:rPr>
          <w:rFonts w:asciiTheme="minorHAnsi" w:hAnsiTheme="minorHAnsi" w:cstheme="minorHAnsi"/>
          <w:sz w:val="24"/>
          <w:szCs w:val="24"/>
        </w:rPr>
        <w:t>alterado em 2019 pela Resolução nº 184</w:t>
      </w:r>
      <w:r w:rsidR="00B50AA9">
        <w:rPr>
          <w:rFonts w:asciiTheme="minorHAnsi" w:hAnsiTheme="minorHAnsi" w:cstheme="minorHAnsi"/>
          <w:sz w:val="24"/>
          <w:szCs w:val="24"/>
        </w:rPr>
        <w:t>;</w:t>
      </w:r>
    </w:p>
    <w:p w14:paraId="5B5F4EDC" w14:textId="77777777" w:rsidR="00036C2B" w:rsidRPr="00036C2B" w:rsidRDefault="00036C2B" w:rsidP="00036C2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5DD86C" w14:textId="0B641F87" w:rsidR="00B50AA9" w:rsidRDefault="00B50AA9" w:rsidP="00B50AA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50AA9">
        <w:rPr>
          <w:rFonts w:asciiTheme="minorHAnsi" w:hAnsiTheme="minorHAnsi" w:cstheme="minorHAnsi"/>
          <w:sz w:val="24"/>
          <w:szCs w:val="24"/>
        </w:rPr>
        <w:t>Informar ao CAU/PR</w:t>
      </w:r>
      <w:r w:rsidR="00E213E0">
        <w:rPr>
          <w:rFonts w:asciiTheme="minorHAnsi" w:hAnsiTheme="minorHAnsi" w:cstheme="minorHAnsi"/>
          <w:sz w:val="24"/>
          <w:szCs w:val="24"/>
        </w:rPr>
        <w:t>, CAU/</w:t>
      </w:r>
      <w:r>
        <w:rPr>
          <w:rFonts w:asciiTheme="minorHAnsi" w:hAnsiTheme="minorHAnsi" w:cstheme="minorHAnsi"/>
          <w:sz w:val="24"/>
          <w:szCs w:val="24"/>
        </w:rPr>
        <w:t xml:space="preserve">SP e demais CAU/UF que </w:t>
      </w:r>
      <w:r w:rsidR="00E213E0">
        <w:rPr>
          <w:rFonts w:asciiTheme="minorHAnsi" w:hAnsiTheme="minorHAnsi" w:cstheme="minorHAnsi"/>
          <w:sz w:val="24"/>
          <w:szCs w:val="24"/>
        </w:rPr>
        <w:t>a proposta de</w:t>
      </w:r>
      <w:r>
        <w:rPr>
          <w:rFonts w:asciiTheme="minorHAnsi" w:hAnsiTheme="minorHAnsi" w:cstheme="minorHAnsi"/>
          <w:sz w:val="24"/>
          <w:szCs w:val="24"/>
        </w:rPr>
        <w:t xml:space="preserve"> inclusão </w:t>
      </w:r>
      <w:r w:rsidR="00AD097E">
        <w:rPr>
          <w:rFonts w:asciiTheme="minorHAnsi" w:hAnsiTheme="minorHAnsi" w:cstheme="minorHAnsi"/>
          <w:sz w:val="24"/>
          <w:szCs w:val="24"/>
        </w:rPr>
        <w:t xml:space="preserve">nos normativos vigentes para estabelecer </w:t>
      </w:r>
      <w:r>
        <w:rPr>
          <w:rFonts w:asciiTheme="minorHAnsi" w:hAnsiTheme="minorHAnsi" w:cstheme="minorHAnsi"/>
          <w:sz w:val="24"/>
          <w:szCs w:val="24"/>
        </w:rPr>
        <w:t xml:space="preserve">regras de </w:t>
      </w:r>
      <w:r w:rsidRPr="00B50AA9">
        <w:rPr>
          <w:rFonts w:asciiTheme="minorHAnsi" w:hAnsiTheme="minorHAnsi" w:cstheme="minorHAnsi"/>
          <w:sz w:val="24"/>
          <w:szCs w:val="24"/>
        </w:rPr>
        <w:t xml:space="preserve">prazos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E213E0">
        <w:rPr>
          <w:rFonts w:asciiTheme="minorHAnsi" w:hAnsiTheme="minorHAnsi" w:cstheme="minorHAnsi"/>
          <w:sz w:val="24"/>
          <w:szCs w:val="24"/>
        </w:rPr>
        <w:t>realização de</w:t>
      </w:r>
      <w:r w:rsidRPr="00B50AA9">
        <w:rPr>
          <w:rFonts w:asciiTheme="minorHAnsi" w:hAnsiTheme="minorHAnsi" w:cstheme="minorHAnsi"/>
          <w:sz w:val="24"/>
          <w:szCs w:val="24"/>
        </w:rPr>
        <w:t xml:space="preserve"> atualização cadastral </w:t>
      </w:r>
      <w:r w:rsidR="00E213E0">
        <w:rPr>
          <w:rFonts w:asciiTheme="minorHAnsi" w:hAnsiTheme="minorHAnsi" w:cstheme="minorHAnsi"/>
          <w:sz w:val="24"/>
          <w:szCs w:val="24"/>
        </w:rPr>
        <w:t>periódica e obrigatória dos registros</w:t>
      </w:r>
      <w:r w:rsidR="00AD097E">
        <w:rPr>
          <w:rFonts w:asciiTheme="minorHAnsi" w:hAnsiTheme="minorHAnsi" w:cstheme="minorHAnsi"/>
          <w:sz w:val="24"/>
          <w:szCs w:val="24"/>
        </w:rPr>
        <w:t xml:space="preserve"> de profissionais e de pessoas jurídicas</w:t>
      </w:r>
      <w:r w:rsidR="00300486">
        <w:rPr>
          <w:rFonts w:asciiTheme="minorHAnsi" w:hAnsiTheme="minorHAnsi" w:cstheme="minorHAnsi"/>
          <w:sz w:val="24"/>
          <w:szCs w:val="24"/>
        </w:rPr>
        <w:t>,</w:t>
      </w:r>
      <w:r w:rsidR="00E213E0">
        <w:rPr>
          <w:rFonts w:asciiTheme="minorHAnsi" w:hAnsiTheme="minorHAnsi" w:cstheme="minorHAnsi"/>
          <w:sz w:val="24"/>
          <w:szCs w:val="24"/>
        </w:rPr>
        <w:t xml:space="preserve"> será considerada</w:t>
      </w:r>
      <w:r>
        <w:rPr>
          <w:rFonts w:asciiTheme="minorHAnsi" w:hAnsiTheme="minorHAnsi" w:cstheme="minorHAnsi"/>
          <w:sz w:val="24"/>
          <w:szCs w:val="24"/>
        </w:rPr>
        <w:t xml:space="preserve"> pela CEP-CAU/BR </w:t>
      </w:r>
      <w:r w:rsidR="00AD097E">
        <w:rPr>
          <w:rFonts w:asciiTheme="minorHAnsi" w:hAnsiTheme="minorHAnsi" w:cstheme="minorHAnsi"/>
          <w:sz w:val="24"/>
          <w:szCs w:val="24"/>
        </w:rPr>
        <w:t>durante a elaboração das futuras</w:t>
      </w:r>
      <w:r w:rsidR="00E213E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revis</w:t>
      </w:r>
      <w:r w:rsidR="00E213E0">
        <w:rPr>
          <w:rFonts w:asciiTheme="minorHAnsi" w:hAnsiTheme="minorHAnsi" w:cstheme="minorHAnsi"/>
          <w:sz w:val="24"/>
          <w:szCs w:val="24"/>
        </w:rPr>
        <w:t>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097E">
        <w:rPr>
          <w:rFonts w:asciiTheme="minorHAnsi" w:hAnsiTheme="minorHAnsi" w:cstheme="minorHAnsi"/>
          <w:sz w:val="24"/>
          <w:szCs w:val="24"/>
        </w:rPr>
        <w:t>das</w:t>
      </w:r>
      <w:r>
        <w:rPr>
          <w:rFonts w:asciiTheme="minorHAnsi" w:hAnsiTheme="minorHAnsi" w:cstheme="minorHAnsi"/>
          <w:sz w:val="24"/>
          <w:szCs w:val="24"/>
        </w:rPr>
        <w:t xml:space="preserve"> R</w:t>
      </w:r>
      <w:r w:rsidRPr="00B50AA9">
        <w:rPr>
          <w:rFonts w:asciiTheme="minorHAnsi" w:hAnsiTheme="minorHAnsi" w:cstheme="minorHAnsi"/>
          <w:sz w:val="24"/>
          <w:szCs w:val="24"/>
        </w:rPr>
        <w:t xml:space="preserve">esoluções </w:t>
      </w:r>
      <w:r w:rsidR="00AD097E">
        <w:rPr>
          <w:rFonts w:asciiTheme="minorHAnsi" w:hAnsiTheme="minorHAnsi" w:cstheme="minorHAnsi"/>
          <w:sz w:val="24"/>
          <w:szCs w:val="24"/>
        </w:rPr>
        <w:t>correlatas ao tema;</w:t>
      </w:r>
    </w:p>
    <w:p w14:paraId="192AFE9F" w14:textId="7F3A987E" w:rsidR="00B50AA9" w:rsidRDefault="00B50AA9" w:rsidP="00E213E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DCA483" w14:textId="7F97DD00" w:rsidR="00036C2B" w:rsidRPr="00E213E0" w:rsidRDefault="00E213E0" w:rsidP="00E213E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213E0">
        <w:rPr>
          <w:rFonts w:asciiTheme="minorHAnsi" w:hAnsiTheme="minorHAnsi" w:cstheme="minorHAnsi"/>
          <w:sz w:val="24"/>
          <w:szCs w:val="24"/>
        </w:rPr>
        <w:t>Solicitar à Presidência do CAU/BR que a assessoria de Comunicação do CAU/BR realize campanhas publicitarias peri</w:t>
      </w:r>
      <w:r w:rsidR="00AD097E">
        <w:rPr>
          <w:rFonts w:asciiTheme="minorHAnsi" w:hAnsiTheme="minorHAnsi" w:cstheme="minorHAnsi"/>
          <w:sz w:val="24"/>
          <w:szCs w:val="24"/>
        </w:rPr>
        <w:t>ódicas, ao menos 2 vezes ao ano -</w:t>
      </w:r>
      <w:r w:rsidRPr="00E213E0">
        <w:rPr>
          <w:rFonts w:asciiTheme="minorHAnsi" w:hAnsiTheme="minorHAnsi" w:cstheme="minorHAnsi"/>
          <w:sz w:val="24"/>
          <w:szCs w:val="24"/>
        </w:rPr>
        <w:t xml:space="preserve"> </w:t>
      </w:r>
      <w:r w:rsidR="00AD097E">
        <w:rPr>
          <w:rFonts w:asciiTheme="minorHAnsi" w:hAnsiTheme="minorHAnsi" w:cstheme="minorHAnsi"/>
          <w:sz w:val="24"/>
          <w:szCs w:val="24"/>
        </w:rPr>
        <w:t xml:space="preserve">no início de cada semestre, </w:t>
      </w:r>
      <w:r w:rsidR="00300486">
        <w:rPr>
          <w:rFonts w:asciiTheme="minorHAnsi" w:hAnsiTheme="minorHAnsi" w:cstheme="minorHAnsi"/>
          <w:sz w:val="24"/>
          <w:szCs w:val="24"/>
        </w:rPr>
        <w:t>para divulgar a necessidade d</w:t>
      </w:r>
      <w:r w:rsidR="00036C2B" w:rsidRPr="00E213E0">
        <w:rPr>
          <w:rFonts w:asciiTheme="minorHAnsi" w:hAnsiTheme="minorHAnsi" w:cstheme="minorHAnsi"/>
          <w:sz w:val="24"/>
          <w:szCs w:val="24"/>
        </w:rPr>
        <w:t xml:space="preserve">os profissionais </w:t>
      </w:r>
      <w:r w:rsidRPr="00E213E0">
        <w:rPr>
          <w:rFonts w:asciiTheme="minorHAnsi" w:hAnsiTheme="minorHAnsi" w:cstheme="minorHAnsi"/>
          <w:sz w:val="24"/>
          <w:szCs w:val="24"/>
        </w:rPr>
        <w:t xml:space="preserve">e </w:t>
      </w:r>
      <w:r w:rsidR="00AD097E">
        <w:rPr>
          <w:rFonts w:asciiTheme="minorHAnsi" w:hAnsiTheme="minorHAnsi" w:cstheme="minorHAnsi"/>
          <w:sz w:val="24"/>
          <w:szCs w:val="24"/>
        </w:rPr>
        <w:t>d</w:t>
      </w:r>
      <w:r w:rsidRPr="00E213E0">
        <w:rPr>
          <w:rFonts w:asciiTheme="minorHAnsi" w:hAnsiTheme="minorHAnsi" w:cstheme="minorHAnsi"/>
          <w:sz w:val="24"/>
          <w:szCs w:val="24"/>
        </w:rPr>
        <w:t xml:space="preserve">as empresas registradas no CAU </w:t>
      </w:r>
      <w:r w:rsidR="00AD097E">
        <w:rPr>
          <w:rFonts w:asciiTheme="minorHAnsi" w:hAnsiTheme="minorHAnsi" w:cstheme="minorHAnsi"/>
          <w:sz w:val="24"/>
          <w:szCs w:val="24"/>
        </w:rPr>
        <w:t xml:space="preserve">de </w:t>
      </w:r>
      <w:r w:rsidR="00300486">
        <w:rPr>
          <w:rFonts w:asciiTheme="minorHAnsi" w:hAnsiTheme="minorHAnsi" w:cstheme="minorHAnsi"/>
          <w:sz w:val="24"/>
          <w:szCs w:val="24"/>
        </w:rPr>
        <w:t xml:space="preserve">manterem seus </w:t>
      </w:r>
      <w:r w:rsidRPr="00E213E0">
        <w:rPr>
          <w:rFonts w:asciiTheme="minorHAnsi" w:hAnsiTheme="minorHAnsi" w:cstheme="minorHAnsi"/>
          <w:sz w:val="24"/>
          <w:szCs w:val="24"/>
        </w:rPr>
        <w:t>dados cadastrais</w:t>
      </w:r>
      <w:r w:rsidR="00300486">
        <w:rPr>
          <w:rFonts w:asciiTheme="minorHAnsi" w:hAnsiTheme="minorHAnsi" w:cstheme="minorHAnsi"/>
          <w:sz w:val="24"/>
          <w:szCs w:val="24"/>
        </w:rPr>
        <w:t xml:space="preserve"> atualizados</w:t>
      </w:r>
      <w:r w:rsidRPr="00E213E0">
        <w:rPr>
          <w:rFonts w:asciiTheme="minorHAnsi" w:hAnsiTheme="minorHAnsi" w:cstheme="minorHAnsi"/>
          <w:sz w:val="24"/>
          <w:szCs w:val="24"/>
        </w:rPr>
        <w:t>, conforme proposto pelo CAU/SP n</w:t>
      </w:r>
      <w:r w:rsidR="00AD097E">
        <w:rPr>
          <w:rFonts w:asciiTheme="minorHAnsi" w:hAnsiTheme="minorHAnsi" w:cstheme="minorHAnsi"/>
          <w:sz w:val="24"/>
          <w:szCs w:val="24"/>
        </w:rPr>
        <w:t>o Protocolo Siccau nº 1625569/2022.</w:t>
      </w:r>
    </w:p>
    <w:p w14:paraId="75A0049B" w14:textId="77777777" w:rsidR="00E213E0" w:rsidRDefault="00E213E0" w:rsidP="00B50AA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8DE1E3" w14:textId="0FEC8B3B" w:rsidR="00C86D83" w:rsidRDefault="00C86D83" w:rsidP="00C86D8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76221">
        <w:rPr>
          <w:rFonts w:asciiTheme="minorHAnsi" w:hAnsiTheme="minorHAnsi" w:cstheme="minorHAnsi"/>
          <w:sz w:val="24"/>
          <w:szCs w:val="24"/>
        </w:rPr>
        <w:t xml:space="preserve">Encaminhar </w:t>
      </w:r>
      <w:r>
        <w:rPr>
          <w:rFonts w:asciiTheme="minorHAnsi" w:hAnsiTheme="minorHAnsi" w:cstheme="minorHAnsi"/>
          <w:sz w:val="24"/>
          <w:szCs w:val="24"/>
        </w:rPr>
        <w:t xml:space="preserve">esta Deliberação </w:t>
      </w:r>
      <w:r w:rsidRPr="00576221">
        <w:rPr>
          <w:rFonts w:asciiTheme="minorHAnsi" w:hAnsiTheme="minorHAnsi" w:cstheme="minorHAnsi"/>
          <w:sz w:val="24"/>
          <w:szCs w:val="24"/>
        </w:rPr>
        <w:t xml:space="preserve">à Presidência do CAU/BR para </w:t>
      </w:r>
      <w:r>
        <w:rPr>
          <w:rFonts w:asciiTheme="minorHAnsi" w:hAnsiTheme="minorHAnsi" w:cstheme="minorHAnsi"/>
          <w:sz w:val="24"/>
          <w:szCs w:val="24"/>
        </w:rPr>
        <w:t xml:space="preserve">conhecimento, </w:t>
      </w:r>
      <w:r w:rsidRPr="00576221">
        <w:rPr>
          <w:rFonts w:asciiTheme="minorHAnsi" w:hAnsiTheme="minorHAnsi" w:cstheme="minorHAnsi"/>
          <w:sz w:val="24"/>
          <w:szCs w:val="24"/>
        </w:rPr>
        <w:t xml:space="preserve">envio </w:t>
      </w:r>
      <w:r>
        <w:rPr>
          <w:rFonts w:asciiTheme="minorHAnsi" w:hAnsiTheme="minorHAnsi" w:cstheme="minorHAnsi"/>
          <w:sz w:val="24"/>
          <w:szCs w:val="24"/>
        </w:rPr>
        <w:t xml:space="preserve">de resposta aos CAU/ </w:t>
      </w:r>
      <w:r w:rsidR="00E213E0">
        <w:rPr>
          <w:rFonts w:asciiTheme="minorHAnsi" w:hAnsiTheme="minorHAnsi" w:cstheme="minorHAnsi"/>
          <w:sz w:val="24"/>
          <w:szCs w:val="24"/>
        </w:rPr>
        <w:t xml:space="preserve">UF </w:t>
      </w:r>
      <w:r>
        <w:rPr>
          <w:rFonts w:asciiTheme="minorHAnsi" w:hAnsiTheme="minorHAnsi" w:cstheme="minorHAnsi"/>
          <w:sz w:val="24"/>
          <w:szCs w:val="24"/>
        </w:rPr>
        <w:t xml:space="preserve">por meio dos protocolos em epígrafe, e o encaminhamento </w:t>
      </w:r>
      <w:r w:rsidR="00E213E0">
        <w:rPr>
          <w:rFonts w:asciiTheme="minorHAnsi" w:hAnsiTheme="minorHAnsi" w:cstheme="minorHAnsi"/>
          <w:sz w:val="24"/>
          <w:szCs w:val="24"/>
        </w:rPr>
        <w:t>desta Deliberação aos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00486">
        <w:rPr>
          <w:rFonts w:asciiTheme="minorHAnsi" w:hAnsiTheme="minorHAnsi" w:cstheme="minorHAnsi"/>
          <w:sz w:val="24"/>
          <w:szCs w:val="24"/>
        </w:rPr>
        <w:t xml:space="preserve">demais </w:t>
      </w:r>
      <w:r w:rsidRPr="00576221">
        <w:rPr>
          <w:rFonts w:asciiTheme="minorHAnsi" w:hAnsiTheme="minorHAnsi" w:cstheme="minorHAnsi"/>
          <w:sz w:val="24"/>
          <w:szCs w:val="24"/>
        </w:rPr>
        <w:t>CAU/UF</w:t>
      </w:r>
      <w:r>
        <w:rPr>
          <w:rFonts w:asciiTheme="minorHAnsi" w:hAnsiTheme="minorHAnsi" w:cstheme="minorHAnsi"/>
          <w:sz w:val="24"/>
          <w:szCs w:val="24"/>
        </w:rPr>
        <w:t xml:space="preserve"> e à RIA</w:t>
      </w:r>
      <w:r w:rsidR="00300486">
        <w:rPr>
          <w:rFonts w:asciiTheme="minorHAnsi" w:hAnsiTheme="minorHAnsi" w:cstheme="minorHAnsi"/>
          <w:sz w:val="24"/>
          <w:szCs w:val="24"/>
        </w:rPr>
        <w:t xml:space="preserve"> para divulgação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584AE74" w14:textId="77777777" w:rsidR="00C86D83" w:rsidRPr="005A5103" w:rsidRDefault="00C86D83" w:rsidP="00676A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05166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923" w:type="dxa"/>
        <w:tblInd w:w="137" w:type="dxa"/>
        <w:tblLook w:val="04A0" w:firstRow="1" w:lastRow="0" w:firstColumn="1" w:lastColumn="0" w:noHBand="0" w:noVBand="1"/>
      </w:tblPr>
      <w:tblGrid>
        <w:gridCol w:w="567"/>
        <w:gridCol w:w="1559"/>
        <w:gridCol w:w="6237"/>
        <w:gridCol w:w="1560"/>
      </w:tblGrid>
      <w:tr w:rsidR="00850D52" w:rsidRPr="00130CE4" w14:paraId="2D62C4E4" w14:textId="77777777" w:rsidTr="00711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7113B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6722C19" w:rsidR="00850D52" w:rsidRPr="00130CE4" w:rsidRDefault="00850D52" w:rsidP="00776F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68B7C1C4" w:rsidR="0084438F" w:rsidRPr="00AD097E" w:rsidRDefault="00CD06FE" w:rsidP="00AD097E">
            <w:pPr>
              <w:widowControl w:val="0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3D56FA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</w:t>
            </w:r>
            <w:r w:rsidR="008B202C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D56FA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1C174A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protocolo</w:t>
            </w:r>
            <w:r w:rsidR="008B202C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 </w:t>
            </w:r>
            <w:r w:rsidR="00AD097E" w:rsidRPr="00AD097E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 xml:space="preserve">Siccau nº 1321083-PR, 1433305-PR e 1625569-SP e o </w:t>
            </w:r>
            <w:r w:rsidR="009E7AD1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Processo SEI nº 00146.</w:t>
            </w:r>
            <w:bookmarkStart w:id="0" w:name="_GoBack"/>
            <w:bookmarkEnd w:id="0"/>
            <w:r w:rsidR="00AD097E" w:rsidRPr="00AD097E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 xml:space="preserve">00100060/2022-91 </w:t>
            </w:r>
            <w:r w:rsidR="00950109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Gabinete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providencias</w:t>
            </w:r>
            <w:r w:rsidR="00950109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82345E4" w:rsidR="00850D52" w:rsidRPr="00130CE4" w:rsidRDefault="00776F2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7113B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01A8E8A6" w:rsidR="00C47956" w:rsidRPr="00130CE4" w:rsidRDefault="007113BC" w:rsidP="00AD09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</w:t>
            </w:r>
            <w:r w:rsidR="00130CE4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133" w14:textId="77777777" w:rsidR="00752E90" w:rsidRDefault="00950109" w:rsidP="0095010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o processo SEI à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Gerencia do CSC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monitorar a execução das aç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ões para atendimento da demanda; e </w:t>
            </w:r>
          </w:p>
          <w:p w14:paraId="60E6C854" w14:textId="2DE7B87E" w:rsidR="00AD097E" w:rsidRPr="0084438F" w:rsidRDefault="00AD097E" w:rsidP="0095010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os protocolos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em epígrafe em resposta aos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UFs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requerentes, E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ncaminhar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também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aos demais CAU/UF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à RIA para divulgação (item 5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6162F1BC" w:rsidR="00C47956" w:rsidRPr="00130CE4" w:rsidRDefault="00576389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</w:t>
            </w:r>
            <w:r w:rsidR="00776F2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00486" w:rsidRPr="00300486" w14:paraId="22B6E493" w14:textId="77777777" w:rsidTr="007113B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3DD" w14:textId="0FCCD210" w:rsidR="00300486" w:rsidRPr="00300486" w:rsidRDefault="0030048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30048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83B" w14:textId="008E83A7" w:rsidR="00300486" w:rsidRPr="00300486" w:rsidRDefault="0030048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30048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C32" w14:textId="43BF9934" w:rsidR="00300486" w:rsidRPr="00300486" w:rsidRDefault="00300486" w:rsidP="00AD09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Implantar as melhorias no SICCAU dentro do prazo, conforme item</w:t>
            </w:r>
            <w:r w:rsid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1 , e 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só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o processo </w:t>
            </w:r>
            <w:r w:rsid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SEI à Presidê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ncia 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quando a</w:t>
            </w:r>
            <w:r w:rsid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demanda 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estiver</w:t>
            </w:r>
            <w:r w:rsid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atendida e em funcionamento no SICCAU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F0F" w14:textId="65CE71DC" w:rsidR="00300486" w:rsidRPr="00300486" w:rsidRDefault="00576389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</w:t>
            </w:r>
            <w:r w:rsidRPr="00AD097E">
              <w:rPr>
                <w:rFonts w:asciiTheme="minorHAnsi" w:eastAsia="Times New Roman" w:hAnsiTheme="minorHAnsi" w:cstheme="minorHAnsi"/>
                <w:sz w:val="24"/>
                <w:szCs w:val="24"/>
              </w:rPr>
              <w:t>01/3/2024</w:t>
            </w:r>
          </w:p>
        </w:tc>
      </w:tr>
      <w:tr w:rsidR="00576389" w:rsidRPr="00300486" w14:paraId="096C0655" w14:textId="77777777" w:rsidTr="007113B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74D" w14:textId="4FF97A9B" w:rsidR="00576389" w:rsidRPr="00576389" w:rsidRDefault="00576389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576389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0CC" w14:textId="64837F8A" w:rsidR="00576389" w:rsidRPr="00576389" w:rsidRDefault="00576389" w:rsidP="005763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432" w14:textId="5AFB777E" w:rsidR="00576389" w:rsidRDefault="00576389" w:rsidP="00AD09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pós realizaç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ão das ações pelo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CSC, restituir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processo SEI para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SGM </w:t>
            </w:r>
            <w:r w:rsidR="0095010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 fim de avisar 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</w:t>
            </w:r>
            <w:r w:rsidR="0095010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CEP sobre 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atendimento da demanda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conclusão do processo 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3F2" w14:textId="19A4E6C9" w:rsidR="00576389" w:rsidRPr="00576389" w:rsidRDefault="00AD097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576389" w:rsidRP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523CD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598000B3" w:rsidR="00EB5B6F" w:rsidRDefault="00B74074" w:rsidP="00676AE5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AD097E">
        <w:rPr>
          <w:rFonts w:asciiTheme="minorHAnsi" w:eastAsia="Cambria" w:hAnsiTheme="minorHAnsi" w:cstheme="minorHAnsi"/>
          <w:sz w:val="24"/>
          <w:szCs w:val="24"/>
        </w:rPr>
        <w:t>01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AD097E">
        <w:rPr>
          <w:rFonts w:asciiTheme="minorHAnsi" w:eastAsia="Cambria" w:hAnsiTheme="minorHAnsi" w:cstheme="minorHAnsi"/>
          <w:sz w:val="24"/>
          <w:szCs w:val="24"/>
        </w:rPr>
        <w:t>setembro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4672" w:type="dxa"/>
          </w:tcPr>
          <w:p w14:paraId="134562E9" w14:textId="5706D3C7" w:rsidR="00E9205E" w:rsidRPr="00130CE4" w:rsidRDefault="0042486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6475158B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4463" w:type="dxa"/>
          </w:tcPr>
          <w:p w14:paraId="7C43BAF2" w14:textId="5A9D7133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51D10A2A" w:rsidR="00E9205E" w:rsidRPr="00130CE4" w:rsidRDefault="0042486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8B1A6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83B3CD0" w14:textId="77777777" w:rsidR="00ED4874" w:rsidRDefault="00ED4874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932A2A" w14:textId="25CAECA7" w:rsidR="00ED4874" w:rsidRDefault="00ED4874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4E59AB5" w14:textId="1D8E80CF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F05525" w14:textId="52D34502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0B2E5A" w14:textId="2C76B2F8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0BCA7F0" w14:textId="55BA5A83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2F31ED" w14:textId="06A4AE04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B47CA2" w14:textId="03745F5A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7AA72F" w14:textId="7B57EAE8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DBB8EB" w14:textId="1124366C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487F5D" w14:textId="37D062FA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71E890" w14:textId="78E16404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9C6DD65" w14:textId="1322619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06ECF8" w14:textId="3CA21C3F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2227F6B" w14:textId="0CAF3BBA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9315C1" w14:textId="7E6BB8BD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59B1729" w14:textId="5BC5835A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4CEA63" w14:textId="73FC6E4E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20A471" w14:textId="7E846FC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C18075" w14:textId="37453AA0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E6ECC8" w14:textId="69F1479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54ACCB" w14:textId="192B10A4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2A28BD" w14:textId="5C63CFB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24C2D2" w14:textId="0D05DA95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9F2EAB" w14:textId="14A9C51F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FBF3ED" w14:textId="26D4C5F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BBBA198" w14:textId="3A13C9D7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3305A3" w14:textId="1F6BE55D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4AED71" w14:textId="28D9707F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8BD8577" w14:textId="1A535851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6FE3A9" w14:textId="61B8A492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38E6FA0" w14:textId="00874963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11702E6" w14:textId="54ED50E1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F449BA9" w14:textId="7B83B329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7D19AB" w14:textId="25B2D542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AC179F" w14:textId="7FE8326E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E3A4D1" w14:textId="3BAE6820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DD7A0E" w14:textId="77777777" w:rsidR="00531B60" w:rsidRDefault="00531B60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FD6E12" w14:textId="77777777" w:rsidR="00ED4874" w:rsidRDefault="00ED4874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0A3F4A" w14:textId="53B39F91" w:rsidR="00ED4874" w:rsidRPr="00F70D18" w:rsidRDefault="00ED4874" w:rsidP="00ED4874">
      <w:pPr>
        <w:tabs>
          <w:tab w:val="left" w:pos="1356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F70D1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130</w:t>
      </w:r>
      <w:r w:rsidRPr="00F70D18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4A2AE302" w14:textId="77777777" w:rsidR="00ED4874" w:rsidRPr="002E2128" w:rsidRDefault="00ED4874" w:rsidP="00ED4874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70D18">
        <w:rPr>
          <w:rFonts w:asciiTheme="minorHAnsi" w:hAnsiTheme="minorHAnsi" w:cstheme="minorHAnsi"/>
          <w:sz w:val="24"/>
          <w:szCs w:val="24"/>
        </w:rPr>
        <w:t>(Presencial)</w:t>
      </w:r>
    </w:p>
    <w:p w14:paraId="6A53977E" w14:textId="77777777" w:rsidR="00ED4874" w:rsidRPr="002E2128" w:rsidRDefault="00ED4874" w:rsidP="00ED487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ED4874" w:rsidRPr="002E2128" w14:paraId="74C76EE4" w14:textId="77777777" w:rsidTr="00C93F1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FD3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6CF95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702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92431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24D2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ED4874" w:rsidRPr="002E2128" w14:paraId="6D78A86D" w14:textId="77777777" w:rsidTr="00C93F1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288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F10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89D7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CEDB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618D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4EB1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ED4874" w:rsidRPr="002E2128" w14:paraId="0B3DE057" w14:textId="77777777" w:rsidTr="00C93F1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4C6B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139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7511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F373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80A9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8CDD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ED4874" w:rsidRPr="002E2128" w14:paraId="55766E5E" w14:textId="77777777" w:rsidTr="00C93F1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C37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262D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7147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DF7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7062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8A0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874" w:rsidRPr="002E2128" w14:paraId="2B2B1C8B" w14:textId="77777777" w:rsidTr="00C93F1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E77D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A00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2F54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59A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B0A1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65B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874" w:rsidRPr="002E2128" w14:paraId="7D8A86EF" w14:textId="77777777" w:rsidTr="00C93F1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CE2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285" w14:textId="77777777" w:rsidR="00ED4874" w:rsidRPr="001723FE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88AF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562C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C374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2FE6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874" w:rsidRPr="002E2128" w14:paraId="2E663D39" w14:textId="77777777" w:rsidTr="00C93F1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CBE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0D9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66EB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2727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DE94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C4AF" w14:textId="77777777" w:rsidR="00ED4874" w:rsidRPr="002E2128" w:rsidRDefault="00ED4874" w:rsidP="00C93F1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4790C5" w14:textId="77777777" w:rsidR="00ED4874" w:rsidRPr="002E2128" w:rsidRDefault="00ED4874" w:rsidP="00ED487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D4874" w:rsidRPr="002E2128" w14:paraId="0B116F82" w14:textId="77777777" w:rsidTr="00C93F10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0B899FF9" w14:textId="77777777" w:rsidR="00ED4874" w:rsidRPr="001723FE" w:rsidRDefault="00ED4874" w:rsidP="00C93F10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9CAD518" w14:textId="77777777" w:rsidR="00ED4874" w:rsidRPr="001723FE" w:rsidRDefault="00ED4874" w:rsidP="00C93F10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5DD80E" w14:textId="77777777" w:rsidR="00ED4874" w:rsidRPr="001723FE" w:rsidRDefault="00ED4874" w:rsidP="00C93F1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6C365EDC" w14:textId="630CBE4C" w:rsidR="00ED4874" w:rsidRPr="001723FE" w:rsidRDefault="00ED4874" w:rsidP="00C93F1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01/9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6A3A30A" w14:textId="77777777" w:rsidR="00ED4874" w:rsidRDefault="00ED4874" w:rsidP="00ED48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Propostas de melhorias nas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funcionalidades </w:t>
            </w:r>
            <w:r w:rsidRPr="00D379E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do SICCAU para atualização cadastral e alterações do registro de PJ e de profissional</w:t>
            </w:r>
          </w:p>
          <w:p w14:paraId="0709E1A3" w14:textId="6032C45A" w:rsidR="00ED4874" w:rsidRPr="001723FE" w:rsidRDefault="00ED4874" w:rsidP="00ED48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121E988" w14:textId="77777777" w:rsidR="00ED4874" w:rsidRPr="001723FE" w:rsidRDefault="00ED4874" w:rsidP="00ED4874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D08CC8A" w14:textId="77777777" w:rsidR="00ED4874" w:rsidRPr="001723FE" w:rsidRDefault="00ED4874" w:rsidP="00ED4874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59BA492" w14:textId="77777777" w:rsidR="00ED4874" w:rsidRPr="001723FE" w:rsidRDefault="00ED4874" w:rsidP="00ED4874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F055817" w14:textId="68DFD8B6" w:rsidR="00ED4874" w:rsidRPr="002E2128" w:rsidRDefault="00ED4874" w:rsidP="00ED4874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</w:p>
        </w:tc>
      </w:tr>
    </w:tbl>
    <w:p w14:paraId="36EF7929" w14:textId="125477D9" w:rsidR="00ED4874" w:rsidRDefault="00ED4874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D868BE2" w14:textId="113A7275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A45ADC7" w14:textId="68DF08CA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F6112E9" w14:textId="1B8C462E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F6D24E8" w14:textId="07E39181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051C393" w14:textId="17BE859C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3187AA8" w14:textId="4515A194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9E4966F" w14:textId="5F34D867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95EDA10" w14:textId="56C79496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19C2837" w14:textId="50324FDC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52E994B" w14:textId="74F8CE8F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8193A44" w14:textId="413909AA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434A87B" w14:textId="1219868C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84B71FC" w14:textId="59B813C9" w:rsidR="00531B60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6596807" w14:textId="14780B1B" w:rsidR="00531B60" w:rsidRPr="0021605C" w:rsidRDefault="00531B60" w:rsidP="00ED4874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0DA1E10C" w:rsidR="0021605C" w:rsidRPr="004E0BF1" w:rsidRDefault="0071306C" w:rsidP="004E0BF1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ANEXO</w:t>
      </w:r>
    </w:p>
    <w:p w14:paraId="4541075F" w14:textId="0F4A516A" w:rsidR="004E0BF1" w:rsidRPr="004E0BF1" w:rsidRDefault="004E0BF1" w:rsidP="004E0BF1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PROPOSTAS DE MELHORIAS DO SICCAU PARA </w:t>
      </w:r>
      <w:r w:rsidR="00ED4874" w:rsidRPr="004E0BF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DAS FUNCIONALIDADES </w:t>
      </w:r>
      <w:r w:rsidR="00ED4874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 xml:space="preserve">RELATIVAS A ATUALIZAÇÃO CADASTRAL DOS </w:t>
      </w:r>
      <w:r w:rsidRPr="004E0BF1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REGISTROS DE PROFISSIONAIS E PESSOAS JURÍDICAS</w:t>
      </w:r>
    </w:p>
    <w:p w14:paraId="6AC4B401" w14:textId="636D0050" w:rsidR="004E0BF1" w:rsidRPr="00ED4874" w:rsidRDefault="004E0BF1" w:rsidP="00ED4874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Incluir nos tutoriais do SICCAU e no Manual de Serviços do CAU as informações e orientações para solicitação de alteração/atualização cadastral de PF e PJ,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assim como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incluir os tutoriais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 SICCAU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página de "Manuais do SICCAU";</w:t>
      </w:r>
    </w:p>
    <w:p w14:paraId="173A8B2B" w14:textId="05401898" w:rsidR="004E0BF1" w:rsidRPr="004E0BF1" w:rsidRDefault="004E0BF1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Incluir na lista de opções d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abrir um PROTOCOLO no SICCAU,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dentro d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caixa de opção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"CADASTRO EMPRESA", a opção de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escolher “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ATUALIZAÇÃO CADASTRAL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” (que não existe quando a pessoa clica em abrir protocolo</w:t>
      </w:r>
      <w:r w:rsidR="00ED4874" w:rsidRP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do SICCAU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);</w:t>
      </w:r>
    </w:p>
    <w:p w14:paraId="3BF9AD63" w14:textId="7D20DA6C" w:rsidR="004E0BF1" w:rsidRPr="004E0BF1" w:rsidRDefault="004E0BF1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 xml:space="preserve">Incluir a opção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(botão ou recurso para clicar) chamado de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"EDITAR DADOS" na </w:t>
      </w:r>
      <w:r w:rsidR="00ED4874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página principal do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SICCAU, tanto do profissional como da empresa, após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ser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realizado o LOGIN, e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que deverá estar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localiz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do logo abaixo do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 dados de telefone, celular, mí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dias e endereço, dando a possibil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ida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ao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usuário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verificar e solicitar a alteração de algum dado cadastral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 forma direta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sem necessidade de abrir um pro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tocolo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no SICCAU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Após cadastrar a solicitação de alteração de um dos dados,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 SICCAU deverá enviar um aviso ao CAU/UF responsável para validar a solicitação e autorizar a mudança.</w:t>
      </w:r>
    </w:p>
    <w:p w14:paraId="3EE25ACA" w14:textId="77777777" w:rsidR="00D85B9D" w:rsidRPr="004E0BF1" w:rsidRDefault="00D85B9D" w:rsidP="00D85B9D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Possibilitar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que a atualização seja analisada, permitindo que as notificações fiquem registradas e que a empresa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ou o CAU/UF possam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anexar docu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mentos complementares à análise e aprovação.</w:t>
      </w:r>
    </w:p>
    <w:p w14:paraId="747D94B7" w14:textId="4F2DB886" w:rsidR="004E0BF1" w:rsidRPr="004E0BF1" w:rsidRDefault="004E0BF1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Implementação de uma ferramenta no SICCAU que assegure a atualização cadastral dos profissionai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 e empresas, conforme exposto pelo CAU/SP na demanda: “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inclusão de uma pop-up, com a requisição de atualização cadastral, que deve aparecer sempre no primeiro acesso ao SICCAU, pelo profissional ou empresa, do ano corrente. Essa pop-up tem como objetivo fazer com que o profissional ou empresa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verifiquem 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atualizem seus dados cadastrais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que confirmem que os dados já cadastrados estão atualizados.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Além disso, o SICCAU deverá disponibilizar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extração de um relatório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pelos CAU/UF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quais profissionais ou empresas acessaram o SICCAU e 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quais aderiram à solicitação de atualização cadastral</w:t>
      </w:r>
      <w:r w:rsidR="00ED487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confirmaram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;</w:t>
      </w:r>
    </w:p>
    <w:p w14:paraId="25B487BC" w14:textId="08D09252" w:rsidR="004E0BF1" w:rsidRPr="004E0BF1" w:rsidRDefault="00D85B9D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Não enviar notificação 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automática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pelo SICCAU sobre a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tualização cadastral nos casos em que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profissional ou 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empresa t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iver seu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registro interrompido, suspenso ou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cancelado/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baixado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. Somente notificar ou enviar mensagens para pessoas físicas ou jurídicas com registro ativo;</w:t>
      </w:r>
    </w:p>
    <w:p w14:paraId="19C80E71" w14:textId="21E228D1" w:rsidR="004E0BF1" w:rsidRPr="004E0BF1" w:rsidRDefault="00D85B9D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Quando o profissional ou a empresa solicitar (via protocolo) a reativação do registro interrompido, o SICCAU deverá emitir um aviso ou notificação de solicitação de Atualização dos dados cadastrais, de forma automática, assim que cadastrar o pedido de reativação.</w:t>
      </w:r>
    </w:p>
    <w:p w14:paraId="2ADEC20B" w14:textId="03DE8482" w:rsidR="004E0BF1" w:rsidRPr="004E0BF1" w:rsidRDefault="00D85B9D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Que o SICCAU realize, de forma automatizada, a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verificação da existência de </w:t>
      </w:r>
      <w:proofErr w:type="spellStart"/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RRTs</w:t>
      </w:r>
      <w:proofErr w:type="spellEnd"/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em aberto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(sem baixa) vinculados à empresa, 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concomitantemente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com a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notificação de ausência de responsável técnico. (</w:t>
      </w:r>
      <w:proofErr w:type="gramStart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realizar</w:t>
      </w:r>
      <w:proofErr w:type="gramEnd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forma automática e inteligente  o cruzamentos de dados)</w:t>
      </w:r>
    </w:p>
    <w:p w14:paraId="3AD117FD" w14:textId="3B3BB615" w:rsidR="004E0BF1" w:rsidRPr="004E0BF1" w:rsidRDefault="008C007E" w:rsidP="004E0BF1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Enviar notificações ao 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e-mail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cadastrado da empresa no SICCAU cada vez que um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p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rofissional emitir RRT vinculando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 empresa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como contratada do serviço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de modo que 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empresa registrada no CAU tome ciência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dessa vinculação;</w:t>
      </w:r>
      <w:r w:rsidR="004E0BF1"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</w:p>
    <w:p w14:paraId="6689FCE4" w14:textId="77777777" w:rsidR="008C007E" w:rsidRDefault="004E0BF1" w:rsidP="008C007E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Habilitar o acesso dos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CAU/UF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ao acesso aos</w:t>
      </w:r>
      <w:r w:rsidR="00CA4D3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registros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colocados como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u w:val="single"/>
          <w:lang w:eastAsia="pt-BR"/>
        </w:rPr>
        <w:t>inativos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ou seja,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aqueles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registros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migrados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que não realizaram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recadastramento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obrigatório e que n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unca acessaram </w:t>
      </w:r>
      <w:r w:rsid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o SICCAU, desde janeiro de 2012; e</w:t>
      </w:r>
    </w:p>
    <w:p w14:paraId="04EE0A60" w14:textId="3DE689B2" w:rsidR="004E0BF1" w:rsidRDefault="008C007E" w:rsidP="008C007E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Emitir 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relatórios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periódicos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, a cada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início de 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ano,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para avisar os CAU/UF 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sobre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os 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registros com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pendê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ncias, i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rregularidades ou que não acessam</w:t>
      </w:r>
      <w:r w:rsidR="004E0BF1" w:rsidRPr="008C007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o Siccau há mais de 12 meses.</w:t>
      </w:r>
    </w:p>
    <w:p w14:paraId="26156C3E" w14:textId="77777777" w:rsidR="008C007E" w:rsidRPr="004E0BF1" w:rsidRDefault="008C007E" w:rsidP="008C007E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Que o SICCAU envie notificação para o e-mail cadastrado do arquiteto e urbanista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30 dias antes da data indicada como previsão de término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atividade/serviço no RRT elaborado e em aberto, para que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 sistema avise o profissional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que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 data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prevista está próxima do fim e sobre a necessidade de realizar a retificação ou baixa do referido RRT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. </w:t>
      </w:r>
    </w:p>
    <w:p w14:paraId="503D425C" w14:textId="6B63ED87" w:rsidR="008C007E" w:rsidRPr="008C007E" w:rsidRDefault="008C007E" w:rsidP="008C007E">
      <w:pPr>
        <w:pStyle w:val="PargrafodaLista"/>
        <w:numPr>
          <w:ilvl w:val="0"/>
          <w:numId w:val="9"/>
        </w:numPr>
        <w:spacing w:after="240" w:line="240" w:lineRule="auto"/>
        <w:ind w:left="714" w:hanging="357"/>
        <w:contextualSpacing w:val="0"/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Incluir a regra no SICCAU para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não permitir que seja realizada a baixa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automática (somente a solicitação de baixa)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 RRT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Simples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 desempenho de cargo e função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vinculado à Empresa no registro do CAU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 xml:space="preserve">como responsável técnico,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enquanto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tiver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outros </w:t>
      </w:r>
      <w:proofErr w:type="spellStart"/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RRTs</w:t>
      </w:r>
      <w:proofErr w:type="spellEnd"/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sem baixa vinculados à PJ como empresa contratada. E também não permitir que seja inserida uma data fim da atividade na Baixa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 RRT de Cargo ou Função de responsável técnico pela empresa (RRT vinculado ao registro da empresa como R.T.) com data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anterior a data fim de qualquer </w:t>
      </w:r>
      <w:r w:rsidR="00CD06F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um 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dos </w:t>
      </w:r>
      <w:r w:rsidR="00CD06F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demais </w:t>
      </w:r>
      <w:proofErr w:type="spellStart"/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RRTs</w:t>
      </w:r>
      <w:proofErr w:type="spellEnd"/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de atividade</w:t>
      </w:r>
      <w:r w:rsidR="00CD06F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s</w:t>
      </w:r>
      <w:r w:rsidRPr="004E0BF1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vinculados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à empresa como contratada (cruzamento de dados de forma inteligente pelo sistema);</w:t>
      </w:r>
    </w:p>
    <w:p w14:paraId="67BDAD0D" w14:textId="72A4BBE3" w:rsidR="0021605C" w:rsidRPr="0021605C" w:rsidRDefault="0021605C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8016F" w14:textId="77777777" w:rsidR="007633EE" w:rsidRDefault="007633EE" w:rsidP="00EE0A57">
      <w:pPr>
        <w:spacing w:after="0" w:line="240" w:lineRule="auto"/>
      </w:pPr>
      <w:r>
        <w:separator/>
      </w:r>
    </w:p>
  </w:endnote>
  <w:endnote w:type="continuationSeparator" w:id="0">
    <w:p w14:paraId="5DE74D33" w14:textId="77777777" w:rsidR="007633EE" w:rsidRDefault="007633E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5EA4DC1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E7AD1" w:rsidRPr="009E7AD1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BA32" w14:textId="77777777" w:rsidR="007633EE" w:rsidRDefault="007633EE" w:rsidP="00EE0A57">
      <w:pPr>
        <w:spacing w:after="0" w:line="240" w:lineRule="auto"/>
      </w:pPr>
      <w:r>
        <w:separator/>
      </w:r>
    </w:p>
  </w:footnote>
  <w:footnote w:type="continuationSeparator" w:id="0">
    <w:p w14:paraId="5B1FF3E2" w14:textId="77777777" w:rsidR="007633EE" w:rsidRDefault="007633E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93879"/>
    <w:multiLevelType w:val="hybridMultilevel"/>
    <w:tmpl w:val="86A6DD7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0701C50"/>
    <w:multiLevelType w:val="hybridMultilevel"/>
    <w:tmpl w:val="A50C64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4775"/>
    <w:multiLevelType w:val="hybridMultilevel"/>
    <w:tmpl w:val="CD118EB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2356AE9"/>
    <w:multiLevelType w:val="hybridMultilevel"/>
    <w:tmpl w:val="48E00EE2"/>
    <w:lvl w:ilvl="0" w:tplc="069A86E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C2B"/>
    <w:rsid w:val="00036C95"/>
    <w:rsid w:val="000502E6"/>
    <w:rsid w:val="00051666"/>
    <w:rsid w:val="00055CDF"/>
    <w:rsid w:val="00071C49"/>
    <w:rsid w:val="00076A2E"/>
    <w:rsid w:val="000836A3"/>
    <w:rsid w:val="0008459F"/>
    <w:rsid w:val="000915B6"/>
    <w:rsid w:val="00092202"/>
    <w:rsid w:val="000B5EEF"/>
    <w:rsid w:val="000C1FB0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0AE"/>
    <w:rsid w:val="00136165"/>
    <w:rsid w:val="001431A9"/>
    <w:rsid w:val="001456B0"/>
    <w:rsid w:val="00165B4A"/>
    <w:rsid w:val="001723FE"/>
    <w:rsid w:val="001742D1"/>
    <w:rsid w:val="0018345D"/>
    <w:rsid w:val="00183BA1"/>
    <w:rsid w:val="001856B4"/>
    <w:rsid w:val="0019668B"/>
    <w:rsid w:val="0019785E"/>
    <w:rsid w:val="001A0542"/>
    <w:rsid w:val="001B7C01"/>
    <w:rsid w:val="001C174A"/>
    <w:rsid w:val="001D4466"/>
    <w:rsid w:val="001E32C8"/>
    <w:rsid w:val="001E4348"/>
    <w:rsid w:val="001F7512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3CFA"/>
    <w:rsid w:val="00264491"/>
    <w:rsid w:val="00265A7E"/>
    <w:rsid w:val="00273D1D"/>
    <w:rsid w:val="00274C48"/>
    <w:rsid w:val="00282B11"/>
    <w:rsid w:val="0028319D"/>
    <w:rsid w:val="00284D02"/>
    <w:rsid w:val="0028527D"/>
    <w:rsid w:val="002940A7"/>
    <w:rsid w:val="0029429B"/>
    <w:rsid w:val="00296B01"/>
    <w:rsid w:val="002A1CF7"/>
    <w:rsid w:val="002B0118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57CF"/>
    <w:rsid w:val="002F6B87"/>
    <w:rsid w:val="00300486"/>
    <w:rsid w:val="00301469"/>
    <w:rsid w:val="00314B6B"/>
    <w:rsid w:val="00314C0D"/>
    <w:rsid w:val="0031769F"/>
    <w:rsid w:val="003178CF"/>
    <w:rsid w:val="0032256B"/>
    <w:rsid w:val="00323C68"/>
    <w:rsid w:val="003253A5"/>
    <w:rsid w:val="00327711"/>
    <w:rsid w:val="0032781C"/>
    <w:rsid w:val="00331DBE"/>
    <w:rsid w:val="0033608B"/>
    <w:rsid w:val="00342363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56F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25E9"/>
    <w:rsid w:val="00424860"/>
    <w:rsid w:val="00433118"/>
    <w:rsid w:val="0043336C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0B6"/>
    <w:rsid w:val="004A06E1"/>
    <w:rsid w:val="004A2666"/>
    <w:rsid w:val="004A289D"/>
    <w:rsid w:val="004B529A"/>
    <w:rsid w:val="004C44C3"/>
    <w:rsid w:val="004D49F4"/>
    <w:rsid w:val="004E0BF1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1B60"/>
    <w:rsid w:val="00533BEE"/>
    <w:rsid w:val="005406D7"/>
    <w:rsid w:val="00543A09"/>
    <w:rsid w:val="005459F0"/>
    <w:rsid w:val="0056378B"/>
    <w:rsid w:val="00565076"/>
    <w:rsid w:val="00570C6D"/>
    <w:rsid w:val="00572529"/>
    <w:rsid w:val="00576221"/>
    <w:rsid w:val="0057638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26924"/>
    <w:rsid w:val="00646843"/>
    <w:rsid w:val="00653568"/>
    <w:rsid w:val="006758DE"/>
    <w:rsid w:val="00676AE5"/>
    <w:rsid w:val="00683D8D"/>
    <w:rsid w:val="00697449"/>
    <w:rsid w:val="006A58E6"/>
    <w:rsid w:val="006B0B08"/>
    <w:rsid w:val="006C198D"/>
    <w:rsid w:val="006C4131"/>
    <w:rsid w:val="006D0C53"/>
    <w:rsid w:val="006E1348"/>
    <w:rsid w:val="006E1404"/>
    <w:rsid w:val="006E5943"/>
    <w:rsid w:val="006E7602"/>
    <w:rsid w:val="006F009C"/>
    <w:rsid w:val="006F6C49"/>
    <w:rsid w:val="006F75B0"/>
    <w:rsid w:val="00702B94"/>
    <w:rsid w:val="007113BC"/>
    <w:rsid w:val="0071306C"/>
    <w:rsid w:val="00721C11"/>
    <w:rsid w:val="007256CD"/>
    <w:rsid w:val="0073096E"/>
    <w:rsid w:val="00743F40"/>
    <w:rsid w:val="00746708"/>
    <w:rsid w:val="00746B83"/>
    <w:rsid w:val="00746E95"/>
    <w:rsid w:val="0075275C"/>
    <w:rsid w:val="00752E90"/>
    <w:rsid w:val="0075624D"/>
    <w:rsid w:val="00756AF0"/>
    <w:rsid w:val="00756D86"/>
    <w:rsid w:val="00756DD8"/>
    <w:rsid w:val="00757BB0"/>
    <w:rsid w:val="007633EE"/>
    <w:rsid w:val="00765BB6"/>
    <w:rsid w:val="00766B0D"/>
    <w:rsid w:val="00776F21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311A2"/>
    <w:rsid w:val="00842A6B"/>
    <w:rsid w:val="0084438F"/>
    <w:rsid w:val="008508CE"/>
    <w:rsid w:val="00850D52"/>
    <w:rsid w:val="00851604"/>
    <w:rsid w:val="00854073"/>
    <w:rsid w:val="00877D0F"/>
    <w:rsid w:val="00885CE1"/>
    <w:rsid w:val="008936F6"/>
    <w:rsid w:val="0089372A"/>
    <w:rsid w:val="008A036E"/>
    <w:rsid w:val="008A43D5"/>
    <w:rsid w:val="008B1A64"/>
    <w:rsid w:val="008B202C"/>
    <w:rsid w:val="008C007E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4C"/>
    <w:rsid w:val="00917491"/>
    <w:rsid w:val="009176A0"/>
    <w:rsid w:val="009179C5"/>
    <w:rsid w:val="0092106B"/>
    <w:rsid w:val="00927F79"/>
    <w:rsid w:val="00931D05"/>
    <w:rsid w:val="00936F4E"/>
    <w:rsid w:val="00950109"/>
    <w:rsid w:val="00955690"/>
    <w:rsid w:val="0096296A"/>
    <w:rsid w:val="00970899"/>
    <w:rsid w:val="00974483"/>
    <w:rsid w:val="00974E5E"/>
    <w:rsid w:val="00976E2D"/>
    <w:rsid w:val="00981283"/>
    <w:rsid w:val="00991601"/>
    <w:rsid w:val="009966B4"/>
    <w:rsid w:val="009A166A"/>
    <w:rsid w:val="009A54B4"/>
    <w:rsid w:val="009B12BB"/>
    <w:rsid w:val="009B1338"/>
    <w:rsid w:val="009B651B"/>
    <w:rsid w:val="009E7AD1"/>
    <w:rsid w:val="009F56AC"/>
    <w:rsid w:val="009F5CCC"/>
    <w:rsid w:val="00A00B64"/>
    <w:rsid w:val="00A05A92"/>
    <w:rsid w:val="00A12F06"/>
    <w:rsid w:val="00A141BE"/>
    <w:rsid w:val="00A1425B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B1753"/>
    <w:rsid w:val="00AC0AFF"/>
    <w:rsid w:val="00AC46A7"/>
    <w:rsid w:val="00AC554C"/>
    <w:rsid w:val="00AD097E"/>
    <w:rsid w:val="00AD13E9"/>
    <w:rsid w:val="00AD5B92"/>
    <w:rsid w:val="00AF1198"/>
    <w:rsid w:val="00B235FD"/>
    <w:rsid w:val="00B31F78"/>
    <w:rsid w:val="00B44FD6"/>
    <w:rsid w:val="00B50AA9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5DA4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D83"/>
    <w:rsid w:val="00C90086"/>
    <w:rsid w:val="00C91710"/>
    <w:rsid w:val="00C91CA5"/>
    <w:rsid w:val="00C9260F"/>
    <w:rsid w:val="00C96AAD"/>
    <w:rsid w:val="00CA3343"/>
    <w:rsid w:val="00CA4D38"/>
    <w:rsid w:val="00CB407A"/>
    <w:rsid w:val="00CB5DBC"/>
    <w:rsid w:val="00CB77DA"/>
    <w:rsid w:val="00CC51BF"/>
    <w:rsid w:val="00CC6DA7"/>
    <w:rsid w:val="00CD06FE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5B27"/>
    <w:rsid w:val="00D379E7"/>
    <w:rsid w:val="00D41D3C"/>
    <w:rsid w:val="00D46579"/>
    <w:rsid w:val="00D54F19"/>
    <w:rsid w:val="00D61D98"/>
    <w:rsid w:val="00D741A0"/>
    <w:rsid w:val="00D84BA0"/>
    <w:rsid w:val="00D85B9D"/>
    <w:rsid w:val="00D85CCB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DF4C38"/>
    <w:rsid w:val="00E021E6"/>
    <w:rsid w:val="00E0640A"/>
    <w:rsid w:val="00E20465"/>
    <w:rsid w:val="00E213E0"/>
    <w:rsid w:val="00E25662"/>
    <w:rsid w:val="00E27D38"/>
    <w:rsid w:val="00E379E7"/>
    <w:rsid w:val="00E50891"/>
    <w:rsid w:val="00E5439B"/>
    <w:rsid w:val="00E54621"/>
    <w:rsid w:val="00E61A2C"/>
    <w:rsid w:val="00E70729"/>
    <w:rsid w:val="00E76D27"/>
    <w:rsid w:val="00E8576E"/>
    <w:rsid w:val="00E85D5F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874"/>
    <w:rsid w:val="00ED4D58"/>
    <w:rsid w:val="00ED6D65"/>
    <w:rsid w:val="00ED70C4"/>
    <w:rsid w:val="00EE0A57"/>
    <w:rsid w:val="00EE0F69"/>
    <w:rsid w:val="00EE2BAB"/>
    <w:rsid w:val="00EE394E"/>
    <w:rsid w:val="00EE7B84"/>
    <w:rsid w:val="00EF061A"/>
    <w:rsid w:val="00F012A1"/>
    <w:rsid w:val="00F05FCB"/>
    <w:rsid w:val="00F07DD6"/>
    <w:rsid w:val="00F07EAB"/>
    <w:rsid w:val="00F30A5C"/>
    <w:rsid w:val="00F42952"/>
    <w:rsid w:val="00F5522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22D6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7C454-D64E-4981-8C02-B95C45B9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1687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14</cp:revision>
  <dcterms:created xsi:type="dcterms:W3CDTF">2023-08-31T20:08:00Z</dcterms:created>
  <dcterms:modified xsi:type="dcterms:W3CDTF">2023-09-12T19:52:00Z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