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54D55FC5" w:rsidR="00984700" w:rsidRPr="00774C04" w:rsidRDefault="00984700" w:rsidP="008D60DD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284434">
              <w:rPr>
                <w:rFonts w:ascii="Times New Roman" w:eastAsia="Times New Roman" w:hAnsi="Times New Roman"/>
                <w:b w:val="0"/>
                <w:smallCaps/>
                <w:kern w:val="32"/>
              </w:rPr>
              <w:t>7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73AA6B0A" w:rsidR="00984700" w:rsidRPr="00A96559" w:rsidRDefault="00284434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47C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agosto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58F4C423" w:rsidR="00984700" w:rsidRPr="00190A2F" w:rsidRDefault="000A6545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28443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28443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28443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2167F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 w:rsidRPr="0028443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3B523E76" w:rsidR="00E228F0" w:rsidRPr="00A96559" w:rsidRDefault="00B97499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AC572B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60ED18C8" w:rsidR="00E228F0" w:rsidRPr="00667181" w:rsidRDefault="00A343CA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2167F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E228F0" w:rsidRPr="00A96559" w14:paraId="37FEE8B3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166E6" w:rsidRPr="00A96559" w14:paraId="78A5A1EE" w14:textId="77777777" w:rsidTr="0093572E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6F3797" w14:textId="31A474B7" w:rsidR="004166E6" w:rsidRPr="00A96559" w:rsidRDefault="004166E6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66E92" w14:textId="77777777" w:rsidR="004166E6" w:rsidRPr="00A343CA" w:rsidRDefault="004166E6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343CA"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1B47DB7" w14:textId="77777777" w:rsidR="004166E6" w:rsidRPr="00A343CA" w:rsidRDefault="004166E6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1F5AB0A9" w:rsidR="004166E6" w:rsidRPr="00A343CA" w:rsidRDefault="004166E6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343CA"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4166E6" w:rsidRPr="00A96559" w14:paraId="037FE10D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5421DC7" w14:textId="40FF249D" w:rsidR="004166E6" w:rsidRPr="00A96559" w:rsidRDefault="004166E6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6C0A6" w14:textId="77777777" w:rsidR="004166E6" w:rsidRPr="00A343CA" w:rsidRDefault="004166E6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343C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77777777" w:rsidR="004166E6" w:rsidRPr="00A343CA" w:rsidRDefault="004166E6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879A7" w14:textId="7760FB2C" w:rsidR="004166E6" w:rsidRPr="00A343CA" w:rsidRDefault="004166E6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A343CA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4166E6" w:rsidRPr="00A96559" w14:paraId="787A2080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5816F55" w14:textId="77777777" w:rsidR="004166E6" w:rsidRPr="00A96559" w:rsidRDefault="004166E6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982CE0" w14:textId="77777777" w:rsidR="00076EFF" w:rsidRDefault="00076EFF" w:rsidP="00076EF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27DB1">
              <w:rPr>
                <w:rFonts w:ascii="Times New Roman" w:eastAsia="Cambria" w:hAnsi="Times New Roman" w:cs="Times New Roman"/>
                <w:b w:val="0"/>
                <w:color w:val="auto"/>
              </w:rPr>
              <w:t>Renato Viana</w:t>
            </w:r>
          </w:p>
          <w:p w14:paraId="4198F076" w14:textId="77777777" w:rsidR="004166E6" w:rsidRPr="00284434" w:rsidRDefault="004166E6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4DBDE1" w14:textId="3447462A" w:rsidR="004166E6" w:rsidRPr="00284434" w:rsidRDefault="00076EFF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227DB1">
              <w:rPr>
                <w:rFonts w:ascii="Times New Roman" w:eastAsia="Cambria" w:hAnsi="Times New Roman" w:cs="Times New Roman"/>
                <w:b w:val="0"/>
                <w:color w:val="auto"/>
              </w:rPr>
              <w:t>Coordenador do IGEO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F46B99" w:rsidRPr="00A96559" w14:paraId="7BA22912" w14:textId="77777777" w:rsidTr="00F8073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8D60DD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51AEAD48" w:rsidR="00984700" w:rsidRPr="00667181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 </w:t>
            </w:r>
            <w:r w:rsidR="00433063" w:rsidRPr="002167F9">
              <w:rPr>
                <w:rFonts w:ascii="Times New Roman" w:eastAsia="Cambria" w:hAnsi="Times New Roman" w:cs="Times New Roman"/>
                <w:color w:val="auto"/>
              </w:rPr>
              <w:t>6</w:t>
            </w:r>
            <w:r w:rsidRPr="002167F9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Reunião Ordinária</w:t>
            </w:r>
            <w:r w:rsidR="00081E96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59B2BD49" w:rsidR="00984700" w:rsidRPr="00A96559" w:rsidRDefault="002167F9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Súmula aprovada. 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07D15ABB" w14:textId="4A38117E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F36115" w14:paraId="4F0FB5D8" w14:textId="77777777" w:rsidTr="001743B1">
        <w:tc>
          <w:tcPr>
            <w:tcW w:w="94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9966F6" w14:textId="77777777" w:rsidR="00F36115" w:rsidRDefault="00F3611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</w:tbl>
    <w:p w14:paraId="6398E271" w14:textId="220BEE96" w:rsidR="00F36115" w:rsidRDefault="00F36115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511"/>
      </w:tblGrid>
      <w:tr w:rsidR="001743B1" w14:paraId="1AA448E3" w14:textId="77777777" w:rsidTr="00CD3A5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D1DC36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4F9B512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Matozalém Santana</w:t>
            </w:r>
          </w:p>
        </w:tc>
      </w:tr>
      <w:tr w:rsidR="001743B1" w14:paraId="628707BF" w14:textId="77777777" w:rsidTr="00CD3A51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8CDBAC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D41998" w14:textId="1B96DC7E" w:rsidR="001743B1" w:rsidRDefault="001743B1" w:rsidP="00CD3A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Destacou a importância de conclusão dos produtos previstos no Plano de Trabalho da Comissão: a elaboração do Plano Nacional e Manual de Fiscalização. Reforçou a solicitação de análise dos indicadores da fiscalização pelo CAU/RS. Informou que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a estrutura dos documentos está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disponível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pasta compartilhada da comissão e solicitou a contribuição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dos membros.</w:t>
            </w:r>
          </w:p>
          <w:p w14:paraId="44E6BA54" w14:textId="77777777" w:rsidR="001743B1" w:rsidRDefault="001743B1" w:rsidP="00CD3A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3ECCAA0A" w14:textId="4CA4084A" w:rsidR="001743B1" w:rsidRDefault="001743B1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511"/>
      </w:tblGrid>
      <w:tr w:rsidR="001743B1" w14:paraId="2C715305" w14:textId="77777777" w:rsidTr="001743B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A24A8F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1309F2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Maia</w:t>
            </w:r>
          </w:p>
        </w:tc>
      </w:tr>
      <w:tr w:rsidR="001743B1" w14:paraId="032AFB13" w14:textId="77777777" w:rsidTr="001743B1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8AB2F2" w14:textId="77777777" w:rsidR="001743B1" w:rsidRDefault="001743B1" w:rsidP="00CD3A5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DFFB65E" w14:textId="77777777" w:rsidR="001743B1" w:rsidRDefault="001743B1" w:rsidP="00CD3A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que as sugestões </w:t>
            </w:r>
            <w:r w:rsidRPr="00F36115">
              <w:rPr>
                <w:rFonts w:ascii="Times New Roman" w:eastAsia="Cambria" w:hAnsi="Times New Roman" w:cs="Times New Roman"/>
                <w:b w:val="0"/>
                <w:color w:val="auto"/>
              </w:rPr>
              <w:t>de nomes para criação do grupo de trabalho para implantação no SICCAU da Resolução CAU/BR nº 198, bem como os objetivos e prazo para o referido grupo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o material elaborado pela Andréa Pinheiro sobre a implantação da resolução no SICCAU </w:t>
            </w:r>
            <w:r w:rsidRPr="00F36115">
              <w:rPr>
                <w:rFonts w:ascii="Times New Roman" w:eastAsia="Cambria" w:hAnsi="Times New Roman" w:cs="Times New Roman"/>
                <w:b w:val="0"/>
                <w:color w:val="auto"/>
              </w:rPr>
              <w:t>foi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encaminhado à Presidência do CAU/BR por meio do </w:t>
            </w:r>
            <w:r w:rsidRPr="00F36115">
              <w:rPr>
                <w:rFonts w:ascii="Times New Roman" w:eastAsia="Cambria" w:hAnsi="Times New Roman" w:cs="Times New Roman"/>
                <w:b w:val="0"/>
                <w:color w:val="auto"/>
              </w:rPr>
              <w:t>Memorando nº 00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2</w:t>
            </w:r>
            <w:r w:rsidRPr="00F36115">
              <w:rPr>
                <w:rFonts w:ascii="Times New Roman" w:eastAsia="Cambria" w:hAnsi="Times New Roman" w:cs="Times New Roman"/>
                <w:b w:val="0"/>
                <w:color w:val="auto"/>
              </w:rPr>
              <w:t>/2021 da CTF- CAU/BR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</w:p>
          <w:p w14:paraId="060426CB" w14:textId="77777777" w:rsidR="001743B1" w:rsidRDefault="001743B1" w:rsidP="00CD3A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Relatou que a sugestão de criação do grupo foi encaminhada, pela Presidência, para manifestação da CEP-CAU/BR. </w:t>
            </w:r>
          </w:p>
          <w:p w14:paraId="6850E9EC" w14:textId="77777777" w:rsidR="001743B1" w:rsidRDefault="001743B1" w:rsidP="00CD3A5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1AF35A4D" w14:textId="04DC0149" w:rsidR="001743B1" w:rsidRDefault="001743B1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72A01AC" w14:textId="718EE724" w:rsidR="001743B1" w:rsidRDefault="001743B1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17011E">
      <w:pPr>
        <w:shd w:val="clear" w:color="auto" w:fill="D9D9D9"/>
        <w:spacing w:after="0" w:line="240" w:lineRule="auto"/>
        <w:ind w:left="142" w:firstLine="142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433063" w:rsidRPr="00667181" w14:paraId="41287719" w14:textId="77777777" w:rsidTr="008D60DD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433063" w:rsidRPr="00A96559" w:rsidRDefault="00433063" w:rsidP="0043306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24E62C68" w:rsidR="00433063" w:rsidRPr="00667181" w:rsidRDefault="00433063" w:rsidP="00433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Apresentação das funcionalidades da plataforma IGEO para a fiscalização</w:t>
            </w:r>
          </w:p>
        </w:tc>
      </w:tr>
      <w:tr w:rsidR="00433063" w:rsidRPr="00A96559" w14:paraId="0E7EF9F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433063" w:rsidRPr="00A96559" w:rsidRDefault="00433063" w:rsidP="0043306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658122F4" w:rsidR="00433063" w:rsidRPr="00E228F0" w:rsidRDefault="00433063" w:rsidP="0043306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433063" w:rsidRPr="00A96559" w14:paraId="177EF69C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433063" w:rsidRPr="00A96559" w:rsidRDefault="00433063" w:rsidP="0043306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3A409DDA" w:rsidR="00433063" w:rsidRPr="00E228F0" w:rsidRDefault="00433063" w:rsidP="0043306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Renato Vianna – Coordenador do IGEO</w:t>
            </w:r>
          </w:p>
        </w:tc>
      </w:tr>
      <w:tr w:rsidR="00984700" w:rsidRPr="00A96559" w14:paraId="3700ACBE" w14:textId="77777777" w:rsidTr="008D60DD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E05487" w14:textId="02B56340" w:rsidR="00984700" w:rsidRPr="002167F9" w:rsidRDefault="002167F9" w:rsidP="001421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167F9">
              <w:rPr>
                <w:rFonts w:ascii="Times New Roman" w:eastAsia="Cambria" w:hAnsi="Times New Roman" w:cs="Times New Roman"/>
                <w:b w:val="0"/>
                <w:color w:val="auto"/>
              </w:rPr>
              <w:t>O Coordenador do IGEO Renato Viana fez apresentação a respeito das principais ferramentas do IGEO para fiscalização abordando os seguintes assuntos:</w:t>
            </w:r>
          </w:p>
          <w:p w14:paraId="4F39E850" w14:textId="62432FC3" w:rsidR="002167F9" w:rsidRPr="00142127" w:rsidRDefault="002167F9" w:rsidP="0014212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>Áreas de aplicação das ferramentas: Análise e planejamento, Operação e Integração de dados junto a outros órgãos;</w:t>
            </w:r>
          </w:p>
          <w:p w14:paraId="51EAC9A7" w14:textId="05958393" w:rsidR="002167F9" w:rsidRPr="00142127" w:rsidRDefault="002167F9" w:rsidP="0014212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>Dados disponíveis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;</w:t>
            </w:r>
          </w:p>
          <w:p w14:paraId="1B14EFD7" w14:textId="0C73FFFC" w:rsidR="002167F9" w:rsidRPr="00142127" w:rsidRDefault="002167F9" w:rsidP="0014212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Ferramentas para fiscalização: Mapas temáticos, 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Da</w:t>
            </w:r>
            <w:r w:rsidR="007E2391"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s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hboards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Consultas, 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Workface Web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(utilizado pelos gerentes e coordenadores de </w:t>
            </w:r>
            <w:r w:rsidR="007E2391"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>fiscalização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), 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lastRenderedPageBreak/>
              <w:t>App Workface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(utilizado pelos fiscais), 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App Collector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(para coleta de dados em campo) e </w:t>
            </w:r>
            <w:r w:rsidRPr="00142127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App Explorer</w:t>
            </w:r>
            <w:r w:rsidRP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(em projeto piloto junto ao CAU/RS).</w:t>
            </w:r>
          </w:p>
          <w:p w14:paraId="652F3436" w14:textId="4B60EDAF" w:rsidR="007E2391" w:rsidRDefault="007E2391" w:rsidP="0014212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>f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iscalização do CAU/RS Oritz Campos</w:t>
            </w:r>
            <w:r w:rsidR="005F1CC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questionou sobre a possibilidade de oferta da plataforma IGEO para Prefeituras e demais órgãos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>, com a disponibilização de dados somente para circunscrição de municípios específicos.</w:t>
            </w:r>
          </w:p>
          <w:p w14:paraId="0AA6AB27" w14:textId="4AC21F34" w:rsidR="0017011E" w:rsidRPr="00E228F0" w:rsidRDefault="005F1CCC" w:rsidP="001743B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oordenador 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IGEO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Renato Vianna esclareceu que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isso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seria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possível, mas que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equipe atual no IGEO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(com apenas 4 colaboradores)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há dificuldade no processamento de dados de outros órgãos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>, atualmente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, conta com o apoio das equipes dos CAU/UF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neste tipo de demanda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 Exemplificou com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caso bem sucedido do CAU/SC junto 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>ao Consórcio de Informática na Gestão Pública Municipal (CIGA) que fornece dados relativos a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os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alvarás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dos municípios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Neste caso, a equipe do CAU/SC faz o tratamento de dados de forma padronizada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>previamente acordada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posteriormente encaminha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ao CAU/BR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, que faz o</w:t>
            </w:r>
            <w:r w:rsidR="0014212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lançamento na plataforma IGEO.</w:t>
            </w:r>
            <w:r w:rsidR="00C9407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coordenador Matozalém Santana questionou qual seria a forma mais adequada para se obter os dados de demais órgãos públicos e indagou a efetividade, para a fiscalização, no cruzamento de dados entre alvarás e RRTs, tendo em vista que seria mais efetivo que o convênio junto a Prefeitura buscasse a exigência do RRT para a emissão do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C9407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alvarás.</w:t>
            </w:r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bookmarkStart w:id="0" w:name="_Hlk80365991"/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gerente de fiscalização do CAU/RS Andréa Pinheiro </w:t>
            </w:r>
            <w:bookmarkEnd w:id="0"/>
            <w:r w:rsidR="0021059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questionou sobre o formato adequado destes dados e como é feita a atualização da informação. O coordenador do IGEO Renata Viana esclareceu que são dados tabulares com as informações de interesse do CAU e que atualização ocorre de forma manual. </w:t>
            </w:r>
            <w:r w:rsidR="00A2345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de fiscalização do CAU/RS Oritz Campos destacou que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 </w:t>
            </w:r>
            <w:r w:rsidR="00A2345B">
              <w:rPr>
                <w:rFonts w:ascii="Times New Roman" w:eastAsia="Cambria" w:hAnsi="Times New Roman" w:cs="Times New Roman"/>
                <w:b w:val="0"/>
                <w:color w:val="auto"/>
              </w:rPr>
              <w:t>dado relevante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a fiscalização</w:t>
            </w:r>
            <w:r w:rsidR="00A2345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seria os de caçambas de obra e recolhimento de lixo (ocorrências de lixo inadequado). </w:t>
            </w:r>
            <w:r w:rsidR="0017011E">
              <w:rPr>
                <w:rFonts w:ascii="Times New Roman" w:eastAsia="Cambria" w:hAnsi="Times New Roman" w:cs="Times New Roman"/>
                <w:b w:val="0"/>
                <w:color w:val="auto"/>
              </w:rPr>
              <w:t>Destacou que é necessário um estudo mais aprofundado de como e quais dados do IGEO poderão ser disponibilizados e serão uteis às prefeituras. Sugeriu que seja feita uma apresentação sobre a experiência do CAU/SC. A conselheira Giedre Maia relatou que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não</w:t>
            </w:r>
            <w:r w:rsidR="0017011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enxerga viabilidade na utilização desses dados para a fiscalização, devido à falta de equipe nos CAU/UF. Destacou que mais importante que os dados é saber como aplicá-los.  </w:t>
            </w:r>
            <w:r w:rsidR="006B2C3C">
              <w:rPr>
                <w:rFonts w:ascii="Times New Roman" w:eastAsia="Cambria" w:hAnsi="Times New Roman" w:cs="Times New Roman"/>
                <w:b w:val="0"/>
                <w:color w:val="auto"/>
              </w:rPr>
              <w:t>O conselheiro Fabrício Santos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destacou que a iniciativa de buscar parcerias e fornecer dados úteis para as prefeituras deve partir do Conselho. </w:t>
            </w:r>
            <w:r w:rsidR="006B2C3C">
              <w:rPr>
                <w:rFonts w:ascii="Times New Roman" w:eastAsia="Cambria" w:hAnsi="Times New Roman" w:cs="Times New Roman"/>
                <w:b w:val="0"/>
                <w:color w:val="auto"/>
              </w:rPr>
              <w:t>Destacou que a comunicação tem papel importante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nesse conte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x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>to. Exemplificou com situação em Manaus, de parceria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entre o CAU,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Prefeitura e Concessionária de fornecimento de água. A gerente de fiscalização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CAU/RS 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Andréa Pinheiro relatou que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as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informações sobre os contatos dos proprietários das obras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são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na prática, mais importantes para as ações de fiscalização do que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dados de alvarás, por exemplo. Destacou que dados de novas ligações de energia e água podem ser utilizados como indícios de irregularidades, mas ponderou que talvez o CAU não tenha dados de interesse para </w:t>
            </w:r>
            <w:r w:rsidR="0063448D">
              <w:rPr>
                <w:rFonts w:ascii="Times New Roman" w:eastAsia="Cambria" w:hAnsi="Times New Roman" w:cs="Times New Roman"/>
                <w:b w:val="0"/>
                <w:color w:val="auto"/>
              </w:rPr>
              <w:t>as concessionárias</w:t>
            </w:r>
            <w:r w:rsidR="00F3611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água e energia.</w:t>
            </w:r>
            <w:r w:rsidR="00313E76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="00913DCB">
              <w:rPr>
                <w:rFonts w:ascii="Times New Roman" w:eastAsia="Cambria" w:hAnsi="Times New Roman" w:cs="Times New Roman"/>
                <w:b w:val="0"/>
                <w:color w:val="auto"/>
              </w:rPr>
              <w:t>elatou que o CAU/RS utiliza os dashboards do IGEO e que verificou que há diferença entre os dados do IGEO e o SICCAU, sendo necessária a compatibilização dessas informações. A coordenadora da CEP Patrícia Luz questionou sobre os relatórios de monitoramento de RRTs, sendo esclarecido pelo coordenador do IGEO Renato Viana que o sistema já possui alguns relatórios padr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>ões</w:t>
            </w:r>
            <w:r w:rsidR="00913DC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poderiam ser utilizados pela CEP-CAU/BR, para monitoramento. </w:t>
            </w:r>
            <w:r w:rsidR="0072541D">
              <w:rPr>
                <w:rFonts w:ascii="Times New Roman" w:eastAsia="Cambria" w:hAnsi="Times New Roman" w:cs="Times New Roman"/>
                <w:b w:val="0"/>
                <w:color w:val="auto"/>
              </w:rPr>
              <w:t>O coordenador de fiscalização</w:t>
            </w:r>
            <w:r w:rsidR="00681FD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CAU/RS</w:t>
            </w:r>
            <w:r w:rsidR="0072541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Oritz Campos questionou sobre a quantidade de CAU/UFs que estão utilizando a ferramenta do </w:t>
            </w:r>
            <w:r w:rsidR="0072541D" w:rsidRPr="0072541D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</w:rPr>
              <w:t>App Colector</w:t>
            </w:r>
            <w:r w:rsidR="0072541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foi informado que atualmente 6 estados estão utilizando.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Ao fim da apresentação, 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>coordenador Matozalém Santana reforç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>ou a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importância da utilização 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>de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ferramentas tecnológica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modernização d</w:t>
            </w:r>
            <w:r w:rsidR="001743B1">
              <w:rPr>
                <w:rFonts w:ascii="Times New Roman" w:eastAsia="Cambria" w:hAnsi="Times New Roman" w:cs="Times New Roman"/>
                <w:b w:val="0"/>
                <w:color w:val="auto"/>
              </w:rPr>
              <w:t>as ações de fiscalização</w:t>
            </w:r>
            <w:r w:rsidR="0071568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sendo necessária sua correta implantação e divulgação para que os CAU/UF possam aderir com segurança a sua utilização. </w:t>
            </w:r>
          </w:p>
        </w:tc>
      </w:tr>
    </w:tbl>
    <w:p w14:paraId="2FEFC9FE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2E46D39" w14:textId="77777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BE2EBF" w14:textId="3411038A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7E2391">
        <w:rPr>
          <w:rFonts w:ascii="Times New Roman" w:eastAsia="Times New Roman" w:hAnsi="Times New Roman" w:cs="Times New Roman"/>
          <w:b w:val="0"/>
          <w:color w:val="auto"/>
          <w:lang w:eastAsia="pt-BR"/>
        </w:rPr>
        <w:t>23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E2391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597B" wp14:editId="14819FA0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2668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OKP&#10;HAveAAAACQEAAA8AAAAAAAAAAAAAAAAA2wQAAGRycy9kb3ducmV2LnhtbFBLBQYAAAAABAAEAPMA&#10;AADmBQAAAAA=&#10;" filled="f" strokecolor="#f2f2f2" strokeweight="1pt"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760B45D4" w14:textId="1906225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579FE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9D773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EF28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94F328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518A0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282DF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578424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192BC8A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557B67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0FF3C16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AB7D5D6" w14:textId="77777777" w:rsidR="006F7799" w:rsidRPr="007C709C" w:rsidRDefault="006F7799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0123A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C1C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9549C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CFDD8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97283B8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34177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75002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994B74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948257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FD1233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99BCE6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7F08CE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25A99D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8CBB23B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4EBAAD3" w14:textId="60051926" w:rsidR="0019143E" w:rsidRDefault="0019143E" w:rsidP="000F2CF6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BA5F409" w14:textId="0E4E7B86" w:rsidR="00984700" w:rsidRPr="007C709C" w:rsidRDefault="00284434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8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8D60D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8D60DD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8D60DD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984700" w:rsidRPr="007C709C" w14:paraId="5C1C140C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4561AEBE" w:rsidR="00984700" w:rsidRPr="007C709C" w:rsidRDefault="000F2CF6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8D60D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06788175" w:rsidR="00984700" w:rsidRPr="007C709C" w:rsidRDefault="000F2CF6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8D60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3E7F1333" w:rsidR="00E228F0" w:rsidRPr="007C709C" w:rsidRDefault="000F2CF6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2E209B6F" w:rsidR="00AF42A7" w:rsidRPr="00F45515" w:rsidRDefault="00636FEC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6F2F3AE5" w:rsidR="00AF42A7" w:rsidRPr="00E228F0" w:rsidRDefault="00636FEC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636FEC">
              <w:rPr>
                <w:rFonts w:ascii="Times New Roman" w:eastAsia="Cambria" w:hAnsi="Times New Roman" w:cs="Times New Roman"/>
                <w:b w:val="0"/>
                <w:color w:val="000000"/>
              </w:rPr>
              <w:t>Patrícia Silva Luz de Macedo (RN)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0A196F54" w:rsidR="00AF42A7" w:rsidRPr="007C709C" w:rsidRDefault="000F2CF6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2D3D4BE3" w14:textId="77777777" w:rsidTr="008D60DD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384C2328" w:rsidR="00AF42A7" w:rsidRPr="007C709C" w:rsidRDefault="000F2CF6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8D60D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8D60DD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48606571" w:rsidR="00E228F0" w:rsidRPr="007C709C" w:rsidRDefault="00284434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5E74A8DA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F2CF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23/8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37C90A55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284434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B7EE3C" w14:textId="77777777" w:rsidR="00190A2F" w:rsidRPr="007C709C" w:rsidRDefault="00190A2F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2B98880A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F2CF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F2CF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F2CF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F2CF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F2CF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0E143F7B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0BB3B2A2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C157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Daniela Demartini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01B16561" w:rsidR="003E0BDB" w:rsidRPr="00984700" w:rsidRDefault="003F0F68" w:rsidP="003F0F68">
      <w:pPr>
        <w:tabs>
          <w:tab w:val="left" w:pos="7499"/>
        </w:tabs>
      </w:pPr>
      <w:r>
        <w:tab/>
      </w:r>
    </w:p>
    <w:sectPr w:rsidR="003E0BDB" w:rsidRPr="00984700" w:rsidSect="003F0F68">
      <w:headerReference w:type="default" r:id="rId8"/>
      <w:footerReference w:type="default" r:id="rId9"/>
      <w:pgSz w:w="11906" w:h="16838"/>
      <w:pgMar w:top="1843" w:right="1274" w:bottom="1417" w:left="1134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31" name="Imagem 31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4D9"/>
    <w:multiLevelType w:val="hybridMultilevel"/>
    <w:tmpl w:val="60A4F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76EFF"/>
    <w:rsid w:val="00081E96"/>
    <w:rsid w:val="00092EB7"/>
    <w:rsid w:val="000A6545"/>
    <w:rsid w:val="000C157B"/>
    <w:rsid w:val="000F2CF6"/>
    <w:rsid w:val="00142127"/>
    <w:rsid w:val="001614D3"/>
    <w:rsid w:val="0017011E"/>
    <w:rsid w:val="001743B1"/>
    <w:rsid w:val="00190A2F"/>
    <w:rsid w:val="0019143E"/>
    <w:rsid w:val="00193E0F"/>
    <w:rsid w:val="001A22EA"/>
    <w:rsid w:val="001C6FD8"/>
    <w:rsid w:val="001D2471"/>
    <w:rsid w:val="00210594"/>
    <w:rsid w:val="002167F9"/>
    <w:rsid w:val="00284434"/>
    <w:rsid w:val="002E745D"/>
    <w:rsid w:val="00313E76"/>
    <w:rsid w:val="003F0F68"/>
    <w:rsid w:val="004166E6"/>
    <w:rsid w:val="00433063"/>
    <w:rsid w:val="004C3607"/>
    <w:rsid w:val="004D3B48"/>
    <w:rsid w:val="005F1CCC"/>
    <w:rsid w:val="00622B3C"/>
    <w:rsid w:val="0063448D"/>
    <w:rsid w:val="00636FEC"/>
    <w:rsid w:val="00681FDE"/>
    <w:rsid w:val="006B2C3C"/>
    <w:rsid w:val="006F7799"/>
    <w:rsid w:val="00715687"/>
    <w:rsid w:val="0072541D"/>
    <w:rsid w:val="00742F89"/>
    <w:rsid w:val="00764AEE"/>
    <w:rsid w:val="00783D72"/>
    <w:rsid w:val="007E2391"/>
    <w:rsid w:val="00890937"/>
    <w:rsid w:val="00913DCB"/>
    <w:rsid w:val="00984700"/>
    <w:rsid w:val="009A074F"/>
    <w:rsid w:val="009A7A63"/>
    <w:rsid w:val="009C6BDC"/>
    <w:rsid w:val="009F30E1"/>
    <w:rsid w:val="00A2345B"/>
    <w:rsid w:val="00A343CA"/>
    <w:rsid w:val="00A409A5"/>
    <w:rsid w:val="00A94A59"/>
    <w:rsid w:val="00AC572B"/>
    <w:rsid w:val="00AF42A7"/>
    <w:rsid w:val="00B96106"/>
    <w:rsid w:val="00B97499"/>
    <w:rsid w:val="00BC1B3A"/>
    <w:rsid w:val="00BF0FCD"/>
    <w:rsid w:val="00C00FD5"/>
    <w:rsid w:val="00C13E75"/>
    <w:rsid w:val="00C25F47"/>
    <w:rsid w:val="00C41155"/>
    <w:rsid w:val="00C94072"/>
    <w:rsid w:val="00D27AEB"/>
    <w:rsid w:val="00D67E45"/>
    <w:rsid w:val="00DB2DA6"/>
    <w:rsid w:val="00DD741E"/>
    <w:rsid w:val="00DF1FB9"/>
    <w:rsid w:val="00E228F0"/>
    <w:rsid w:val="00E47CD1"/>
    <w:rsid w:val="00E625E1"/>
    <w:rsid w:val="00EB1374"/>
    <w:rsid w:val="00ED7498"/>
    <w:rsid w:val="00F25B3A"/>
    <w:rsid w:val="00F32C3A"/>
    <w:rsid w:val="00F36115"/>
    <w:rsid w:val="00F45515"/>
    <w:rsid w:val="00F46B99"/>
    <w:rsid w:val="00F74821"/>
    <w:rsid w:val="00FE34D1"/>
    <w:rsid w:val="00FF0E6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4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6017-E0DE-4C0E-83E3-25FC48D0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1145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21</cp:revision>
  <cp:lastPrinted>2021-08-23T18:53:00Z</cp:lastPrinted>
  <dcterms:created xsi:type="dcterms:W3CDTF">2021-08-20T14:38:00Z</dcterms:created>
  <dcterms:modified xsi:type="dcterms:W3CDTF">2021-08-23T19:31:00Z</dcterms:modified>
</cp:coreProperties>
</file>