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71550E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77400DC8" w:rsidR="00984700" w:rsidRPr="00774C04" w:rsidRDefault="00931424" w:rsidP="00931424">
            <w:pPr>
              <w:keepNext/>
              <w:numPr>
                <w:ilvl w:val="1"/>
                <w:numId w:val="0"/>
              </w:numPr>
              <w:spacing w:before="60" w:after="60" w:line="240" w:lineRule="auto"/>
              <w:jc w:val="center"/>
              <w:outlineLvl w:val="0"/>
              <w:rPr>
                <w:rFonts w:eastAsia="Cambria" w:cs="Times New Roman"/>
                <w:color w:val="auto"/>
              </w:rPr>
            </w:pPr>
            <w:r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 1</w:t>
            </w:r>
            <w:r>
              <w:rPr>
                <w:rFonts w:ascii="Times New Roman" w:eastAsia="Times New Roman" w:hAnsi="Times New Roman"/>
                <w:b w:val="0"/>
                <w:smallCaps/>
                <w:kern w:val="32"/>
              </w:rPr>
              <w:t>5</w:t>
            </w:r>
            <w:r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71550E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71550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02585C5B" w:rsidR="00984700" w:rsidRPr="00A96559" w:rsidRDefault="00F32129" w:rsidP="00663E5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663E5B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E47CD1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 w:rsidR="007B08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fevereiro </w:t>
            </w:r>
            <w:r w:rsidR="00C13E75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</w:t>
            </w:r>
            <w:r w:rsidR="00F24290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71550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0F58CFCD" w:rsidR="00984700" w:rsidRPr="00190A2F" w:rsidRDefault="00663E5B" w:rsidP="00663E5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15</w:t>
            </w:r>
            <w:r w:rsidR="00984700" w:rsidRPr="006D1DA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h às </w:t>
            </w:r>
            <w:r w:rsidR="00622B3C" w:rsidRPr="006D1DA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8</w:t>
            </w:r>
            <w:r w:rsidR="00B97499" w:rsidRPr="006D1DA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71550E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71550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5804F3D7" w:rsidR="00984700" w:rsidRPr="00A96559" w:rsidRDefault="007B0885" w:rsidP="007B0885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71550E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D47799" w14:textId="4F68B851" w:rsidR="00E228F0" w:rsidRPr="00A96559" w:rsidRDefault="004C3607" w:rsidP="0071550E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7155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7155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7ADD9DE4" w14:textId="77777777" w:rsidTr="0071550E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71550E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7155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7155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71550E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71550E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71550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5A330D" w:rsidRPr="00A96559" w14:paraId="78A5A1EE" w14:textId="77777777" w:rsidTr="0071550E">
        <w:trPr>
          <w:trHeight w:hRule="exact" w:val="284"/>
        </w:trPr>
        <w:tc>
          <w:tcPr>
            <w:tcW w:w="19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FB4121B" w14:textId="22D8C235" w:rsidR="005A330D" w:rsidRDefault="005A330D" w:rsidP="005A330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</w:t>
            </w:r>
          </w:p>
          <w:p w14:paraId="5C6F3797" w14:textId="74403EBF" w:rsidR="005A330D" w:rsidRPr="00A96559" w:rsidRDefault="005A330D" w:rsidP="005A330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00781C" w14:textId="77777777" w:rsidR="005A330D" w:rsidRPr="00250231" w:rsidRDefault="005A330D" w:rsidP="005A33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50231"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31B47DB7" w14:textId="77777777" w:rsidR="005A330D" w:rsidRPr="00663E5B" w:rsidRDefault="005A330D" w:rsidP="005A33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highlight w:val="yellow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47917F" w14:textId="0F0CB9BE" w:rsidR="005A330D" w:rsidRPr="00663E5B" w:rsidRDefault="005A330D" w:rsidP="005A330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250231">
              <w:rPr>
                <w:rFonts w:ascii="Times New Roman" w:eastAsia="Calibri" w:hAnsi="Times New Roman" w:cs="Times New Roman"/>
                <w:b w:val="0"/>
                <w:color w:val="auto"/>
              </w:rPr>
              <w:t>Assessoria Jurídica-CAU/BR</w:t>
            </w:r>
          </w:p>
        </w:tc>
      </w:tr>
      <w:tr w:rsidR="00F46B99" w:rsidRPr="00A96559" w14:paraId="7BA22912" w14:textId="77777777" w:rsidTr="0071550E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B14ED16" w14:textId="77777777" w:rsidR="00F46B99" w:rsidRPr="00A96559" w:rsidRDefault="00F46B99" w:rsidP="00F46B9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7CF0B" w14:textId="77777777" w:rsidR="00F46B99" w:rsidRPr="001A22EA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F46B99" w:rsidRPr="00667181" w:rsidRDefault="00F46B99" w:rsidP="00F46B9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667181" w14:paraId="5E92D6FA" w14:textId="77777777" w:rsidTr="0071550E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67C239" w14:textId="61E40430" w:rsidR="00984700" w:rsidRPr="00667181" w:rsidRDefault="00984700" w:rsidP="007B088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</w:t>
            </w:r>
            <w:r w:rsidRPr="00C36E93">
              <w:rPr>
                <w:rFonts w:ascii="Times New Roman" w:eastAsia="Cambria" w:hAnsi="Times New Roman" w:cs="Times New Roman"/>
                <w:color w:val="auto"/>
              </w:rPr>
              <w:t xml:space="preserve">Súmula da </w:t>
            </w:r>
            <w:r w:rsidR="00D73F4C" w:rsidRPr="00C36E93">
              <w:rPr>
                <w:rFonts w:ascii="Times New Roman" w:eastAsia="Cambria" w:hAnsi="Times New Roman" w:cs="Times New Roman"/>
                <w:color w:val="auto"/>
              </w:rPr>
              <w:t>1</w:t>
            </w:r>
            <w:r w:rsidR="007B0885" w:rsidRPr="00C36E93">
              <w:rPr>
                <w:rFonts w:ascii="Times New Roman" w:eastAsia="Cambria" w:hAnsi="Times New Roman" w:cs="Times New Roman"/>
                <w:color w:val="auto"/>
              </w:rPr>
              <w:t>1</w:t>
            </w:r>
            <w:r w:rsidRPr="00C36E93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="007B0885" w:rsidRPr="00C36E93">
              <w:rPr>
                <w:rFonts w:ascii="Times New Roman" w:eastAsia="Cambria" w:hAnsi="Times New Roman" w:cs="Times New Roman"/>
                <w:color w:val="auto"/>
              </w:rPr>
              <w:t>,12ª,13ª e 14ª</w:t>
            </w:r>
            <w:r w:rsidRPr="00C36E93">
              <w:rPr>
                <w:rFonts w:ascii="Times New Roman" w:eastAsia="Cambria" w:hAnsi="Times New Roman" w:cs="Times New Roman"/>
                <w:color w:val="auto"/>
              </w:rPr>
              <w:t xml:space="preserve"> Reunião Ordinária</w:t>
            </w:r>
            <w:r w:rsidR="00081E96">
              <w:rPr>
                <w:rFonts w:ascii="Times New Roman" w:eastAsia="Cambria" w:hAnsi="Times New Roman" w:cs="Times New Roman"/>
                <w:color w:val="auto"/>
              </w:rPr>
              <w:t xml:space="preserve"> da CTF-CAU/BR</w:t>
            </w:r>
          </w:p>
        </w:tc>
      </w:tr>
      <w:tr w:rsidR="00984700" w:rsidRPr="00A96559" w14:paraId="1D314FDC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E1F98" w14:textId="77777777" w:rsidR="00984700" w:rsidRPr="00A96559" w:rsidRDefault="00984700" w:rsidP="007155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1EDDD7" w14:textId="5D3A40E0" w:rsidR="00984700" w:rsidRPr="00A96559" w:rsidRDefault="00C36E93" w:rsidP="007155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Item não apreciado, será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repautado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07D15ABB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A96559" w14:paraId="5C88B451" w14:textId="77777777" w:rsidTr="0071550E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926711" w14:textId="77777777" w:rsidR="00984700" w:rsidRPr="00A96559" w:rsidRDefault="00984700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984700" w:rsidRPr="00A96559" w14:paraId="0F447306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7A69A9" w14:textId="77777777" w:rsidR="00984700" w:rsidRPr="00A96559" w:rsidRDefault="00984700" w:rsidP="007155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3430E5" w14:textId="2FAEBA9F" w:rsidR="00984700" w:rsidRPr="00667181" w:rsidRDefault="0089117D" w:rsidP="007155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 Matozalém Santana</w:t>
            </w:r>
          </w:p>
        </w:tc>
      </w:tr>
      <w:tr w:rsidR="00984700" w:rsidRPr="00A96559" w14:paraId="020B367C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FD58A3" w14:textId="77777777" w:rsidR="00984700" w:rsidRPr="00A96559" w:rsidRDefault="00984700" w:rsidP="00505E78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53E4C8A" w14:textId="64C50B05" w:rsidR="0089117D" w:rsidRPr="00667181" w:rsidRDefault="0089117D" w:rsidP="001645C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coordenador Matozalém Santana informou que foi procurado por alguns Presidentes de CAU/UF que gostariam de introduzir novos dispositivos na Resolução CAU/BR nº 198.</w:t>
            </w:r>
            <w:r w:rsidR="002A6F7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Destacou que a Resolução está demorando tanto para entrar em vigor que já estão sendo </w:t>
            </w:r>
            <w:r w:rsidR="002A6F7A">
              <w:rPr>
                <w:rFonts w:ascii="Times New Roman" w:eastAsia="Cambria" w:hAnsi="Times New Roman" w:cs="Times New Roman"/>
                <w:b w:val="0"/>
                <w:color w:val="auto"/>
              </w:rPr>
              <w:t>identificados pontos a serem atualizados e questionou o assessor jurídico Eduardo Paes quanto ao encaminhamento correto</w:t>
            </w:r>
            <w:r w:rsidR="008C15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no caso de uma eventual necessidade de revisão da Resolução nº</w:t>
            </w:r>
            <w:r w:rsidR="001645C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8C15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198. O assessor jurídico do Eduardo Paes esclareceu que no caso de eventuais omissões ou contradições em um ato normativo, a atividade interpretativa não depende da edição de um novo ato de mesma hierarquia, no caso, uma resolução. Isso poderá ser feito por </w:t>
            </w:r>
            <w:r w:rsidR="008474F6">
              <w:rPr>
                <w:rFonts w:ascii="Times New Roman" w:eastAsia="Cambria" w:hAnsi="Times New Roman" w:cs="Times New Roman"/>
                <w:b w:val="0"/>
                <w:color w:val="auto"/>
              </w:rPr>
              <w:t>um ato do P</w:t>
            </w:r>
            <w:r w:rsidR="008C156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lenário, do tipo deliberação plenária. Já no caso de novos pleitos não abordados na resolução, como os trazidos pelos Presidentes dos CAU/UF, seria </w:t>
            </w:r>
            <w:r w:rsidR="008474F6">
              <w:rPr>
                <w:rFonts w:ascii="Times New Roman" w:eastAsia="Cambria" w:hAnsi="Times New Roman" w:cs="Times New Roman"/>
                <w:b w:val="0"/>
                <w:color w:val="auto"/>
              </w:rPr>
              <w:t>necessária sua revisão por meio de uma nova resolução</w:t>
            </w:r>
            <w:r w:rsidR="008C1562">
              <w:rPr>
                <w:rFonts w:ascii="Times New Roman" w:eastAsia="Cambria" w:hAnsi="Times New Roman" w:cs="Times New Roman"/>
                <w:b w:val="0"/>
                <w:color w:val="auto"/>
              </w:rPr>
              <w:t>, seguindo os trâmites já previstos. Destacou que a Resolução nº 198, mesmo sem estar em vigor, pode ser alterada.</w:t>
            </w:r>
            <w:r w:rsidR="00505E7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 coordenador Matozalém Santana esclareceu que um dos pleitos trazidos pelos Presidentes foi a necessidade de r</w:t>
            </w:r>
            <w:r w:rsidR="00505E78">
              <w:rPr>
                <w:rFonts w:ascii="Times New Roman" w:eastAsia="Calibri" w:hAnsi="Times New Roman" w:cs="Times New Roman"/>
                <w:b w:val="0"/>
                <w:color w:val="auto"/>
              </w:rPr>
              <w:t>etratação pública no caso de infrações de exercício ilegal em canais digitais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, na mesma rede na qual foi cometida </w:t>
            </w:r>
            <w:r w:rsidR="00505E78">
              <w:rPr>
                <w:rFonts w:ascii="Times New Roman" w:eastAsia="Calibri" w:hAnsi="Times New Roman" w:cs="Times New Roman"/>
                <w:b w:val="0"/>
                <w:color w:val="auto"/>
              </w:rPr>
              <w:t>a infração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. </w:t>
            </w:r>
            <w:r w:rsidR="00505E78">
              <w:rPr>
                <w:rFonts w:ascii="Times New Roman" w:eastAsia="Calibri" w:hAnsi="Times New Roman" w:cs="Times New Roman"/>
                <w:b w:val="0"/>
                <w:color w:val="auto"/>
              </w:rPr>
              <w:t>O assessor jurídico Eduardo Paes esclareceu que o exercício ilegal é uma infraç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>ão complexa e</w:t>
            </w:r>
            <w:r w:rsidR="00505E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que deve 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ser destrinchada. Primeiro ponto é que pode ser cometida por pessoas físicas (leigas ou habitadas) ou jurídicas. E o segundo ponto é que a ilegalidade pode </w:t>
            </w:r>
            <w:r w:rsidR="001645C2">
              <w:rPr>
                <w:rFonts w:ascii="Times New Roman" w:eastAsia="Calibri" w:hAnsi="Times New Roman" w:cs="Times New Roman"/>
                <w:b w:val="0"/>
                <w:color w:val="auto"/>
              </w:rPr>
              <w:t>estar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1645C2">
              <w:rPr>
                <w:rFonts w:ascii="Times New Roman" w:eastAsia="Calibri" w:hAnsi="Times New Roman" w:cs="Times New Roman"/>
                <w:b w:val="0"/>
                <w:color w:val="auto"/>
              </w:rPr>
              <w:t>n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o exercício efetivo da atividade de arquitetura e urbanismo, como também </w:t>
            </w:r>
            <w:r w:rsidR="001645C2">
              <w:rPr>
                <w:rFonts w:ascii="Times New Roman" w:eastAsia="Calibri" w:hAnsi="Times New Roman" w:cs="Times New Roman"/>
                <w:b w:val="0"/>
                <w:color w:val="auto"/>
              </w:rPr>
              <w:t>n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 </w:t>
            </w:r>
            <w:r w:rsidR="00505E78">
              <w:rPr>
                <w:rFonts w:ascii="Times New Roman" w:eastAsia="Calibri" w:hAnsi="Times New Roman" w:cs="Times New Roman"/>
                <w:b w:val="0"/>
                <w:color w:val="auto"/>
              </w:rPr>
              <w:t>apresenta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>ção</w:t>
            </w:r>
            <w:r w:rsidR="003E749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como prestador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desse tipo de serviço. Esclarece</w:t>
            </w:r>
            <w:r w:rsidR="008474F6">
              <w:rPr>
                <w:rFonts w:ascii="Times New Roman" w:eastAsia="Calibri" w:hAnsi="Times New Roman" w:cs="Times New Roman"/>
                <w:b w:val="0"/>
                <w:color w:val="auto"/>
              </w:rPr>
              <w:t>u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que</w:t>
            </w:r>
            <w:r w:rsidR="008474F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a resolução não dispõe sobre as infrações não regularizáveis e que 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>a ú</w:t>
            </w:r>
            <w:r w:rsidR="00505E78">
              <w:rPr>
                <w:rFonts w:ascii="Times New Roman" w:eastAsia="Calibri" w:hAnsi="Times New Roman" w:cs="Times New Roman"/>
                <w:b w:val="0"/>
                <w:color w:val="auto"/>
              </w:rPr>
              <w:t>nica hipótese que não é</w:t>
            </w:r>
            <w:r w:rsidR="008474F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passível de</w:t>
            </w:r>
            <w:r w:rsidR="00505E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regulariz</w:t>
            </w:r>
            <w:r w:rsidR="008474F6">
              <w:rPr>
                <w:rFonts w:ascii="Times New Roman" w:eastAsia="Calibri" w:hAnsi="Times New Roman" w:cs="Times New Roman"/>
                <w:b w:val="0"/>
                <w:color w:val="auto"/>
              </w:rPr>
              <w:t>ação seria a</w:t>
            </w:r>
            <w:r w:rsidR="00505E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do leigo que efetivamente exerce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a atividade</w:t>
            </w:r>
            <w:r w:rsidR="008474F6">
              <w:rPr>
                <w:rFonts w:ascii="Times New Roman" w:eastAsia="Calibri" w:hAnsi="Times New Roman" w:cs="Times New Roman"/>
                <w:b w:val="0"/>
                <w:color w:val="auto"/>
              </w:rPr>
              <w:t>, pois não seria possível a habilitação em tempo hábil.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Destacou que o Plenário do CAU/BR já construiu o entendimento que é possível a regularização no caso das pessoas que se apresentam como prestadoras de serviço de </w:t>
            </w:r>
            <w:r w:rsidR="003E7499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>rquitetur</w:t>
            </w:r>
            <w:r w:rsidR="008474F6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  <w:r w:rsidR="003E749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 Urbanismo 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e que </w:t>
            </w:r>
            <w:r w:rsidR="008474F6">
              <w:rPr>
                <w:rFonts w:ascii="Times New Roman" w:eastAsia="Calibri" w:hAnsi="Times New Roman" w:cs="Times New Roman"/>
                <w:b w:val="0"/>
                <w:color w:val="auto"/>
              </w:rPr>
              <w:t>é necessário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calibrar o entendimento quanto a esta infração. </w:t>
            </w:r>
            <w:r w:rsidR="008474F6">
              <w:rPr>
                <w:rFonts w:ascii="Times New Roman" w:eastAsia="Calibri" w:hAnsi="Times New Roman" w:cs="Times New Roman"/>
                <w:b w:val="0"/>
                <w:color w:val="auto"/>
              </w:rPr>
              <w:t>Esclareceu</w:t>
            </w:r>
            <w:r w:rsidR="00A35C7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que o CAU/BR poderá regulamentar sobre a necessidade de regularização conjuntamente a uma retratação p</w:t>
            </w:r>
            <w:r w:rsidR="008474F6">
              <w:rPr>
                <w:rFonts w:ascii="Times New Roman" w:eastAsia="Calibri" w:hAnsi="Times New Roman" w:cs="Times New Roman"/>
                <w:b w:val="0"/>
                <w:color w:val="auto"/>
              </w:rPr>
              <w:t>ública, se achar conveniente. O coordenador Matozalém Santana concluiu que não será necessária a revisão da Resolução CAU/BR nº 198 e que tratará desses esclarecimentos com os Presidentes dos CAU/UF.</w:t>
            </w:r>
          </w:p>
        </w:tc>
      </w:tr>
    </w:tbl>
    <w:p w14:paraId="0335D930" w14:textId="3F5C8BBC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934E58">
      <w:pPr>
        <w:shd w:val="clear" w:color="auto" w:fill="D9D9D9"/>
        <w:spacing w:after="0" w:line="240" w:lineRule="auto"/>
        <w:ind w:right="-708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5260A0" w:rsidRPr="00667181" w14:paraId="41287719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C0EC08" w14:textId="77777777" w:rsidR="005260A0" w:rsidRDefault="005260A0" w:rsidP="005260A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Cambria" w:hAnsi="Times New Roman" w:cs="Times New Roman"/>
                <w:color w:val="auto"/>
              </w:rPr>
              <w:t>Resposta às consultas do Grupo de Trabalho da Res.198:</w:t>
            </w:r>
            <w:r>
              <w:t xml:space="preserve"> </w:t>
            </w:r>
          </w:p>
          <w:p w14:paraId="4D2BC719" w14:textId="77777777" w:rsidR="005260A0" w:rsidRPr="000555F0" w:rsidRDefault="005260A0" w:rsidP="00526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555F0">
              <w:rPr>
                <w:rFonts w:ascii="Times New Roman" w:eastAsia="Cambria" w:hAnsi="Times New Roman" w:cs="Times New Roman"/>
                <w:b w:val="0"/>
                <w:color w:val="auto"/>
              </w:rPr>
              <w:t>Protocolo 1439164 - Memorando nº 004/2021 do GT da Res. 198</w:t>
            </w:r>
          </w:p>
          <w:p w14:paraId="2E8BB842" w14:textId="2381DBE8" w:rsidR="005260A0" w:rsidRPr="00667181" w:rsidRDefault="005260A0" w:rsidP="00526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555F0">
              <w:rPr>
                <w:rFonts w:ascii="Times New Roman" w:eastAsia="Cambria" w:hAnsi="Times New Roman" w:cs="Times New Roman"/>
                <w:b w:val="0"/>
                <w:color w:val="auto"/>
              </w:rPr>
              <w:t>Protocolo 1456418 - Memorando nº 005/2021 do GT da Res. 198</w:t>
            </w:r>
          </w:p>
        </w:tc>
      </w:tr>
      <w:tr w:rsidR="005260A0" w:rsidRPr="00A96559" w14:paraId="0E7EF9FC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2DBB7ADF" w:rsidR="005260A0" w:rsidRPr="00D73F4C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GT Res. 198</w:t>
            </w:r>
          </w:p>
        </w:tc>
      </w:tr>
      <w:tr w:rsidR="005260A0" w:rsidRPr="00A96559" w14:paraId="177EF69C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2E5951E3" w:rsidR="005260A0" w:rsidRPr="00D73F4C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CTF, CEP, Assessoria Jurídica </w:t>
            </w:r>
          </w:p>
        </w:tc>
      </w:tr>
      <w:tr w:rsidR="00984700" w:rsidRPr="00A96559" w14:paraId="3700ACBE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7155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EEDB5B7" w14:textId="58CF3D1C" w:rsidR="00984700" w:rsidRPr="0089117D" w:rsidRDefault="0071550E" w:rsidP="0071550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71550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coordenadora de fiscalização do CAU/RS Andréa Borba reforçou que o G</w:t>
            </w:r>
            <w:r w:rsidR="001645C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rupo de Trabalho</w:t>
            </w:r>
            <w:r w:rsidRPr="0071550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encaminhou memorando à Presidência do CAU/BR solicitando brevidade no encaminhamento da resposta, pois o a continuidade dos trabalhos da implantação da Resolução está pendente deste encaminhamento.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89117D" w:rsidRPr="0071550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Foi realizada a leitura da minuta de memorando com respostas aos questionamentos enviados pelo o Grupo de Trabalho para o estudo sobre os impactos e implantações da Resolução n° 198, de 2020. A comissão apreciou o restante das dúvidas e definiu:</w:t>
            </w:r>
          </w:p>
          <w:p w14:paraId="47648421" w14:textId="41BD0258" w:rsidR="0089117D" w:rsidRDefault="0089117D" w:rsidP="0071550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</w:pPr>
            <w:r w:rsidRP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 xml:space="preserve">Em relação a dúvida </w:t>
            </w:r>
            <w:r w:rsidR="0071550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>04</w:t>
            </w:r>
          </w:p>
          <w:p w14:paraId="7E6A20FA" w14:textId="2FDE65BE" w:rsidR="0071550E" w:rsidRDefault="0071550E" w:rsidP="0071550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71550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Será esclarecido que os processos capitulados com base nos incisos I e II do art. 39 ‘exercício ilegal da profissão’ deverão ser encaminhados à autoridade policial ou Ministério Público com base no art. 47 da Lei de Contravenções Penais. Já os processos capitulado</w:t>
            </w:r>
            <w:r w:rsidR="00CF31C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s com base no inciso V, art. 39, </w:t>
            </w:r>
            <w:r w:rsidRPr="0071550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“ausência de responsável técnico para a atividade’ deverão ser encaminhados ao Ministério Público, quando o notificado ou autuado se tratar de pessoa física cuja família se configure como de baixa renda, para o cumprimento da Lei nº 11.888, de 24 de dezembro de 2008, não sendo aplicada a penalidade de multa ao autuado.</w:t>
            </w:r>
          </w:p>
          <w:p w14:paraId="69CA9925" w14:textId="0B514413" w:rsidR="00CF31CC" w:rsidRDefault="00CF31CC" w:rsidP="0071550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</w:pPr>
            <w:r w:rsidRPr="00CF31C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>Em relação a dúvida 05</w:t>
            </w:r>
          </w:p>
          <w:p w14:paraId="5DAD75A2" w14:textId="13B02456" w:rsidR="00CF31CC" w:rsidRDefault="00CF31CC" w:rsidP="00CF31C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CF31C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assessor jurídico Eduardo Paes esclareceu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que </w:t>
            </w:r>
            <w:r w:rsid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processo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é um conjunto de atos</w:t>
            </w:r>
            <w:r w:rsidR="00A37DD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 que a nova norma atinge apenas os atos realizados após o início da sua vigência, não tendo efeito sobre atos já praticados</w:t>
            </w:r>
            <w:r w:rsid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anteriormente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. </w:t>
            </w:r>
            <w:r w:rsidR="00A37DD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s atos </w:t>
            </w:r>
            <w:r w:rsidRPr="00CF31C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praticados antes do início da vigência da Resolução CAU/BR nº 198 devem seguir a Resolução CAU/BR nº 22.</w:t>
            </w:r>
            <w:r w:rsidR="00A37DD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Já os atos praticados após a vigência da Resolução CAU/BR nº 198 deverão ser regidos por ela a partir do início de sua vigência.</w:t>
            </w:r>
            <w:r w:rsidRPr="00CF31C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Sendo assim, será necessária uma análise dos impactos da implantação da Resolução CAU/BR nº 198 em cada uma das fases do processo</w:t>
            </w:r>
            <w:r w:rsidR="001645C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</w:t>
            </w:r>
            <w:r w:rsid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 partir da data do início de sua vigência. O</w:t>
            </w:r>
            <w:r w:rsidRPr="00CF31C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sistema deverá permitir a transição </w:t>
            </w:r>
            <w:r w:rsid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da</w:t>
            </w:r>
            <w:r w:rsidRPr="00CF31C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tramitação</w:t>
            </w:r>
            <w:r w:rsid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CF31C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entre a Resolução CAU/BR nº 22 e nº 198, pois terão processos em curso que serão regidos pelas duas resoluções, a depender de sua fase processual.</w:t>
            </w:r>
            <w:r w:rsidR="00A37DD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Destacou que os atos já praticados não retroagirão, com exceção </w:t>
            </w:r>
            <w:r w:rsid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dos</w:t>
            </w:r>
            <w:r w:rsidR="00A37DD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casos que a norma for mais benéfica</w:t>
            </w:r>
            <w:r w:rsid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apenas em relação a aplicação das penalidades. C</w:t>
            </w:r>
            <w:r w:rsidR="00A37DD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om isso</w:t>
            </w:r>
            <w:r w:rsidR="001645C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</w:t>
            </w:r>
            <w:r w:rsidR="00A37DD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t</w:t>
            </w:r>
            <w:r w:rsidRP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odos os processos de fiscalização</w:t>
            </w:r>
            <w:r w:rsidR="00A37DD1" w:rsidRP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em curso</w:t>
            </w:r>
            <w:r w:rsidRP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deverão ser analisados para </w:t>
            </w:r>
            <w:r w:rsidR="00A37DD1" w:rsidRP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eventual reajuste dos valores das multas, </w:t>
            </w:r>
            <w:r w:rsid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caso </w:t>
            </w:r>
            <w:r w:rsidR="00A37DD1" w:rsidRP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as novas</w:t>
            </w:r>
            <w:r w:rsidRP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disposições </w:t>
            </w:r>
            <w:r w:rsid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da resolução resultem em valores menores dos já aplicados.</w:t>
            </w:r>
            <w:r w:rsidRP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010131E9" w14:textId="77777777" w:rsidR="00144BD5" w:rsidRPr="00144BD5" w:rsidRDefault="004B0F62" w:rsidP="00144BD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</w:pPr>
            <w:r w:rsidRPr="004B0F6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>Em relação ao questionamento do Mem. nº 005/2022</w:t>
            </w:r>
            <w:r w:rsidR="00144BD5" w:rsidRPr="00144BD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 xml:space="preserve"> </w:t>
            </w:r>
          </w:p>
          <w:p w14:paraId="17B3DB1B" w14:textId="676EAE8A" w:rsidR="0089117D" w:rsidRDefault="00144BD5" w:rsidP="00144BD5">
            <w:p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bCs/>
              </w:rPr>
            </w:pPr>
            <w:r w:rsidRPr="00144BD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Será feito o esclarecimento </w:t>
            </w:r>
            <w:r w:rsidR="001645C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que </w:t>
            </w:r>
            <w:r w:rsidRPr="00144BD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 mesmo Relatório de Fiscalização poderá ensejar a emissão de mais de uma notificação, no entanto, deverá ser emitida uma notificação específica para cada infração constada e para cada pessoa física ou jurídica envolvida.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comissão orientará que o relatório de fiscalização deverá relatar todas as condutas verificadas na mesma situação fática</w:t>
            </w:r>
            <w:r w:rsidR="00022244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 incluindo todas as pessoas envolvidas no mesmo contexto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. </w:t>
            </w:r>
            <w:r w:rsidRPr="00144BD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 sistema </w:t>
            </w:r>
            <w:r w:rsidRPr="00144BD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lastRenderedPageBreak/>
              <w:t>deverá prever a possibilidade de supressão de dados pessoais dos relatórios de fiscalização no momento de sua disponibilização aos demais envolvidos.</w:t>
            </w:r>
            <w:r>
              <w:rPr>
                <w:rFonts w:ascii="Times New Roman" w:eastAsia="Calibri" w:hAnsi="Times New Roman"/>
                <w:b w:val="0"/>
                <w:bCs/>
              </w:rPr>
              <w:t xml:space="preserve"> </w:t>
            </w:r>
          </w:p>
          <w:p w14:paraId="0AA6AB27" w14:textId="6A90679B" w:rsidR="00144BD5" w:rsidRPr="00E228F0" w:rsidRDefault="00144BD5" w:rsidP="00144BD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Calibri" w:hAnsi="Times New Roman"/>
                <w:b w:val="0"/>
                <w:bCs/>
              </w:rPr>
              <w:t>A CTF-CAU/BR encaminhará a sugestão de resposta para análise a aprovação da CEP-CAU/BR e posterior envio ao Grupo de Trabalho.</w:t>
            </w:r>
          </w:p>
        </w:tc>
      </w:tr>
    </w:tbl>
    <w:p w14:paraId="2FEFC9FE" w14:textId="4A3D70FC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5260A0" w:rsidRPr="00A96559" w14:paraId="253F90BD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77777777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93E80" w14:textId="6AA97C4B" w:rsidR="005260A0" w:rsidRPr="00A96559" w:rsidRDefault="005260A0" w:rsidP="005260A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Indicadores e Plano de Fiscalização</w:t>
            </w:r>
          </w:p>
        </w:tc>
      </w:tr>
      <w:tr w:rsidR="005260A0" w:rsidRPr="00A96559" w14:paraId="06DE01CB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6C489899" w:rsidR="005260A0" w:rsidRPr="00D73F4C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5260A0" w:rsidRPr="00A96559" w14:paraId="1C79A3B0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4FC32E1B" w:rsidR="005260A0" w:rsidRPr="00D73F4C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984700" w:rsidRPr="00A96559" w14:paraId="54210C5F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A96559" w:rsidRDefault="00984700" w:rsidP="007155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F86AAC" w14:textId="442DB99E" w:rsidR="00984700" w:rsidRPr="0071550E" w:rsidRDefault="000601DB" w:rsidP="003E749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601D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assessora Laís Maia apresentou o ofício do CAU/MG que encaminha proposta da CEP-CAU/MG que sugere a reformulação do indicador da produtividade da fiscalização, por meio da divisão do número de horas de fiscalização mensal pela quantidade de ações de fiscalização por mês.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Informou que este é um indicador que atualmente não está contemplado na proposta de indicadores da CTF-CAU/BR. A presidente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Edwiges </w:t>
            </w: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Leal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informou que irá conversar com a CEP-CAU/MG para maiores esclarecimentos quanto a proposta encaminhada. </w:t>
            </w:r>
            <w:r w:rsidR="00BB3D5A" w:rsidRPr="000601D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assessora Laís Maia apresentou a planilha de indicadores até o momento, esclarecendo </w:t>
            </w:r>
            <w:r w:rsidR="00486BB9" w:rsidRPr="000601D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diferenciação dos indicadores relacionados ao monitoramento do Plano Nacional daqueles relacionados ao desempenho das equipes de fiscalização.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coordenadora de fiscalização do CAU/RS Andréa Borges demonstrou preocupação em relação aos indicadores que dependem de dados externos ao CAU, como a quantidade de alvarás e ligações de energia. Destacou que os indicadores deverão focar em requisitos qualitativos, e n</w:t>
            </w:r>
            <w:r w:rsidR="007E2FF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ão quantitativos. A comissão decidiu substituir o índice relacionado à frente de atuação “obras” pela razão de números de obras regularizadas pelo número total de obras fiscalizadas com irregularidades. </w:t>
            </w:r>
            <w:r w:rsidR="0071550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Em relação ao índice relacionado à frente “órgão públicos”, a fórmula foi alterada para que o número de órgão públicos com seções de arquitetura seja baseada no número de seções registradas no CAU.</w:t>
            </w:r>
            <w:r w:rsidR="007E2FF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</w:tc>
      </w:tr>
    </w:tbl>
    <w:p w14:paraId="7D3AC1A4" w14:textId="56C8AC2D" w:rsidR="00B53646" w:rsidRPr="00A96559" w:rsidRDefault="00B53646" w:rsidP="00B53646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5260A0" w:rsidRPr="00A96559" w14:paraId="3D34FDA9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223BE91" w14:textId="30EE0D5F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052A29B" w14:textId="7CF5E4E7" w:rsidR="005260A0" w:rsidRPr="00A96559" w:rsidRDefault="005260A0" w:rsidP="005260A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Seminário </w:t>
            </w:r>
          </w:p>
        </w:tc>
      </w:tr>
      <w:tr w:rsidR="005260A0" w:rsidRPr="00A96559" w14:paraId="1E4A6C51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F3FEB5" w14:textId="77777777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F7F3615" w14:textId="4BA3CA22" w:rsidR="005260A0" w:rsidRPr="00D73F4C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5260A0" w:rsidRPr="00A96559" w14:paraId="2F0289EE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2A2B1B" w14:textId="77777777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C46FD1" w14:textId="22268601" w:rsidR="005260A0" w:rsidRPr="00D73F4C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B53646" w:rsidRPr="00A96559" w14:paraId="4B3983A4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72439C" w14:textId="77777777" w:rsidR="00B53646" w:rsidRPr="00A96559" w:rsidRDefault="00B53646" w:rsidP="007155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D986A7A" w14:textId="7C50ACF7" w:rsidR="00BB3D5A" w:rsidRPr="00D73F4C" w:rsidRDefault="007E2FFB" w:rsidP="001645C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0601D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assessora Laís Maia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informou sobre a previsão de um seminário da CTF</w:t>
            </w:r>
            <w:r w:rsidR="0071550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-CAU/BR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nos dias 29 e 30 d</w:t>
            </w:r>
            <w:r w:rsidR="001645C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 março com objetivo de debater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junto aos Presidentes dos CAU/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UF</w:t>
            </w:r>
            <w:r w:rsidR="0071550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</w:t>
            </w:r>
            <w:proofErr w:type="spellEnd"/>
            <w:r w:rsidR="001645C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o Plano Nacional e</w:t>
            </w:r>
            <w:r w:rsidR="001645C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os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Indicadores</w:t>
            </w:r>
            <w:r w:rsidR="001645C2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de fiscalização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  <w:r w:rsidRPr="003E749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 presidente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Edwiges </w:t>
            </w: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Leal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informou que os presidentes de CAU/UF estão solicitando acesso ao material elaborado pela CTF-CAU/BR para</w:t>
            </w:r>
            <w:r w:rsidR="001645C2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conseguirem analisá-lo antes d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 realização do Seminário. Também</w:t>
            </w:r>
            <w:r w:rsidR="0085070D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informou que os presidentes estão discutindo a criação de Fundo de Apoio de Fiscalização e </w:t>
            </w:r>
            <w:r w:rsidR="00BB3D5A">
              <w:rPr>
                <w:rFonts w:ascii="Times New Roman" w:eastAsia="Calibri" w:hAnsi="Times New Roman" w:cs="Times New Roman"/>
                <w:b w:val="0"/>
                <w:color w:val="auto"/>
              </w:rPr>
              <w:t>implantação de acordos e parcerias entre CAU/</w:t>
            </w:r>
            <w:proofErr w:type="spellStart"/>
            <w:r w:rsidR="00BB3D5A">
              <w:rPr>
                <w:rFonts w:ascii="Times New Roman" w:eastAsia="Calibri" w:hAnsi="Times New Roman" w:cs="Times New Roman"/>
                <w:b w:val="0"/>
                <w:color w:val="auto"/>
              </w:rPr>
              <w:t>UFs</w:t>
            </w:r>
            <w:proofErr w:type="spellEnd"/>
            <w:r w:rsidR="00BB3D5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para fiscalização em municípios de fronteira entre Estados.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85070D" w:rsidRPr="001645C2">
              <w:rPr>
                <w:rFonts w:ascii="Times New Roman" w:eastAsia="Calibri" w:hAnsi="Times New Roman" w:cs="Times New Roman"/>
                <w:b w:val="0"/>
                <w:color w:val="auto"/>
              </w:rPr>
              <w:t>A assessora Laís Maia informou que a CEP-CAU/BR também está planejando um seminário sobre fiscalização e que seria importante</w:t>
            </w:r>
            <w:r w:rsidRPr="001645C2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o alinhamento dos temas de cada seminário. </w:t>
            </w:r>
            <w:r w:rsidR="00BB3D5A" w:rsidRPr="001645C2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O coordenador Matozalém Santana esclareceu que o seminário da CTF irá focar </w:t>
            </w:r>
            <w:r w:rsidR="001645C2" w:rsidRPr="001645C2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apenas </w:t>
            </w:r>
            <w:r w:rsidR="00BB3D5A" w:rsidRPr="001645C2">
              <w:rPr>
                <w:rFonts w:ascii="Times New Roman" w:eastAsia="Calibri" w:hAnsi="Times New Roman" w:cs="Times New Roman"/>
                <w:b w:val="0"/>
                <w:color w:val="auto"/>
              </w:rPr>
              <w:t>na discussão do Plano e dos Indicadores e que os demais temas deverão ser tratados pela CEP-CAU/BR.</w:t>
            </w:r>
          </w:p>
        </w:tc>
      </w:tr>
    </w:tbl>
    <w:p w14:paraId="787C02B1" w14:textId="77777777" w:rsidR="00B53646" w:rsidRPr="00A96559" w:rsidRDefault="00B53646" w:rsidP="00B53646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5260A0" w:rsidRPr="00A96559" w14:paraId="706594E5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803184" w14:textId="539D250F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F88079" w14:textId="20293C94" w:rsidR="005260A0" w:rsidRPr="00A96559" w:rsidRDefault="005260A0" w:rsidP="005260A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Solicitação Fórum de Presidentes: apresentação dos trabalhos da CTF-CAU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/</w:t>
            </w:r>
            <w:r>
              <w:rPr>
                <w:rFonts w:ascii="Times New Roman" w:eastAsia="Cambria" w:hAnsi="Times New Roman" w:cs="Times New Roman"/>
                <w:color w:val="auto"/>
              </w:rPr>
              <w:t>BR</w:t>
            </w:r>
          </w:p>
        </w:tc>
      </w:tr>
      <w:tr w:rsidR="005260A0" w:rsidRPr="00A96559" w14:paraId="1770AE2B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40E079C" w14:textId="77777777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46AD3C" w14:textId="1ABCCAB9" w:rsidR="005260A0" w:rsidRPr="00D73F4C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5260A0" w:rsidRPr="00A96559" w14:paraId="22E2B018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8D65327" w14:textId="77777777" w:rsidR="005260A0" w:rsidRPr="00A96559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140ED77" w14:textId="0FE16E3D" w:rsidR="005260A0" w:rsidRPr="00D73F4C" w:rsidRDefault="005260A0" w:rsidP="005260A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B53646" w:rsidRPr="00A96559" w14:paraId="505AF324" w14:textId="77777777" w:rsidTr="007155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D8A5598" w14:textId="77777777" w:rsidR="00B53646" w:rsidRPr="00A96559" w:rsidRDefault="00B53646" w:rsidP="007155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F028FFE" w14:textId="6BD4AD8C" w:rsidR="003E7499" w:rsidRPr="00D73F4C" w:rsidRDefault="0071550E" w:rsidP="001645C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3E7499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 presidente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Edwiges </w:t>
            </w: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Leal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i</w:t>
            </w:r>
            <w:r w:rsidR="003E7499">
              <w:rPr>
                <w:rFonts w:ascii="Times New Roman" w:eastAsia="Calibri" w:hAnsi="Times New Roman" w:cs="Times New Roman"/>
                <w:b w:val="0"/>
                <w:color w:val="auto"/>
              </w:rPr>
              <w:t>nformou que a próxima reunião do Fórum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 Presidentes</w:t>
            </w:r>
            <w:r w:rsidR="003E749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ocorrerá dia 10 de março e que a coordenação da CTF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  <w:r w:rsidR="003E749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foi convidada a realizar uma apresentação neste dia. O coordenador Matozalém Santana </w:t>
            </w:r>
            <w:r w:rsidR="003E7499">
              <w:rPr>
                <w:rFonts w:ascii="Times New Roman" w:eastAsia="Calibri" w:hAnsi="Times New Roman" w:cs="Times New Roman"/>
                <w:b w:val="0"/>
                <w:color w:val="auto"/>
              </w:rPr>
              <w:lastRenderedPageBreak/>
              <w:t xml:space="preserve">concordou em participar e informou que </w:t>
            </w:r>
            <w:r w:rsidR="00D530C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apresentará a estrutura do Plano e dos indicadores, solicitando </w:t>
            </w:r>
            <w:r w:rsidR="0085070D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as </w:t>
            </w:r>
            <w:r w:rsidR="00D530C0">
              <w:rPr>
                <w:rFonts w:ascii="Times New Roman" w:eastAsia="Calibri" w:hAnsi="Times New Roman" w:cs="Times New Roman"/>
                <w:b w:val="0"/>
                <w:color w:val="auto"/>
              </w:rPr>
              <w:t>contribuições</w:t>
            </w:r>
            <w:r w:rsidR="0085070D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do Presidentes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dos CAU/U</w:t>
            </w:r>
            <w:r w:rsidR="001645C2">
              <w:rPr>
                <w:rFonts w:ascii="Times New Roman" w:eastAsia="Calibri" w:hAnsi="Times New Roman" w:cs="Times New Roman"/>
                <w:b w:val="0"/>
                <w:color w:val="auto"/>
              </w:rPr>
              <w:t>Fs</w:t>
            </w:r>
            <w:r w:rsidR="0085070D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D530C0">
              <w:rPr>
                <w:rFonts w:ascii="Times New Roman" w:eastAsia="Calibri" w:hAnsi="Times New Roman" w:cs="Times New Roman"/>
                <w:b w:val="0"/>
                <w:color w:val="auto"/>
              </w:rPr>
              <w:t>para discussão durante o Seminário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CTF-CAU/BR</w:t>
            </w:r>
            <w:r w:rsidR="00D530C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. </w:t>
            </w:r>
          </w:p>
        </w:tc>
      </w:tr>
    </w:tbl>
    <w:p w14:paraId="18CFDD89" w14:textId="3CD5C641" w:rsidR="00984700" w:rsidRDefault="00984700" w:rsidP="00267FBF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02381C7" w14:textId="1D36AB27" w:rsidR="005A330D" w:rsidRDefault="005A330D" w:rsidP="00267FBF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550B462" w14:textId="77777777" w:rsidR="005A330D" w:rsidRPr="007C709C" w:rsidRDefault="005A330D" w:rsidP="00267FBF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1F63FB6" w14:textId="77777777" w:rsidR="006C3F1B" w:rsidRPr="007C709C" w:rsidRDefault="006C3F1B" w:rsidP="006C3F1B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6C3F1B" w14:paraId="13EA777B" w14:textId="77777777" w:rsidTr="0071550E">
        <w:tc>
          <w:tcPr>
            <w:tcW w:w="4678" w:type="dxa"/>
          </w:tcPr>
          <w:p w14:paraId="4EF6E429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3C8BA" wp14:editId="54982AEF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F2B0E" id="Retângulo 8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1Gjg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09BD7D3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5B3BF2D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B9EF32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71A46CE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61B0735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Cs/>
                <w:color w:val="auto"/>
              </w:rPr>
              <w:t xml:space="preserve"> </w:t>
            </w:r>
          </w:p>
          <w:p w14:paraId="45F042D6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</w:t>
            </w:r>
          </w:p>
        </w:tc>
        <w:tc>
          <w:tcPr>
            <w:tcW w:w="4468" w:type="dxa"/>
          </w:tcPr>
          <w:p w14:paraId="2D40E9A1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B408D5" wp14:editId="51C3D6CD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5C5C6" id="Retângulo 7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2E4F8FD2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D4D25F5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3B60A75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BC1E46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B6F1599" w14:textId="77777777" w:rsidR="005A330D" w:rsidRDefault="005A330D" w:rsidP="005A330D">
            <w:pPr>
              <w:spacing w:after="0" w:line="240" w:lineRule="auto"/>
              <w:jc w:val="center"/>
              <w:rPr>
                <w:rFonts w:ascii="Cambria" w:eastAsia="Cambria" w:hAnsi="Cambria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MARIA EDWIGES SOBREIRA LEAL</w:t>
            </w:r>
          </w:p>
          <w:p w14:paraId="4A7C0C23" w14:textId="2F9C5671" w:rsidR="006C3F1B" w:rsidRDefault="005A330D" w:rsidP="005A330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</w:tr>
      <w:tr w:rsidR="006C3F1B" w14:paraId="030482F6" w14:textId="77777777" w:rsidTr="005A330D">
        <w:trPr>
          <w:trHeight w:val="2905"/>
        </w:trPr>
        <w:tc>
          <w:tcPr>
            <w:tcW w:w="4678" w:type="dxa"/>
          </w:tcPr>
          <w:p w14:paraId="24F65837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9A3081B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46763" wp14:editId="66CF36E6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56FFA" id="Retângulo 6" o:spid="_x0000_s1026" style="position:absolute;margin-left:38.5pt;margin-top:10.1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1E7AAA49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2E36804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91A55D1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25B1024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53613784" w14:textId="77777777" w:rsidR="005A330D" w:rsidRDefault="005A330D" w:rsidP="005A3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 xml:space="preserve">ANDRÉA BORBA PINHEIRO </w:t>
            </w:r>
          </w:p>
          <w:p w14:paraId="345AE3D8" w14:textId="539BB598" w:rsidR="006C3F1B" w:rsidRDefault="005A330D" w:rsidP="005A330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468" w:type="dxa"/>
          </w:tcPr>
          <w:p w14:paraId="1DE3B48E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3927251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7A1203" wp14:editId="0411CB9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F958E9" w14:textId="77777777" w:rsidR="0071550E" w:rsidRDefault="0071550E" w:rsidP="006C3F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A1203" id="Retângulo 5" o:spid="_x0000_s1026" style="position:absolute;left:0;text-align:left;margin-left:34.45pt;margin-top:9.8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" filled="f" strokecolor="#d9d9d9" strokeweight="1pt">
                      <v:path arrowok="t"/>
                      <v:textbox>
                        <w:txbxContent>
                          <w:p w14:paraId="3CF958E9" w14:textId="77777777" w:rsidR="0071550E" w:rsidRDefault="0071550E" w:rsidP="006C3F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38793F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904E56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C1A1B05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08B9098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4C3B2F8" w14:textId="77777777" w:rsidR="005A330D" w:rsidRDefault="005A330D" w:rsidP="005A330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LAÍS RAMALHO MAIA</w:t>
            </w:r>
          </w:p>
          <w:p w14:paraId="22B5BB32" w14:textId="77777777" w:rsidR="005A330D" w:rsidRDefault="005A330D" w:rsidP="005A330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  <w:p w14:paraId="65803880" w14:textId="174B7492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</w:tr>
      <w:tr w:rsidR="006C3F1B" w14:paraId="0D2FF557" w14:textId="77777777" w:rsidTr="0071550E">
        <w:tc>
          <w:tcPr>
            <w:tcW w:w="4678" w:type="dxa"/>
          </w:tcPr>
          <w:p w14:paraId="76B3464C" w14:textId="6B849F5A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468" w:type="dxa"/>
          </w:tcPr>
          <w:p w14:paraId="5C142DDA" w14:textId="77777777" w:rsidR="006C3F1B" w:rsidRDefault="006C3F1B" w:rsidP="007155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4FD1233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53FB8B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9D0005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A168F9D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E90650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80CC6E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C2F80B7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5699D9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475DBE4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0A5EE316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5F8943A2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5460A7C7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03E97DC9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0B4E0A9F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59E13A3E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5AADA4E3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335CCAE7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0F1D9B09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647CF743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4DA94BDC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34228EE0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3EE319A8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4FC8331C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7A30857A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18912EC1" w14:textId="77777777" w:rsidR="005F2E9A" w:rsidRDefault="005F2E9A" w:rsidP="0071550E">
      <w:pPr>
        <w:spacing w:after="0" w:line="240" w:lineRule="auto"/>
        <w:rPr>
          <w:rFonts w:ascii="Times New Roman" w:eastAsia="Times New Roman" w:hAnsi="Times New Roman"/>
          <w:b w:val="0"/>
          <w:smallCaps/>
          <w:kern w:val="32"/>
        </w:rPr>
      </w:pPr>
    </w:p>
    <w:p w14:paraId="758108FA" w14:textId="77777777" w:rsidR="005F2E9A" w:rsidRDefault="005F2E9A" w:rsidP="005F2E9A">
      <w:pPr>
        <w:spacing w:after="0" w:line="240" w:lineRule="auto"/>
        <w:jc w:val="center"/>
        <w:rPr>
          <w:rFonts w:ascii="Times New Roman" w:eastAsia="Times New Roman" w:hAnsi="Times New Roman"/>
          <w:b w:val="0"/>
          <w:smallCaps/>
          <w:kern w:val="32"/>
        </w:rPr>
      </w:pPr>
    </w:p>
    <w:p w14:paraId="2F99BCE6" w14:textId="14BB6E3E" w:rsidR="00984700" w:rsidRPr="007C709C" w:rsidRDefault="00931424" w:rsidP="005F2E9A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Times New Roman" w:hAnsi="Times New Roman"/>
          <w:b w:val="0"/>
          <w:smallCaps/>
          <w:kern w:val="32"/>
        </w:rPr>
        <w:t>SÚMULA DA 15ª REUNIÃO ORDINÁRIA CTF-CAU/BR</w:t>
      </w:r>
    </w:p>
    <w:sectPr w:rsidR="00984700" w:rsidRPr="007C709C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71550E" w:rsidRDefault="0071550E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71550E" w:rsidRDefault="0071550E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71550E" w:rsidRPr="00C25F47" w:rsidRDefault="0071550E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645C2">
          <w:rPr>
            <w:rFonts w:ascii="Arial" w:hAnsi="Arial" w:cs="Arial"/>
            <w:b/>
            <w:bCs/>
            <w:noProof/>
            <w:color w:val="008080"/>
          </w:rPr>
          <w:t>4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71550E" w:rsidRPr="00C25F47" w:rsidRDefault="0071550E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71550E" w:rsidRDefault="0071550E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71550E" w:rsidRDefault="0071550E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1550E" w:rsidRDefault="0071550E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2244"/>
    <w:rsid w:val="000601DB"/>
    <w:rsid w:val="00081E96"/>
    <w:rsid w:val="00092EB7"/>
    <w:rsid w:val="000A6545"/>
    <w:rsid w:val="000D5C21"/>
    <w:rsid w:val="00144BD5"/>
    <w:rsid w:val="001614D3"/>
    <w:rsid w:val="001645C2"/>
    <w:rsid w:val="00190A2F"/>
    <w:rsid w:val="0019143E"/>
    <w:rsid w:val="00193E0F"/>
    <w:rsid w:val="001A22EA"/>
    <w:rsid w:val="001C6FD8"/>
    <w:rsid w:val="001D2471"/>
    <w:rsid w:val="00250231"/>
    <w:rsid w:val="002670E8"/>
    <w:rsid w:val="00267FBF"/>
    <w:rsid w:val="002A6F7A"/>
    <w:rsid w:val="002E745D"/>
    <w:rsid w:val="003E7499"/>
    <w:rsid w:val="00486BB9"/>
    <w:rsid w:val="004A1A7F"/>
    <w:rsid w:val="004B0F62"/>
    <w:rsid w:val="004C3607"/>
    <w:rsid w:val="00505E78"/>
    <w:rsid w:val="005260A0"/>
    <w:rsid w:val="005A330D"/>
    <w:rsid w:val="005F2E9A"/>
    <w:rsid w:val="00622B3C"/>
    <w:rsid w:val="00636FEC"/>
    <w:rsid w:val="006556EF"/>
    <w:rsid w:val="00663E5B"/>
    <w:rsid w:val="00697306"/>
    <w:rsid w:val="006C3F1B"/>
    <w:rsid w:val="006D1DA9"/>
    <w:rsid w:val="0071550E"/>
    <w:rsid w:val="00742F89"/>
    <w:rsid w:val="00764AEE"/>
    <w:rsid w:val="0077498A"/>
    <w:rsid w:val="00783D72"/>
    <w:rsid w:val="007A6790"/>
    <w:rsid w:val="007B0885"/>
    <w:rsid w:val="007E2FFB"/>
    <w:rsid w:val="0081598D"/>
    <w:rsid w:val="008474F6"/>
    <w:rsid w:val="0085070D"/>
    <w:rsid w:val="0089117D"/>
    <w:rsid w:val="008C1562"/>
    <w:rsid w:val="00931424"/>
    <w:rsid w:val="00934E58"/>
    <w:rsid w:val="0095203E"/>
    <w:rsid w:val="00984700"/>
    <w:rsid w:val="009A074F"/>
    <w:rsid w:val="009A7A63"/>
    <w:rsid w:val="00A35C78"/>
    <w:rsid w:val="00A37DD1"/>
    <w:rsid w:val="00A409A5"/>
    <w:rsid w:val="00A8111D"/>
    <w:rsid w:val="00A94A59"/>
    <w:rsid w:val="00AF42A7"/>
    <w:rsid w:val="00B53646"/>
    <w:rsid w:val="00B96106"/>
    <w:rsid w:val="00B97499"/>
    <w:rsid w:val="00BB3D5A"/>
    <w:rsid w:val="00BC1B3A"/>
    <w:rsid w:val="00BF0FCD"/>
    <w:rsid w:val="00C00FD5"/>
    <w:rsid w:val="00C13E75"/>
    <w:rsid w:val="00C25F47"/>
    <w:rsid w:val="00C36E93"/>
    <w:rsid w:val="00C41155"/>
    <w:rsid w:val="00CF31CC"/>
    <w:rsid w:val="00D27AEB"/>
    <w:rsid w:val="00D530C0"/>
    <w:rsid w:val="00D67E45"/>
    <w:rsid w:val="00D73F4C"/>
    <w:rsid w:val="00DB2DA6"/>
    <w:rsid w:val="00DD741E"/>
    <w:rsid w:val="00DF1FB9"/>
    <w:rsid w:val="00E228F0"/>
    <w:rsid w:val="00E47CD1"/>
    <w:rsid w:val="00E625E1"/>
    <w:rsid w:val="00EB1374"/>
    <w:rsid w:val="00ED7498"/>
    <w:rsid w:val="00F24290"/>
    <w:rsid w:val="00F32129"/>
    <w:rsid w:val="00F32C3A"/>
    <w:rsid w:val="00F45515"/>
    <w:rsid w:val="00F46B99"/>
    <w:rsid w:val="00F74821"/>
    <w:rsid w:val="00FE34D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142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3142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4</cp:revision>
  <cp:lastPrinted>2022-03-15T12:02:00Z</cp:lastPrinted>
  <dcterms:created xsi:type="dcterms:W3CDTF">2022-03-09T21:24:00Z</dcterms:created>
  <dcterms:modified xsi:type="dcterms:W3CDTF">2022-03-15T12:08:00Z</dcterms:modified>
</cp:coreProperties>
</file>