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B10F27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81ª REUNIÃO ORDINÁRIA CPFI-CAU/BR</w:t>
            </w:r>
          </w:p>
        </w:tc>
      </w:tr>
    </w:tbl>
    <w:p w:rsidR="00B10F27" w:rsidRDefault="00B10F2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B10F2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 e 15 de março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10F27" w:rsidRDefault="00A60E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B10F27" w:rsidRDefault="00B10F2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B10F2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B10F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B10F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B10F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B10F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80ª Reunião Ordinária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>para publicação.</w:t>
            </w: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10F27" w:rsidRDefault="00A60E7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COA e GT de planejamento dos CAU/UF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COA/CPFI/Fórum de Presidentes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Realização de reunião conjunta com a COA, com o Grupo de Trabalho de Planejamento Estratégico do </w:t>
            </w:r>
            <w:r>
              <w:rPr>
                <w:rFonts w:ascii="Times New Roman" w:hAnsi="Times New Roman"/>
                <w:sz w:val="22"/>
                <w:szCs w:val="22"/>
              </w:rPr>
              <w:t>Fórum de Presidentes e Assessoria de Planejamento e Gestão da Estratégia do CAU/BR, na qual foram apresentados o plano de trabalho, bem como o cronograma de trabalho do GTPE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aprovada deliberação solicitando ao Presidente do CAU/BR a instituição de gr</w:t>
            </w:r>
            <w:r>
              <w:rPr>
                <w:rFonts w:ascii="Times New Roman" w:hAnsi="Times New Roman"/>
                <w:sz w:val="22"/>
                <w:szCs w:val="22"/>
              </w:rPr>
              <w:t>upo de trabalho para elaborar um estudo para a revisão dos indicadores estratégicos, dos limites de aplicação de recursos e do modelo de elaboração do Plano de Ação e Orçamento do CAU para posterior apreciação pela COA-CAU/BR e pela CPFI-CAU/BR.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</w:t>
            </w:r>
            <w:r>
              <w:rPr>
                <w:rFonts w:ascii="Times New Roman" w:hAnsi="Times New Roman"/>
                <w:sz w:val="22"/>
                <w:szCs w:val="22"/>
              </w:rPr>
              <w:t>ão nº 05/2019 CPFI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“Marcas” da gestão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discutiu o projeto “Mais Arquitetos”: O conselheiro Osvaldo apresentou o conceito, onde o CAU vai à comunidade, coloca o arquiteto e esse atende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comunidade. A comissão entendeu que o assunto faz parte do tema de assistência técnica e que pode ser executado com a verba destinada a ATHIS no orçamento. O conselheiro Osvaldo propôs a utilização dos recursos de superávit, por meio de projetos especia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is, para a execução desta ação. O conselheiro Raul Gradim irá realizar um levantamento do custo de assistência técnica em Brasília. 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do Orçamento do CAU/BR 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de Andrade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retificou a </w:t>
            </w:r>
            <w:r>
              <w:rPr>
                <w:rFonts w:ascii="Times New Roman" w:hAnsi="Times New Roman"/>
                <w:sz w:val="22"/>
                <w:szCs w:val="22"/>
              </w:rPr>
              <w:t>Deliberação nº2 e encaminhou à Presidência do CAU/BR.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04/2019 CPFI-CAU/BR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dos Eventos da CPFI para 2019 e inclusão no plano de trabalho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CPFI-CAU/BR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definiu os eventos para 2019 que serão custeados com os recursos da CPFI e incluiu no Plano de trabalho 2019: 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Seminário de Boas Práticas, dia 24 de abril; e</w:t>
            </w: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Seminário Nacional de apresentação do Planejamento Estratégico revisado, em junho, data a </w:t>
            </w:r>
            <w:r>
              <w:rPr>
                <w:rFonts w:ascii="Times New Roman" w:hAnsi="Times New Roman"/>
                <w:sz w:val="22"/>
                <w:szCs w:val="22"/>
              </w:rPr>
              <w:t>definir.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nº06/2019 CPFI-CAU/BR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Assistência Técnica em Patrimônios Culturais – CAU/SP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discutido juntamente ao item 2 da pauta.</w:t>
            </w: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7.2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15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Informe: Arrecadação jan/fev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assunto. A arrecadação jan/fev ficou entre 7,5% e 10% acima do mesmo período de 2018, não sendo possível a obtenção do resultado exato devido ao fato que os </w:t>
            </w:r>
            <w:r>
              <w:rPr>
                <w:rFonts w:ascii="Times New Roman" w:hAnsi="Times New Roman"/>
                <w:sz w:val="22"/>
                <w:szCs w:val="22"/>
              </w:rPr>
              <w:t>boletos com vencimento em 28/02 terem sido contabilizados apenas em 01/03.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7.2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15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Andamento do processo de prestação de contas – TCU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Auditoria Interna – 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Assunto não discutido na reunião, foi apresentado em </w:t>
            </w:r>
            <w:r>
              <w:rPr>
                <w:rFonts w:ascii="Times New Roman" w:hAnsi="Times New Roman"/>
                <w:sz w:val="22"/>
                <w:szCs w:val="22"/>
              </w:rPr>
              <w:t>Plenária.</w:t>
            </w: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7.2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15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Impacto dos descontos de anuidades (Resolução 121)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 – CAU/BR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definiu o desconto de PJ para 20% e 10% à vista no primeiro e segundo mês.</w:t>
            </w:r>
          </w:p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Solicitou estudo de impacto com desconto de 50% para </w:t>
            </w:r>
            <w:r>
              <w:rPr>
                <w:rFonts w:ascii="Times New Roman" w:hAnsi="Times New Roman"/>
                <w:sz w:val="22"/>
                <w:szCs w:val="22"/>
              </w:rPr>
              <w:t>arquitetos com até 5 anos de formado.</w:t>
            </w:r>
          </w:p>
          <w:p w:rsidR="00B10F27" w:rsidRDefault="00B1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10F27" w:rsidRDefault="00A60E7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VII. EXTRAPAUTA</w:t>
      </w:r>
    </w:p>
    <w:p w:rsidR="00B10F27" w:rsidRDefault="00B10F27"/>
    <w:tbl>
      <w:tblPr>
        <w:tblW w:w="457.2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159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Taxas de boletos – BB e Caixa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7.9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10F27" w:rsidRDefault="00A60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ao conselheiro Eduardo que aprofundasse a análise das propostas e viabilidade de </w:t>
            </w:r>
            <w:r>
              <w:rPr>
                <w:rFonts w:ascii="Times New Roman" w:hAnsi="Times New Roman"/>
                <w:sz w:val="22"/>
                <w:szCs w:val="22"/>
              </w:rPr>
              <w:t>migração à Caixa Econômica, a fim de levar o assunto ao Plenário.</w:t>
            </w:r>
          </w:p>
        </w:tc>
      </w:tr>
    </w:tbl>
    <w:p w:rsidR="00B10F27" w:rsidRDefault="00B10F27"/>
    <w:p w:rsidR="00B10F27" w:rsidRDefault="00B10F27">
      <w:pPr>
        <w:rPr>
          <w:rFonts w:ascii="Times New Roman" w:eastAsia="MS Mincho" w:hAnsi="Times New Roman"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10F27" w:rsidRDefault="00B10F2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607"/>
      </w:tblGrid>
      <w:tr w:rsidR="00B10F27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B10F27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B10F27" w:rsidRDefault="00A60E7F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B10F27" w:rsidRDefault="00A60E7F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B10F27" w:rsidRDefault="00A60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10F27" w:rsidRDefault="00B10F2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B10F2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10F27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RAUL WANDERLEY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GRADIM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0F27" w:rsidRDefault="00B10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F27" w:rsidRDefault="00B10F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F27" w:rsidRDefault="00A60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B10F27" w:rsidRDefault="00A60E7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B10F27" w:rsidRDefault="00B10F27">
      <w:pPr>
        <w:spacing w:line="13.80pt" w:lineRule="auto"/>
        <w:rPr>
          <w:rFonts w:ascii="Arial" w:hAnsi="Arial" w:cs="Arial"/>
          <w:sz w:val="22"/>
        </w:rPr>
      </w:pPr>
    </w:p>
    <w:sectPr w:rsidR="00B10F27">
      <w:headerReference w:type="default" r:id="rId6"/>
      <w:footerReference w:type="default" r:id="rId7"/>
      <w:pgSz w:w="595pt" w:h="842pt"/>
      <w:pgMar w:top="92.15pt" w:right="63.40pt" w:bottom="92.1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60E7F">
      <w:r>
        <w:separator/>
      </w:r>
    </w:p>
  </w:endnote>
  <w:endnote w:type="continuationSeparator" w:id="0">
    <w:p w:rsidR="00000000" w:rsidRDefault="00A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183A" w:rsidRDefault="00A60E7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1183A" w:rsidRDefault="00A60E7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60E7F">
      <w:r>
        <w:rPr>
          <w:color w:val="000000"/>
        </w:rPr>
        <w:separator/>
      </w:r>
    </w:p>
  </w:footnote>
  <w:footnote w:type="continuationSeparator" w:id="0">
    <w:p w:rsidR="00000000" w:rsidRDefault="00A60E7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1183A" w:rsidRDefault="00A60E7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0F27"/>
    <w:rsid w:val="00A60E7F"/>
    <w:rsid w:val="00B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6FE422-10A9-4944-BA75-ED61E3CBBF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2019-04-15T15:17:00Z</cp:lastPrinted>
  <dcterms:created xsi:type="dcterms:W3CDTF">2019-04-23T18:04:00Z</dcterms:created>
  <dcterms:modified xsi:type="dcterms:W3CDTF">2019-04-23T18:04:00Z</dcterms:modified>
</cp:coreProperties>
</file>