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124"/>
      </w:tblGrid>
      <w:tr w:rsidR="00881B48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881B48" w:rsidRDefault="00A32F59">
            <w:pPr>
              <w:keepNext/>
              <w:jc w:val="center"/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29ª REUNIÃO ORDINÁRIA CEN-CAU/BR</w:t>
            </w:r>
          </w:p>
        </w:tc>
      </w:tr>
    </w:tbl>
    <w:p w:rsidR="00881B48" w:rsidRDefault="00881B48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97"/>
        <w:gridCol w:w="3230"/>
        <w:gridCol w:w="1448"/>
        <w:gridCol w:w="2422"/>
      </w:tblGrid>
      <w:tr w:rsidR="00881B48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81B48" w:rsidRDefault="00A32F5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81B48" w:rsidRDefault="00A32F59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03 de outubro de 2018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81B48" w:rsidRDefault="00A32F5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81B48" w:rsidRDefault="00A32F59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881B48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81B48" w:rsidRDefault="00A32F5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81B48" w:rsidRDefault="00A32F59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881B48" w:rsidRDefault="00881B48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0.2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4111"/>
        <w:gridCol w:w="567"/>
        <w:gridCol w:w="2409"/>
      </w:tblGrid>
      <w:tr w:rsidR="00881B48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81B48" w:rsidRDefault="00A32F5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Robson Ribeiro</w:t>
            </w:r>
          </w:p>
        </w:tc>
      </w:tr>
      <w:tr w:rsidR="00881B48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José Gerardo da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Fonseca Soares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PI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881B48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881B48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Matozalém Sousa Santana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TO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 Adjunto</w:t>
            </w:r>
          </w:p>
        </w:tc>
      </w:tr>
      <w:tr w:rsidR="00881B48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881B4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Andrea Lúcia Vilella Arruda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IES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81B48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881B4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Ednezer Rodrigues Flores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</w:tbl>
    <w:p w:rsidR="00881B48" w:rsidRDefault="00881B4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881B48" w:rsidRDefault="00A32F59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PAUTA</w:t>
      </w:r>
      <w:r>
        <w:rPr>
          <w:rFonts w:ascii="Times New Roman" w:eastAsia="MS Mincho" w:hAnsi="Times New Roman"/>
          <w:i/>
          <w:smallCaps/>
          <w:sz w:val="22"/>
          <w:szCs w:val="2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</w:p>
    <w:p w:rsidR="00881B48" w:rsidRDefault="00881B4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81B4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Leitura e aprovação da Súmula </w:t>
            </w:r>
          </w:p>
        </w:tc>
      </w:tr>
      <w:tr w:rsidR="00881B4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Após leitura e discussão foi aprovada </w:t>
            </w:r>
            <w:r>
              <w:rPr>
                <w:rFonts w:ascii="Times New Roman" w:hAnsi="Times New Roman"/>
                <w:sz w:val="22"/>
                <w:szCs w:val="22"/>
              </w:rPr>
              <w:t>súmula da 28ª Reunião Ordinária da CEN-CAU/BR.</w:t>
            </w:r>
          </w:p>
        </w:tc>
      </w:tr>
    </w:tbl>
    <w:p w:rsidR="00881B48" w:rsidRDefault="00881B4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81B4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881B4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CEN-CAUBR</w:t>
            </w:r>
          </w:p>
        </w:tc>
      </w:tr>
      <w:tr w:rsidR="00881B4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Comunicou o recebimento de convite à reunião do Fórum de Presidentes dos CAU/UF, também recebido pelo coordenador adjunto. O coordenador entendeu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ser necessária a participação da assessoria técnica e de todos os membros da comissão, devido a representatividade e conhecimento da realidade das diversas regiões do país. </w:t>
            </w:r>
          </w:p>
          <w:p w:rsidR="00881B48" w:rsidRDefault="00A32F59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Informa ter participado da reunião do Conselho Diretor, na qual ficou decidido que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os valores referentes a analista técnico deixarão de constar dos planos de ação das comissões, passando a compor o centro de custo da Secretaria Geral da Mesa do CAU/BR. Ressaltou que nesta reunião pôde compreender melhor os diversos processos no âmbito d</w:t>
            </w:r>
            <w:r>
              <w:rPr>
                <w:rFonts w:ascii="Times New Roman" w:hAnsi="Times New Roman"/>
                <w:sz w:val="22"/>
                <w:szCs w:val="22"/>
              </w:rPr>
              <w:t>o conselho e, portanto, solicitou participar das próximas reuniões, ainda que como ouvinte ou convidado.</w:t>
            </w:r>
          </w:p>
        </w:tc>
      </w:tr>
      <w:tr w:rsidR="00881B4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técnica</w:t>
            </w:r>
          </w:p>
        </w:tc>
      </w:tr>
      <w:tr w:rsidR="00881B4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Informa que, em atendimento à deliberação nº 12/2018 – CEN-CAU/BR, o Gabinete da Presidência providenciou o </w:t>
            </w:r>
            <w:r>
              <w:rPr>
                <w:rFonts w:ascii="Times New Roman" w:hAnsi="Times New Roman"/>
                <w:sz w:val="22"/>
                <w:szCs w:val="22"/>
              </w:rPr>
              <w:t>envio de ofício aos CAU/UF em agradecimento ao envio de contribuições à revisão do Regulamento Eleitoral do CAU.</w:t>
            </w:r>
          </w:p>
        </w:tc>
      </w:tr>
    </w:tbl>
    <w:p w:rsidR="00881B48" w:rsidRDefault="00881B4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881B48" w:rsidRDefault="00A32F59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881B48" w:rsidRDefault="00881B4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81B4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881B48">
            <w:pPr>
              <w:numPr>
                <w:ilvl w:val="0"/>
                <w:numId w:val="1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Acompanhamento do Plano de ação e Plano de trabalho da CEN</w:t>
            </w:r>
          </w:p>
        </w:tc>
      </w:tr>
      <w:tr w:rsidR="00881B4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881B4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881B4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Devido o andamento das atividades da comissão, bem como das que serão desenvolvidas, e a reprogramação do plano de ação da CEN, fica alterado o Plano de trabalho da CEN, nos termos 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nº 14/2018 – CEN-CAU/BR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81B48" w:rsidRDefault="00A32F59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Fica aprovado o calendário de reuni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ões técnicas e reuniões extraordinárias da comissão pela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nº 15/2018 – CEN-CAU/BR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81B48" w:rsidRDefault="00A32F59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Devido a coincidência de datas entre a reunião do Fórum de Presidentes e a 83ª Reunião Plenária do CAU/BR, por meio 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nº 21/2018 – CEN-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CAU/BR</w:t>
            </w:r>
            <w:r>
              <w:rPr>
                <w:rFonts w:ascii="Times New Roman" w:hAnsi="Times New Roman"/>
                <w:sz w:val="22"/>
                <w:szCs w:val="22"/>
              </w:rPr>
              <w:t>, fica a</w:t>
            </w:r>
            <w:r>
              <w:rPr>
                <w:rFonts w:ascii="Times New Roman" w:hAnsi="Times New Roman"/>
                <w:sz w:val="22"/>
                <w:szCs w:val="22"/>
              </w:rPr>
              <w:t>provada a participação do coordenador e coordenador adjunto e assessoria na reunião, solicitando à Presidência do CAU/BR 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avaliação da participação dos conselheiros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881B48" w:rsidRDefault="00881B4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81B4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881B48">
            <w:pPr>
              <w:numPr>
                <w:ilvl w:val="0"/>
                <w:numId w:val="1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Cadastro de conselheiros no SICCAU </w:t>
            </w:r>
          </w:p>
        </w:tc>
      </w:tr>
      <w:tr w:rsidR="00881B4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881B4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881B4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Para atendimento ao desenvolvimento do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Sistema Eleitoral Nacional (SiEN), é 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olicitado que o Plenário do CAU/BR, por meio 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nº 16/2018 – CEN-CAU/BR</w:t>
            </w:r>
            <w:r>
              <w:rPr>
                <w:rFonts w:ascii="Times New Roman" w:hAnsi="Times New Roman"/>
                <w:sz w:val="22"/>
                <w:szCs w:val="22"/>
              </w:rPr>
              <w:t>, aprecie e delibere sobre o CAU/BR e os CAU/UF cadastrarem seu legado eleitoral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 SICCAU conforme informações do Aviso 052/18 da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Rede Integrada de Atendimento (RIA)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81B48" w:rsidRDefault="00A32F59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Para acompanhamento dos trabalhos e organização das atividades, a comissão solicita à Gerência do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Centro de Serviços Compartilhados (CSC)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pela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nº 17/2018 –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CEN-CAU/BR</w:t>
            </w:r>
            <w:r>
              <w:rPr>
                <w:rFonts w:ascii="Times New Roman" w:hAnsi="Times New Roman"/>
                <w:sz w:val="22"/>
                <w:szCs w:val="22"/>
              </w:rPr>
              <w:t>, a presença na próxima reunião ordinária da CEN para informar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o status da implantação e o planejamento da evolução do Sistema Eleitoral Nacional (SiEN) para as eleições 2020 do CAU.</w:t>
            </w:r>
          </w:p>
        </w:tc>
      </w:tr>
    </w:tbl>
    <w:p w:rsidR="00881B48" w:rsidRDefault="00881B48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81B4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881B48">
            <w:pPr>
              <w:numPr>
                <w:ilvl w:val="0"/>
                <w:numId w:val="1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Protocolos SICCAU nº 750871/2018 (Ofício nº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517/2018-COR/SR/PF/PR), 757798/2018 e 757799/2018</w:t>
            </w:r>
          </w:p>
        </w:tc>
      </w:tr>
      <w:tr w:rsidR="00881B4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881B4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881B4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Analista técnico informou o recebimento e apresentou o conteúdo do Ofício nº 517/2018-COR/SR/PF/PR e de manifestação coletiva de </w:t>
            </w:r>
            <w:r>
              <w:rPr>
                <w:rFonts w:ascii="Times New Roman" w:hAnsi="Times New Roman"/>
                <w:sz w:val="22"/>
                <w:szCs w:val="22"/>
              </w:rPr>
              <w:t>arquitetos, Protocolos SICCAU n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757798/2018 e 757799/2018, ambos referentes às eleições 2017 no CAU/PR.</w:t>
            </w:r>
          </w:p>
          <w:p w:rsidR="00881B48" w:rsidRDefault="00A32F59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informado que os fatos chegaram a conhecimento da Comissão Eleitoral Nacional que conduziu as eleições em 2017, na forma de representação não iden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tificada via atendimento da central de Tele Atendimento Qualificado, com conteúdo que esteve presente no processo administrativo eleitoral respondido por aquela comissão em ofício. </w:t>
            </w:r>
          </w:p>
          <w:p w:rsidR="00881B48" w:rsidRDefault="00A32F59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É solicitado à assessoria jurídica a apresentação de manifestação jurídica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sobre o assunto para posterior encaminhamento do assunto pela comissão.</w:t>
            </w:r>
          </w:p>
        </w:tc>
      </w:tr>
    </w:tbl>
    <w:p w:rsidR="00881B48" w:rsidRDefault="00881B48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81B4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881B48">
            <w:pPr>
              <w:numPr>
                <w:ilvl w:val="0"/>
                <w:numId w:val="1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Contribuições à revisão do Regulamento Eleitoral</w:t>
            </w:r>
          </w:p>
        </w:tc>
      </w:tr>
      <w:tr w:rsidR="00881B4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881B4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881B4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Foram lidas e discutidas as contribuições do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Instituto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Arquitetos do Brasil – Direção Nacional (IAB) e da Federação Nacional dos Arquitetos e Urbanistas (FNA).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É emitida 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nº 020/2018 – CEN-CAU/BR</w:t>
            </w:r>
            <w:r>
              <w:rPr>
                <w:rFonts w:ascii="Times New Roman" w:hAnsi="Times New Roman"/>
                <w:sz w:val="22"/>
                <w:szCs w:val="22"/>
              </w:rPr>
              <w:t>, solicitando à Presidência do CAU/BR o envio de ofício ao IAB e à FNA em agradecimento às contribuiçõe</w:t>
            </w:r>
            <w:r>
              <w:rPr>
                <w:rFonts w:ascii="Times New Roman" w:hAnsi="Times New Roman"/>
                <w:sz w:val="22"/>
                <w:szCs w:val="22"/>
              </w:rPr>
              <w:t>s encaminhadas a esta comissão.</w:t>
            </w:r>
          </w:p>
        </w:tc>
      </w:tr>
    </w:tbl>
    <w:p w:rsidR="00881B48" w:rsidRDefault="00881B48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81B4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881B48">
            <w:pPr>
              <w:numPr>
                <w:ilvl w:val="0"/>
                <w:numId w:val="1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Recondução de conselheiros e alteração de Regimento</w:t>
            </w:r>
          </w:p>
        </w:tc>
      </w:tr>
      <w:tr w:rsidR="00881B4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881B4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881B4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Como parte das propostas das entidades e arquitetura e urbanismo que se manifestaram dizem respeito a </w:t>
            </w:r>
            <w:r>
              <w:rPr>
                <w:rFonts w:ascii="Times New Roman" w:hAnsi="Times New Roman"/>
                <w:sz w:val="22"/>
                <w:szCs w:val="22"/>
              </w:rPr>
              <w:t>disposições do Regimento Geral, ainda que concorde com a disposição regimental, a comissão entende por encaminhar estas propostas do IAB e da FNA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à Comissão de Organização e Administração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 xml:space="preserve">(COA-CAU/BR), via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nº 18/2018 – CEN-CAU/BR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para análise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 conteúdo referente à recondução de conselheiros nas eleições do CAU.</w:t>
            </w:r>
          </w:p>
          <w:p w:rsidR="00881B48" w:rsidRDefault="00A32F59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Para dirimir dúvidas quanto à plausibilidade de propostas, a comissão envia à COA 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nº 19/2018 – CEN-CAU/BR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indagação sobre o posicionamento daquela comissão sobre a possív</w:t>
            </w:r>
            <w:r>
              <w:rPr>
                <w:rFonts w:ascii="Times New Roman" w:hAnsi="Times New Roman"/>
                <w:sz w:val="22"/>
                <w:szCs w:val="22"/>
              </w:rPr>
              <w:t>el vedação de alteração de regimentos internos em ano eleitoral do CAU.</w:t>
            </w:r>
          </w:p>
        </w:tc>
      </w:tr>
    </w:tbl>
    <w:p w:rsidR="00881B48" w:rsidRDefault="00881B48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81B4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881B48">
            <w:pPr>
              <w:numPr>
                <w:ilvl w:val="0"/>
                <w:numId w:val="1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Revisão do Regulamento Eleitoral</w:t>
            </w:r>
          </w:p>
        </w:tc>
      </w:tr>
      <w:tr w:rsidR="00881B4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881B4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881B4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81B48" w:rsidRDefault="00A32F59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 discussões se deram em conjunto com os itens 4 e 5 da ordem do dia. Foram </w:t>
            </w:r>
            <w:r>
              <w:rPr>
                <w:rFonts w:ascii="Times New Roman" w:hAnsi="Times New Roman"/>
                <w:sz w:val="22"/>
                <w:szCs w:val="22"/>
              </w:rPr>
              <w:t>recordados os posicionamentos da comissão definidos nas reuniões anteriores e discutidos os temas recondução de conselheiros, condição de elegibilidade, causas de inelegibilidade, registro de chapa, campanha eleitoral, debates, desincompatibilização, votaç</w:t>
            </w:r>
            <w:r>
              <w:rPr>
                <w:rFonts w:ascii="Times New Roman" w:hAnsi="Times New Roman"/>
                <w:sz w:val="22"/>
                <w:szCs w:val="22"/>
              </w:rPr>
              <w:t>ão e cálculo de proporcionalidade.</w:t>
            </w:r>
          </w:p>
        </w:tc>
      </w:tr>
    </w:tbl>
    <w:p w:rsidR="00881B48" w:rsidRDefault="00881B48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881B48" w:rsidRDefault="00881B48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881B48" w:rsidRDefault="00881B48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881B48" w:rsidRDefault="00881B48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881B48" w:rsidRDefault="00881B48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06"/>
        <w:gridCol w:w="4607"/>
      </w:tblGrid>
      <w:tr w:rsidR="00881B48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81B48" w:rsidRDefault="00A32F59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JOSÉ GERARDO DA FONSECA SOARES </w:t>
            </w:r>
          </w:p>
          <w:p w:rsidR="00881B48" w:rsidRDefault="00A32F59">
            <w:pPr>
              <w:spacing w:before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Coordenador </w:t>
            </w:r>
          </w:p>
          <w:p w:rsidR="00881B48" w:rsidRDefault="00881B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81B48" w:rsidRDefault="00A32F59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MATOZALÉM SOUSA SANTANA </w:t>
            </w:r>
          </w:p>
          <w:p w:rsidR="00881B48" w:rsidRDefault="00A32F59">
            <w:pPr>
              <w:spacing w:before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Coordenador Adjunto</w:t>
            </w:r>
          </w:p>
          <w:p w:rsidR="00881B48" w:rsidRDefault="00881B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1B48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81B48" w:rsidRDefault="00881B48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881B48" w:rsidRDefault="00881B48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881B48" w:rsidRDefault="00881B48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881B48" w:rsidRDefault="00881B48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881B48" w:rsidRDefault="00A32F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ANDREA LÚCIA VILELLA ARRUDA</w:t>
            </w:r>
          </w:p>
          <w:p w:rsidR="00881B48" w:rsidRDefault="00A32F59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881B48" w:rsidRDefault="00881B48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881B48" w:rsidRDefault="00881B48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881B48" w:rsidRDefault="00881B48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81B48" w:rsidRDefault="00881B48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881B48" w:rsidRDefault="00881B48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881B48" w:rsidRDefault="00881B48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881B48" w:rsidRDefault="00881B48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881B48" w:rsidRDefault="00A32F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EDNEZER RODRIGUES FLORES</w:t>
            </w:r>
          </w:p>
          <w:p w:rsidR="00881B48" w:rsidRDefault="00A32F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881B48" w:rsidRDefault="00881B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81B48" w:rsidRDefault="00881B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81B48" w:rsidRDefault="00881B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81B48" w:rsidRDefault="00881B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81B48" w:rsidRDefault="00881B48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</w:tc>
      </w:tr>
      <w:tr w:rsidR="00881B48">
        <w:tblPrEx>
          <w:tblCellMar>
            <w:top w:w="0pt" w:type="dxa"/>
            <w:bottom w:w="0pt" w:type="dxa"/>
          </w:tblCellMar>
        </w:tblPrEx>
        <w:trPr>
          <w:trHeight w:val="306"/>
        </w:trPr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81B48" w:rsidRDefault="00881B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81B48" w:rsidRDefault="00A32F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ROBSON RIBEIRO</w:t>
            </w:r>
          </w:p>
          <w:p w:rsidR="00881B48" w:rsidRDefault="00A32F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</w:tr>
    </w:tbl>
    <w:p w:rsidR="00881B48" w:rsidRDefault="00881B48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881B48">
      <w:headerReference w:type="default" r:id="rId7"/>
      <w:footerReference w:type="default" r:id="rId8"/>
      <w:pgSz w:w="595pt" w:h="842pt"/>
      <w:pgMar w:top="85.10pt" w:right="63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A32F59">
      <w:r>
        <w:separator/>
      </w:r>
    </w:p>
  </w:endnote>
  <w:endnote w:type="continuationSeparator" w:id="0">
    <w:p w:rsidR="00000000" w:rsidRDefault="00A3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A650B" w:rsidRDefault="00A32F59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6A650B" w:rsidRDefault="00A32F59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rFonts w:ascii="Times New Roman" w:hAnsi="Times New Roman"/>
        <w:color w:val="296D7A"/>
        <w:sz w:val="20"/>
      </w:rPr>
      <w:t>SÚMULA DA 29ª REUNIÃO ORDINÁRIA CEN-CAU/BR</w:t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4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A32F59">
      <w:r>
        <w:rPr>
          <w:color w:val="000000"/>
        </w:rPr>
        <w:separator/>
      </w:r>
    </w:p>
  </w:footnote>
  <w:footnote w:type="continuationSeparator" w:id="0">
    <w:p w:rsidR="00000000" w:rsidRDefault="00A32F5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A650B" w:rsidRDefault="00A32F59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043" cy="1078233"/>
          <wp:effectExtent l="0" t="0" r="3807" b="7617"/>
          <wp:wrapNone/>
          <wp:docPr id="1" name="Imagem 63" descr="CAU-BR-timbrado2015-edit-2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28E80334"/>
    <w:multiLevelType w:val="multilevel"/>
    <w:tmpl w:val="026434EA"/>
    <w:lvl w:ilvl="0">
      <w:start w:val="1"/>
      <w:numFmt w:val="decimal"/>
      <w:lvlText w:val="%1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81B48"/>
    <w:rsid w:val="00881B48"/>
    <w:rsid w:val="00A3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BF08D34-9283-452B-91E5-449BF7ABFBF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lang w:eastAsia="en-US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PargrafodaLista">
    <w:name w:val="List Paragraph"/>
    <w:basedOn w:val="Normal"/>
    <w:pPr>
      <w:ind w:start="36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3</Pages>
  <Words>949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DA 29ª REUNIÃO ORDINÁRIA CEN-CAU/BR</vt:lpstr>
    </vt:vector>
  </TitlesOfParts>
  <Company>Hewlett-Packard Company</Company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29ª REUNIÃO ORDINÁRIA CEN-CAU/BR</dc:title>
  <dc:subject/>
  <dc:creator>comunica</dc:creator>
  <cp:lastModifiedBy>Viviane Nota Machado</cp:lastModifiedBy>
  <cp:revision>2</cp:revision>
  <cp:lastPrinted>2016-11-30T13:06:00Z</cp:lastPrinted>
  <dcterms:created xsi:type="dcterms:W3CDTF">2019-05-28T17:51:00Z</dcterms:created>
  <dcterms:modified xsi:type="dcterms:W3CDTF">2019-05-28T17:51:00Z</dcterms:modified>
</cp:coreProperties>
</file>