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E64E0" w:rsidRPr="004B2957" w14:paraId="7B1523AD" w14:textId="77777777" w:rsidTr="00551F4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EE38FEB" w14:textId="08B92D8C" w:rsidR="005E64E0" w:rsidRPr="004B2957" w:rsidRDefault="0088102A" w:rsidP="007220A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4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7506A70B" w14:textId="77777777"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14:paraId="3CB9085F" w14:textId="77777777" w:rsidTr="00DA66E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43534D" w14:textId="77777777" w:rsidR="001441E9" w:rsidRPr="004B2957" w:rsidRDefault="001441E9" w:rsidP="002B473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0DF5FA8" w14:textId="7DD710C4" w:rsidR="001441E9" w:rsidRPr="004B2957" w:rsidRDefault="0088102A" w:rsidP="00551F4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551F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  <w:r w:rsidR="001441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6569BB" w14:textId="77777777" w:rsidR="001441E9" w:rsidRPr="004B2957" w:rsidRDefault="001441E9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95D92B" w14:textId="0A62F5A7" w:rsidR="001441E9" w:rsidRPr="004B2957" w:rsidRDefault="0088102A" w:rsidP="009D598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551F47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</w:t>
            </w:r>
          </w:p>
        </w:tc>
      </w:tr>
      <w:tr w:rsidR="001441E9" w:rsidRPr="004B2957" w14:paraId="6402CBED" w14:textId="77777777" w:rsidTr="00DA66E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82FA1F" w14:textId="77777777"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8C22BB6" w14:textId="3EDB7441" w:rsidR="001441E9" w:rsidRPr="004B2957" w:rsidRDefault="0088102A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  <w:r w:rsidR="001441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13C4A7" w14:textId="77777777"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6C04D8" w14:textId="45CFE7D7" w:rsidR="001441E9" w:rsidRPr="004B2957" w:rsidRDefault="0088102A" w:rsidP="009D598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</w:t>
            </w:r>
          </w:p>
        </w:tc>
      </w:tr>
      <w:tr w:rsidR="001441E9" w:rsidRPr="004B2957" w14:paraId="7807F099" w14:textId="77777777" w:rsidTr="00D94ED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562DDF" w14:textId="77777777"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2A97A2" w14:textId="77777777" w:rsidR="001441E9" w:rsidRPr="004B2957" w:rsidRDefault="009038FB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63A61A1C" w14:textId="77777777"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678"/>
        <w:gridCol w:w="2296"/>
      </w:tblGrid>
      <w:tr w:rsidR="0088102A" w:rsidRPr="00C81FA7" w14:paraId="0863A5DE" w14:textId="77777777" w:rsidTr="00DC67F1">
        <w:trPr>
          <w:trHeight w:hRule="exact" w:val="284"/>
        </w:trPr>
        <w:tc>
          <w:tcPr>
            <w:tcW w:w="209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44A02D" w14:textId="77777777" w:rsidR="0088102A" w:rsidRPr="00C81FA7" w:rsidRDefault="0088102A" w:rsidP="0088102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CFCA" w14:textId="6E3A80E3" w:rsidR="0088102A" w:rsidRPr="00492F35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Lucia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4D5286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8102A" w:rsidRPr="00C81FA7" w14:paraId="71A9FB66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1DED830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89F87" w14:textId="5FE878C0" w:rsidR="0088102A" w:rsidRPr="00492F35" w:rsidRDefault="00CE435F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88102A"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ACBBB7" w14:textId="3FBCFD81" w:rsidR="0088102A" w:rsidRPr="00C81FA7" w:rsidRDefault="00CE435F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5599EE4D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E606F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6636DA" w14:textId="6CF39062" w:rsidR="0088102A" w:rsidRPr="00492F35" w:rsidRDefault="00DC27DB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88102A"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30955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69285B6D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D57D372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577D39" w14:textId="2D4B0508" w:rsidR="0088102A" w:rsidRPr="00492F35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BF87B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5A27D101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C484F25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12386" w14:textId="320CE23E" w:rsidR="0088102A" w:rsidRPr="00492F35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C806D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71C97E71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489F36C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4C4AD3" w14:textId="3350324D" w:rsidR="0088102A" w:rsidRPr="00492F35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DF83A1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27DB" w:rsidRPr="00C81FA7" w14:paraId="01C97EE4" w14:textId="77777777" w:rsidTr="00DC67F1">
        <w:trPr>
          <w:trHeight w:hRule="exact" w:val="284"/>
        </w:trPr>
        <w:tc>
          <w:tcPr>
            <w:tcW w:w="209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04B5C7" w14:textId="77777777" w:rsidR="00DC27DB" w:rsidRPr="00C81FA7" w:rsidRDefault="00DC27DB" w:rsidP="001F3AF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BE6F89" w14:textId="5BFA947F" w:rsidR="00DC27DB" w:rsidRPr="00C81FA7" w:rsidRDefault="00DC27DB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  <w:tr w:rsidR="00DC27DB" w:rsidRPr="00C81FA7" w14:paraId="4E185BE8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1BACDF" w14:textId="77777777" w:rsidR="00DC27DB" w:rsidRPr="00C81FA7" w:rsidRDefault="00DC27DB" w:rsidP="001F3AF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C3AEDE" w14:textId="01D8AC1A" w:rsidR="00DC27DB" w:rsidRPr="00B905BA" w:rsidRDefault="00DC27DB" w:rsidP="009D5982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14:paraId="2A159313" w14:textId="77777777" w:rsidR="001441E9" w:rsidRDefault="001441E9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377"/>
        <w:gridCol w:w="6695"/>
      </w:tblGrid>
      <w:tr w:rsidR="001F3AF0" w14:paraId="67814B8D" w14:textId="77777777" w:rsidTr="00DC67F1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B80AC1" w14:textId="7003C9A3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88102A">
              <w:rPr>
                <w:rFonts w:ascii="Times New Roman" w:hAnsi="Times New Roman"/>
                <w:b/>
                <w:sz w:val="22"/>
                <w:szCs w:val="22"/>
              </w:rPr>
              <w:t>93ª Reunião Ordinária</w:t>
            </w:r>
          </w:p>
        </w:tc>
      </w:tr>
      <w:tr w:rsidR="001F3AF0" w14:paraId="310C2685" w14:textId="77777777" w:rsidTr="00DC67F1">
        <w:tc>
          <w:tcPr>
            <w:tcW w:w="23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3C5E53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4FB8AE4" w14:textId="15323361" w:rsidR="001F3AF0" w:rsidRDefault="0088102A" w:rsidP="00EC04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3A2E800D" w14:textId="77777777" w:rsidR="001F3AF0" w:rsidRDefault="001F3AF0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377"/>
        <w:gridCol w:w="6695"/>
      </w:tblGrid>
      <w:tr w:rsidR="001F3AF0" w14:paraId="25F7F489" w14:textId="77777777" w:rsidTr="00DC67F1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F3545B" w14:textId="77777777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14:paraId="3A1B3EA3" w14:textId="77777777" w:rsidTr="00DC67F1">
        <w:tc>
          <w:tcPr>
            <w:tcW w:w="23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6CFE91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46ECF80" w14:textId="6218F575" w:rsidR="001F3AF0" w:rsidRPr="0088102A" w:rsidRDefault="001D4E1D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D4E1D">
              <w:rPr>
                <w:rFonts w:ascii="Times New Roman" w:hAnsi="Times New Roman"/>
                <w:sz w:val="22"/>
                <w:szCs w:val="22"/>
              </w:rPr>
              <w:t>Andrea Vilella</w:t>
            </w:r>
          </w:p>
        </w:tc>
      </w:tr>
      <w:tr w:rsidR="001F3AF0" w14:paraId="4CE42538" w14:textId="77777777" w:rsidTr="00DC67F1">
        <w:tc>
          <w:tcPr>
            <w:tcW w:w="23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3EC496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08925E" w14:textId="07FC8445" w:rsidR="001F3AF0" w:rsidRPr="0088102A" w:rsidRDefault="00825F01" w:rsidP="00825F01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 sobre c</w:t>
            </w:r>
            <w:r w:rsidR="001D4E1D" w:rsidRPr="001D4E1D">
              <w:rPr>
                <w:rFonts w:ascii="Times New Roman" w:hAnsi="Times New Roman"/>
                <w:sz w:val="22"/>
                <w:szCs w:val="22"/>
              </w:rPr>
              <w:t>onvite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participação e fala em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1D4E1D">
              <w:rPr>
                <w:rFonts w:ascii="Times New Roman" w:hAnsi="Times New Roman"/>
                <w:sz w:val="22"/>
                <w:szCs w:val="22"/>
              </w:rPr>
              <w:t>ebnário</w:t>
            </w:r>
            <w:proofErr w:type="spellEnd"/>
            <w:r w:rsidR="001D4E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promovido pela Associação Brasileira de Ensino de Arquitetura</w:t>
            </w:r>
            <w:r w:rsidR="0035032F">
              <w:rPr>
                <w:rFonts w:ascii="Times New Roman" w:hAnsi="Times New Roman"/>
                <w:sz w:val="22"/>
                <w:szCs w:val="22"/>
              </w:rPr>
              <w:t xml:space="preserve"> e Urbanismo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D4E1D" w:rsidRPr="001D4E1D">
              <w:rPr>
                <w:rFonts w:ascii="Times New Roman" w:hAnsi="Times New Roman"/>
                <w:sz w:val="22"/>
                <w:szCs w:val="22"/>
              </w:rPr>
              <w:t>Abea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1D4E1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próximo </w:t>
            </w:r>
            <w:r w:rsidR="001D4E1D">
              <w:rPr>
                <w:rFonts w:ascii="Times New Roman" w:hAnsi="Times New Roman"/>
                <w:sz w:val="22"/>
                <w:szCs w:val="22"/>
              </w:rPr>
              <w:t>dia 16 de junho às 17:30</w:t>
            </w:r>
            <w:r w:rsidR="007511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774C5F5" w14:textId="77777777" w:rsidR="001F3AF0" w:rsidRDefault="001F3AF0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5DB486F" w14:textId="77777777" w:rsidR="001F3AF0" w:rsidRPr="009E14EA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3EF8CA07" w14:textId="7760FA8D" w:rsidR="0088102A" w:rsidRDefault="0088102A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0F163C" w:rsidRPr="00BE7BD3" w14:paraId="3C7F4348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D94AC2" w14:textId="77777777" w:rsidR="000F163C" w:rsidRPr="00BE7BD3" w:rsidRDefault="000F163C" w:rsidP="000014D3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15C04D" w14:textId="77777777" w:rsidR="000F163C" w:rsidRPr="000017F1" w:rsidRDefault="000F163C" w:rsidP="000014D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>Protocolo nº 1047902/2020 Projeto de Resolução que dispõe sobre concessão e alteração de registro de arquiteto e urbanista no CAU, sobre registro de título complementar, e dá outras providências</w:t>
            </w:r>
          </w:p>
        </w:tc>
      </w:tr>
      <w:tr w:rsidR="000F163C" w:rsidRPr="00BE7BD3" w14:paraId="748D6DDD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44FDFD" w14:textId="77777777" w:rsidR="000F163C" w:rsidRPr="00BE7BD3" w:rsidRDefault="000F163C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D0D522" w14:textId="77777777" w:rsidR="000F163C" w:rsidRPr="00BE7BD3" w:rsidRDefault="000F163C" w:rsidP="000014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CTR-CAU/BR </w:t>
            </w:r>
          </w:p>
        </w:tc>
      </w:tr>
      <w:tr w:rsidR="000F163C" w:rsidRPr="00BE7BD3" w14:paraId="79766B8E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BCA26E" w14:textId="77777777" w:rsidR="000F163C" w:rsidRPr="00BE7BD3" w:rsidRDefault="000F163C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B04C93" w14:textId="77777777" w:rsidR="000F163C" w:rsidRPr="00BE7BD3" w:rsidRDefault="000F163C" w:rsidP="000014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</w:tr>
      <w:tr w:rsidR="000F163C" w:rsidRPr="00BE7BD3" w14:paraId="5F1BEDB3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0923B7" w14:textId="77777777" w:rsidR="000F163C" w:rsidRPr="00BE7BD3" w:rsidRDefault="000F163C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8D3F95" w14:textId="77777777" w:rsidR="000F163C" w:rsidRDefault="00E97AB9" w:rsidP="009571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0E5438D3" w14:textId="77777777" w:rsidR="009571E9" w:rsidRPr="009571E9" w:rsidRDefault="009571E9" w:rsidP="009571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71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1 - Aprovar os Capítulos I, II, III, IV, V e IX do Projeto de Resolução que dispõe sobre concessão e alteração de registro de arquiteto e urbanista no CAU, sobre registro de título complementar, e dá outras providências.</w:t>
            </w:r>
          </w:p>
          <w:p w14:paraId="2CAC0A82" w14:textId="5014ADF3" w:rsidR="00E97AB9" w:rsidRDefault="009571E9" w:rsidP="009571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71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2 - Encaminhar a presente deliberação à Secretaria Geral da Mesa para conhecimento, remessa à Assessoria Jurídica e posterior encaminhamento à Presidência do CAU/BR, para as devidas providências.</w:t>
            </w:r>
          </w:p>
        </w:tc>
      </w:tr>
    </w:tbl>
    <w:p w14:paraId="62E68716" w14:textId="77777777" w:rsidR="000F163C" w:rsidRDefault="000F163C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8102A" w:rsidRPr="00BE7BD3" w14:paraId="626B5A12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4AD965" w14:textId="77777777" w:rsidR="0088102A" w:rsidRPr="00BE7BD3" w:rsidRDefault="0088102A" w:rsidP="0088102A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82C277" w14:textId="02D98EF2" w:rsidR="0088102A" w:rsidRPr="000017F1" w:rsidRDefault="0088102A" w:rsidP="00C810D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>Registro profissiona</w:t>
            </w:r>
            <w:r w:rsidR="00391705">
              <w:rPr>
                <w:rFonts w:ascii="Times New Roman" w:hAnsi="Times New Roman"/>
                <w:bCs/>
                <w:sz w:val="22"/>
                <w:szCs w:val="22"/>
              </w:rPr>
              <w:t>l</w:t>
            </w: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91705">
              <w:rPr>
                <w:rFonts w:ascii="Times New Roman" w:hAnsi="Times New Roman"/>
                <w:bCs/>
                <w:sz w:val="22"/>
                <w:szCs w:val="22"/>
              </w:rPr>
              <w:t xml:space="preserve">de </w:t>
            </w: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>diplomad</w:t>
            </w:r>
            <w:r w:rsidR="00391705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 xml:space="preserve"> no exterior</w:t>
            </w:r>
          </w:p>
        </w:tc>
      </w:tr>
      <w:tr w:rsidR="0088102A" w:rsidRPr="00BE7BD3" w14:paraId="076C6775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B54B5" w14:textId="77777777" w:rsidR="0088102A" w:rsidRPr="00BE7BD3" w:rsidRDefault="0088102A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9D7A5E" w14:textId="4CD61914" w:rsidR="0088102A" w:rsidRPr="00BE7BD3" w:rsidRDefault="0088102A" w:rsidP="00C810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88102A" w:rsidRPr="00BE7BD3" w14:paraId="2DB23CD1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C997FE" w14:textId="77777777" w:rsidR="0088102A" w:rsidRPr="00BE7BD3" w:rsidRDefault="0088102A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D8D6B9" w14:textId="77777777" w:rsidR="0088102A" w:rsidRPr="00BE7BD3" w:rsidRDefault="0088102A" w:rsidP="00C810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C0AE3" w:rsidRPr="00BE7BD3" w14:paraId="652D1252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0C06DE" w14:textId="0D24B0C7" w:rsidR="000C0AE3" w:rsidRPr="00BE7BD3" w:rsidRDefault="000C0AE3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169A8F" w14:textId="77777777" w:rsidR="000C0AE3" w:rsidRDefault="00E97AB9" w:rsidP="00C810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1B1706A0" w14:textId="5BC7E949" w:rsidR="00825F01" w:rsidRPr="00825F01" w:rsidRDefault="00825F01" w:rsidP="00E04658">
            <w:pPr>
              <w:pStyle w:val="PargrafodaLista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color w:val="ED7D31" w:themeColor="accent2"/>
                <w:sz w:val="22"/>
                <w:szCs w:val="22"/>
              </w:rPr>
            </w:pPr>
            <w:r w:rsidRPr="00825F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Deferir o requerimento de registro definitivo </w:t>
            </w:r>
            <w:r w:rsidR="004512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</w:t>
            </w:r>
            <w:r w:rsidRPr="00825F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Angélica </w:t>
            </w:r>
            <w:proofErr w:type="spellStart"/>
            <w:r w:rsidRPr="00825F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Manfredini</w:t>
            </w:r>
            <w:proofErr w:type="spellEnd"/>
            <w:r w:rsidRPr="00825F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Pr="0082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nos termos da Resolução</w:t>
            </w:r>
            <w:r w:rsidRPr="00825F0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posteriores:</w:t>
            </w:r>
          </w:p>
          <w:tbl>
            <w:tblPr>
              <w:tblW w:w="65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992"/>
              <w:gridCol w:w="850"/>
              <w:gridCol w:w="1134"/>
              <w:gridCol w:w="1276"/>
              <w:gridCol w:w="925"/>
            </w:tblGrid>
            <w:tr w:rsidR="00D1259C" w:rsidRPr="00AF1A7C" w14:paraId="24BE1B4B" w14:textId="77777777" w:rsidTr="00825F01">
              <w:trPr>
                <w:trHeight w:val="321"/>
                <w:tblHeader/>
                <w:jc w:val="center"/>
              </w:trPr>
              <w:tc>
                <w:tcPr>
                  <w:tcW w:w="13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7AEE7EE7" w14:textId="77777777" w:rsidR="00D1259C" w:rsidRPr="00AF1A7C" w:rsidRDefault="00D1259C" w:rsidP="00D1259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A8765D8" w14:textId="77777777" w:rsidR="00D1259C" w:rsidRPr="00AF1A7C" w:rsidRDefault="00D1259C" w:rsidP="00D1259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75AE81C" w14:textId="77777777" w:rsidR="00D1259C" w:rsidRPr="00AF1A7C" w:rsidRDefault="00D1259C" w:rsidP="00D1259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5874F70" w14:textId="77777777" w:rsidR="00D1259C" w:rsidRPr="00AF1A7C" w:rsidRDefault="00D1259C" w:rsidP="00D1259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2FF70A7" w14:textId="77777777" w:rsidR="00D1259C" w:rsidRPr="00AF1A7C" w:rsidRDefault="00D1259C" w:rsidP="00D1259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C917EE5" w14:textId="4C76DC3B" w:rsidR="00D1259C" w:rsidRPr="00AF1A7C" w:rsidRDefault="00D1259C" w:rsidP="00D1259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825F01"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Data </w:t>
                  </w:r>
                  <w:r w:rsidR="0045122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exp. </w:t>
                  </w:r>
                  <w:r w:rsidR="00825F01"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RNE</w:t>
                  </w:r>
                </w:p>
              </w:tc>
            </w:tr>
            <w:tr w:rsidR="00825F01" w:rsidRPr="00AF1A7C" w14:paraId="208423D9" w14:textId="77777777" w:rsidTr="00825F01">
              <w:trPr>
                <w:trHeight w:val="423"/>
                <w:jc w:val="center"/>
              </w:trPr>
              <w:tc>
                <w:tcPr>
                  <w:tcW w:w="13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C29C8B7" w14:textId="7BFDADD7" w:rsidR="00825F01" w:rsidRPr="00AF1A7C" w:rsidRDefault="00825F01" w:rsidP="00825F0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64418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Angélica </w:t>
                  </w:r>
                  <w:proofErr w:type="spellStart"/>
                  <w:r w:rsidRPr="0064418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Manfredini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A05DE5C" w14:textId="29B82BFD" w:rsidR="00825F01" w:rsidRPr="00AF1A7C" w:rsidRDefault="00825F01" w:rsidP="00825F0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304D02" w14:textId="3107319B" w:rsidR="00825F01" w:rsidRPr="00AF1A7C" w:rsidRDefault="00825F01" w:rsidP="00825F0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Itália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E071A8C" w14:textId="7C06D4B5" w:rsidR="00825F01" w:rsidRPr="00AF1A7C" w:rsidRDefault="00825F01" w:rsidP="00825F0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64418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Politecnico</w:t>
                  </w:r>
                  <w:proofErr w:type="spellEnd"/>
                  <w:r w:rsidRPr="0064418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64418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di</w:t>
                  </w:r>
                  <w:proofErr w:type="spellEnd"/>
                  <w:r w:rsidRPr="0064418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Torino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1923803" w14:textId="2D1B2173" w:rsidR="00825F01" w:rsidRPr="00AF1A7C" w:rsidRDefault="00825F01" w:rsidP="00825F0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92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217BAC0D" w14:textId="4B9B924F" w:rsidR="00825F01" w:rsidRPr="00AF1A7C" w:rsidRDefault="00825F01" w:rsidP="00825F0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brasileira</w:t>
                  </w:r>
                </w:p>
              </w:tc>
            </w:tr>
          </w:tbl>
          <w:p w14:paraId="047059AE" w14:textId="3C182D2F" w:rsidR="00D1259C" w:rsidRPr="00823F09" w:rsidRDefault="00D1259C" w:rsidP="00C810D2">
            <w:pPr>
              <w:rPr>
                <w:rFonts w:ascii="Times New Roman" w:hAnsi="Times New Roman"/>
                <w:color w:val="ED7D31" w:themeColor="accent2"/>
                <w:sz w:val="22"/>
                <w:szCs w:val="22"/>
              </w:rPr>
            </w:pPr>
          </w:p>
        </w:tc>
      </w:tr>
      <w:tr w:rsidR="0088102A" w:rsidRPr="00BE7BD3" w14:paraId="776127DD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5C5CD1" w14:textId="77777777" w:rsidR="0088102A" w:rsidRPr="00BE7BD3" w:rsidRDefault="0088102A" w:rsidP="0088102A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619A16" w14:textId="29E196F7" w:rsidR="0088102A" w:rsidRPr="000017F1" w:rsidRDefault="0088102A" w:rsidP="00C810D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>Protocolo nº 1077514/2020 - Encaminha Manifestação Jurídica nº 034/2020 que dispõe sobre registro profissional para interessado(a) possuidor(a) de nome social</w:t>
            </w:r>
          </w:p>
        </w:tc>
      </w:tr>
      <w:tr w:rsidR="0088102A" w:rsidRPr="00BE7BD3" w14:paraId="56546FEA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433C73" w14:textId="77777777" w:rsidR="0088102A" w:rsidRPr="00BE7BD3" w:rsidRDefault="0088102A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72E8A8" w14:textId="77777777" w:rsidR="0088102A" w:rsidRPr="00BE7BD3" w:rsidRDefault="0088102A" w:rsidP="00C810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88102A" w:rsidRPr="00BE7BD3" w14:paraId="07B42761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5639A8" w14:textId="77777777" w:rsidR="0088102A" w:rsidRPr="00BE7BD3" w:rsidRDefault="0088102A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EE86C0" w14:textId="77777777" w:rsidR="0088102A" w:rsidRPr="00BE7BD3" w:rsidRDefault="0088102A" w:rsidP="00C810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C0AE3" w:rsidRPr="00BE7BD3" w14:paraId="3D07E934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C29042" w14:textId="738A3353" w:rsidR="000C0AE3" w:rsidRPr="00BE7BD3" w:rsidRDefault="000C0AE3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252BA3" w14:textId="6E77868D" w:rsidR="000C0AE3" w:rsidRPr="00E97AB9" w:rsidRDefault="00823F09" w:rsidP="00E97A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7AB9">
              <w:rPr>
                <w:rFonts w:ascii="Times New Roman" w:hAnsi="Times New Roman"/>
                <w:sz w:val="22"/>
                <w:szCs w:val="22"/>
              </w:rPr>
              <w:t>En</w:t>
            </w:r>
            <w:r w:rsidR="00751150">
              <w:rPr>
                <w:rFonts w:ascii="Times New Roman" w:hAnsi="Times New Roman"/>
                <w:sz w:val="22"/>
                <w:szCs w:val="22"/>
              </w:rPr>
              <w:t>viar</w:t>
            </w:r>
            <w:r w:rsidRPr="00E97A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 xml:space="preserve">a referida manifestação à Assessoria Jurídica do CAU/BR para orientações e definições quanto ao que 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pode ser 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 xml:space="preserve">de fato considerado nome social conforme ordenamento jurídico vigente, </w:t>
            </w:r>
            <w:r w:rsidR="00751150">
              <w:rPr>
                <w:rFonts w:ascii="Times New Roman" w:hAnsi="Times New Roman"/>
                <w:sz w:val="22"/>
                <w:szCs w:val="22"/>
              </w:rPr>
              <w:t>posto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 xml:space="preserve"> que muitos profissionais almejam inserir apelidos ou </w:t>
            </w:r>
            <w:r w:rsidR="00E97AB9" w:rsidRPr="00E97AB9">
              <w:rPr>
                <w:rFonts w:ascii="Times New Roman" w:hAnsi="Times New Roman"/>
                <w:sz w:val="22"/>
                <w:szCs w:val="22"/>
              </w:rPr>
              <w:t>nomes de representação</w:t>
            </w:r>
            <w:r w:rsidR="004512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em seu cadastro </w:t>
            </w:r>
            <w:r w:rsidR="0045122B">
              <w:rPr>
                <w:rFonts w:ascii="Times New Roman" w:hAnsi="Times New Roman"/>
                <w:sz w:val="22"/>
                <w:szCs w:val="22"/>
              </w:rPr>
              <w:t xml:space="preserve">no sistema. 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emissão da 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>orientação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 solicitada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97AB9" w:rsidRPr="00E97AB9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>Instruções Normativas (</w:t>
            </w:r>
            <w:r w:rsidR="00C14496" w:rsidRPr="00E97AB9">
              <w:rPr>
                <w:rFonts w:ascii="Times New Roman" w:hAnsi="Times New Roman"/>
                <w:sz w:val="22"/>
                <w:szCs w:val="22"/>
              </w:rPr>
              <w:t>IN</w:t>
            </w:r>
            <w:r w:rsidR="000F163C" w:rsidRPr="00E97AB9">
              <w:rPr>
                <w:rFonts w:ascii="Times New Roman" w:hAnsi="Times New Roman"/>
                <w:sz w:val="22"/>
                <w:szCs w:val="22"/>
              </w:rPr>
              <w:t>-CTN)</w:t>
            </w:r>
            <w:r w:rsidR="00C14496" w:rsidRPr="00E97AB9">
              <w:rPr>
                <w:rFonts w:ascii="Times New Roman" w:hAnsi="Times New Roman"/>
                <w:sz w:val="22"/>
                <w:szCs w:val="22"/>
              </w:rPr>
              <w:t xml:space="preserve"> 001 a 005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 deverão ser atualizadas.</w:t>
            </w:r>
          </w:p>
        </w:tc>
      </w:tr>
    </w:tbl>
    <w:p w14:paraId="25577BDD" w14:textId="77777777" w:rsidR="0088102A" w:rsidRDefault="0088102A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8102A" w:rsidRPr="00BE7BD3" w14:paraId="108552AE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378A62" w14:textId="77777777" w:rsidR="0088102A" w:rsidRPr="00BE7BD3" w:rsidRDefault="0088102A" w:rsidP="0088102A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C48DEA" w14:textId="4E69575F" w:rsidR="0088102A" w:rsidRPr="000017F1" w:rsidRDefault="0088102A" w:rsidP="00C810D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 xml:space="preserve">Protocolo nº 1100750/2020 - Deliberação nº 09/2020_CEFEP-CAU/AM que solicita orientações quanto ao correto preenchimento dos campos </w:t>
            </w:r>
            <w:r w:rsidRPr="000017F1">
              <w:rPr>
                <w:rFonts w:ascii="Times New Roman" w:hAnsi="Times New Roman"/>
                <w:bCs/>
                <w:smallCaps/>
                <w:sz w:val="22"/>
                <w:szCs w:val="22"/>
              </w:rPr>
              <w:t>área, grande área, linha de pesquisa e curso/</w:t>
            </w:r>
            <w:proofErr w:type="spellStart"/>
            <w:r w:rsidRPr="000017F1">
              <w:rPr>
                <w:rFonts w:ascii="Times New Roman" w:hAnsi="Times New Roman"/>
                <w:bCs/>
                <w:smallCaps/>
                <w:sz w:val="22"/>
                <w:szCs w:val="22"/>
              </w:rPr>
              <w:t>tcc</w:t>
            </w:r>
            <w:proofErr w:type="spellEnd"/>
            <w:r w:rsidRPr="000017F1">
              <w:rPr>
                <w:rFonts w:ascii="Times New Roman" w:hAnsi="Times New Roman"/>
                <w:bCs/>
                <w:smallCaps/>
                <w:sz w:val="22"/>
                <w:szCs w:val="22"/>
              </w:rPr>
              <w:t xml:space="preserve">, </w:t>
            </w: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>nas solicitações de anotação de cursos de pós-graduação, uma vez que essas informações não constam dos diplomas</w:t>
            </w:r>
          </w:p>
        </w:tc>
      </w:tr>
      <w:tr w:rsidR="0088102A" w:rsidRPr="00BE7BD3" w14:paraId="71F34591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C19CAC" w14:textId="77777777" w:rsidR="0088102A" w:rsidRPr="00BE7BD3" w:rsidRDefault="0088102A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A46CEB" w14:textId="77777777" w:rsidR="0088102A" w:rsidRPr="00BE7BD3" w:rsidRDefault="0088102A" w:rsidP="00C810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CAU/AM</w:t>
            </w:r>
          </w:p>
        </w:tc>
      </w:tr>
      <w:tr w:rsidR="0088102A" w:rsidRPr="00BE7BD3" w14:paraId="7F59F8F8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C0AF7C" w14:textId="77777777" w:rsidR="0088102A" w:rsidRPr="00BE7BD3" w:rsidRDefault="0088102A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18D96D" w14:textId="77777777" w:rsidR="0088102A" w:rsidRPr="00BE7BD3" w:rsidRDefault="0088102A" w:rsidP="00C810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C0AE3" w:rsidRPr="00BE7BD3" w14:paraId="6E7DCD4E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7CF77F" w14:textId="6B3A0CFD" w:rsidR="000C0AE3" w:rsidRPr="00BE7BD3" w:rsidRDefault="000C0AE3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2F9BED" w14:textId="7355F710" w:rsidR="000C0AE3" w:rsidRPr="0045122B" w:rsidRDefault="00C14496" w:rsidP="00C810D2">
            <w:pPr>
              <w:rPr>
                <w:rFonts w:ascii="Times New Roman" w:hAnsi="Times New Roman"/>
                <w:sz w:val="22"/>
                <w:szCs w:val="22"/>
              </w:rPr>
            </w:pPr>
            <w:r w:rsidRPr="0045122B"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 w:rsidR="00751150" w:rsidRPr="0045122B">
              <w:rPr>
                <w:rFonts w:ascii="Times New Roman" w:hAnsi="Times New Roman"/>
                <w:sz w:val="22"/>
                <w:szCs w:val="22"/>
              </w:rPr>
              <w:t>Deliberação 086/2019_CEF-CAU/BR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751150" w:rsidRPr="004512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122B">
              <w:rPr>
                <w:rFonts w:ascii="Times New Roman" w:hAnsi="Times New Roman"/>
                <w:sz w:val="22"/>
                <w:szCs w:val="22"/>
              </w:rPr>
              <w:t>Parecer 004/2019</w:t>
            </w:r>
            <w:r w:rsidR="0045122B" w:rsidRPr="004512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9B14226" w14:textId="77777777" w:rsidR="0088102A" w:rsidRDefault="0088102A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B6792B" w:rsidRPr="00BE7BD3" w14:paraId="5214FB70" w14:textId="77777777" w:rsidTr="00D162B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389EA9" w14:textId="77777777" w:rsidR="00B6792B" w:rsidRPr="00BE7BD3" w:rsidRDefault="00B6792B" w:rsidP="00D162B9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2BA2E6" w14:textId="77777777" w:rsidR="00B6792B" w:rsidRPr="000017F1" w:rsidRDefault="00B6792B" w:rsidP="00D162B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7F1">
              <w:rPr>
                <w:rFonts w:ascii="Times New Roman" w:hAnsi="Times New Roman"/>
                <w:bCs/>
                <w:sz w:val="22"/>
                <w:szCs w:val="22"/>
              </w:rPr>
              <w:t>Cálculos de Tempestividade e Atualização do Cadastro de Cursos</w:t>
            </w:r>
          </w:p>
        </w:tc>
      </w:tr>
      <w:tr w:rsidR="00B6792B" w:rsidRPr="00BE7BD3" w14:paraId="3BF47ACE" w14:textId="77777777" w:rsidTr="00D162B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FEE623" w14:textId="77777777" w:rsidR="00B6792B" w:rsidRPr="00BE7BD3" w:rsidRDefault="00B6792B" w:rsidP="00D162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CF7627" w14:textId="77777777" w:rsidR="00B6792B" w:rsidRPr="00BE7BD3" w:rsidRDefault="00B6792B" w:rsidP="00D162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CAU/UF, IES</w:t>
            </w:r>
          </w:p>
        </w:tc>
      </w:tr>
      <w:tr w:rsidR="00B6792B" w:rsidRPr="00BE7BD3" w14:paraId="36BEF242" w14:textId="77777777" w:rsidTr="00D162B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17F300" w14:textId="77777777" w:rsidR="00B6792B" w:rsidRPr="00BE7BD3" w:rsidRDefault="00B6792B" w:rsidP="00D162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D20964" w14:textId="77777777" w:rsidR="00B6792B" w:rsidRPr="00BE7BD3" w:rsidRDefault="00B6792B" w:rsidP="00D162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:rsidRPr="00BE7BD3" w14:paraId="14D04CBC" w14:textId="77777777" w:rsidTr="00D162B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6098E7" w14:textId="77777777" w:rsidR="0045122B" w:rsidRPr="00BE7BD3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F21EC7" w14:textId="4A7B6D6E" w:rsidR="0045122B" w:rsidRDefault="0045122B" w:rsidP="004512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2C93AE75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Informar que, conforme legislação vigente, poderão ser registrados os egressos de cursos de graduação em Arquitetura e Urbanismo que tenham portaria de reconhecimento do curso publicada ou protocolo do pedido de reconhecimento da CEF-CAU/BR com resultado tempestivo, e que estejam em dia com as renovações de reconhecimento;</w:t>
            </w:r>
          </w:p>
          <w:p w14:paraId="38988324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Nos casos de cálculo de prazo para protocolo do pedido de reconhecimento intempestivo, autorizar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IES;</w:t>
            </w:r>
          </w:p>
          <w:p w14:paraId="4DEBBE3D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14:paraId="67EE12E8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Orientar aos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33584BF0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Aprovar as inclusões e alterações no cadastro de cursos de Arquitetura e Urbanismo conforme tabela constante do Anexo II desta deliberação;</w:t>
            </w:r>
          </w:p>
          <w:p w14:paraId="5D66011D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2D45A7F4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 xml:space="preserve">Encaminhar a presente deliberação à Presidência do CAU/BR para conhecimento e seguintes providências: </w:t>
            </w:r>
          </w:p>
          <w:p w14:paraId="6448FD20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Informar às Presidências e às comissões permanentes que tratam de ensino e formação dos CAU/UF acerca do conteúdo desta deliberação.</w:t>
            </w:r>
          </w:p>
          <w:p w14:paraId="5F23AB62" w14:textId="77777777" w:rsidR="0045122B" w:rsidRPr="00F63B04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lastRenderedPageBreak/>
              <w:t>7.2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Encaminhar ofícios às Procuradorias Institucionais das IES cujos resultados para protocolos de reconhecimento dos cursos foram intempestivos.</w:t>
            </w:r>
          </w:p>
          <w:p w14:paraId="7672CAFB" w14:textId="77777777" w:rsidR="0045122B" w:rsidRDefault="0045122B" w:rsidP="00451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7.3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Encaminhar ofício à SERES/MEC solicitando verificação do resultado do cálculo de tempestividade efetuado pela CEF-CAU/BR para protocolos de reconhecimento com resultado intempestivo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7255">
              <w:rPr>
                <w:rFonts w:ascii="Times New Roman" w:hAnsi="Times New Roman"/>
                <w:sz w:val="22"/>
                <w:szCs w:val="22"/>
              </w:rPr>
              <w:t>ou que apresentam divergências nas informações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apresentadas no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F63B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2D6C855" w14:textId="4B951B27" w:rsidR="0045122B" w:rsidRDefault="0045122B" w:rsidP="00451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*Para lista de cursos, conferir Anexos I e II da Deliberação nº 027/2020.</w:t>
            </w:r>
          </w:p>
        </w:tc>
      </w:tr>
    </w:tbl>
    <w:p w14:paraId="120DCE1D" w14:textId="77777777" w:rsidR="00B6792B" w:rsidRDefault="00B6792B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1937D25" w14:textId="0F1C7589" w:rsidR="001F3AF0" w:rsidRPr="009E14EA" w:rsidRDefault="001F3AF0" w:rsidP="000C0AE3">
      <w:pPr>
        <w:shd w:val="clear" w:color="auto" w:fill="D9D9D9"/>
        <w:ind w:left="142" w:hanging="142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14:paraId="0234BA21" w14:textId="77777777" w:rsidR="001F3AF0" w:rsidRDefault="001F3AF0" w:rsidP="001F3AF0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45122B" w14:paraId="10855378" w14:textId="77777777" w:rsidTr="0045122B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D5349E" w14:textId="26FA0EB6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5066D1" w14:textId="60D228DD" w:rsidR="0045122B" w:rsidRPr="00B6792B" w:rsidRDefault="0045122B" w:rsidP="0045122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7061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rientações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acerca do </w:t>
            </w:r>
            <w:r w:rsidRPr="007061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Cadastro de Cursos de Arquitetura e Urbanismo </w:t>
            </w:r>
            <w:r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>para compo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sição d</w:t>
            </w:r>
            <w:r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colégio eleitoral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Pr="007061D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eleição dos conselheiros representantes 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Instituições de Ensino Superior (IES).</w:t>
            </w:r>
          </w:p>
        </w:tc>
      </w:tr>
      <w:tr w:rsidR="0045122B" w14:paraId="5240C5C2" w14:textId="77777777" w:rsidTr="0045122B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DFD9AA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AE3C01" w14:textId="536E6E2A" w:rsidR="0045122B" w:rsidRDefault="0045122B" w:rsidP="00451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3432E72E" w14:textId="77777777" w:rsidTr="0045122B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EF83B0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49BB31C" w14:textId="4E852B48" w:rsidR="0045122B" w:rsidRDefault="0045122B" w:rsidP="00451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081CAC0B" w14:textId="77777777" w:rsidTr="004B7846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DB976B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6FC26D" w14:textId="492699CC" w:rsidR="004B7846" w:rsidRDefault="004B7846" w:rsidP="004B784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78CA59FB" w14:textId="4B807AC2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1.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Informar aos CAU/UF que, conforme a Resolução CAU/BR nº 179, de 22 de agosto de 2019, e a Deliberação Plenária DPOBR Nº 0094-09/2019, o prazo final para recebimento de atualizações de coordenadores no SICCAU a serem considerados para composição do colégio eleitoral da Eleição dos Conselheiros Representantes das IES de Arquitetura e Urbanismo é o dia 17 de junho de 2020;</w:t>
            </w:r>
          </w:p>
          <w:p w14:paraId="05EAF8C2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2.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 xml:space="preserve">Esclarecer aos CAU/UF que, conforme a </w:t>
            </w:r>
            <w:proofErr w:type="spellStart"/>
            <w:r w:rsidRPr="004B7846">
              <w:rPr>
                <w:rFonts w:ascii="Times New Roman" w:hAnsi="Times New Roman"/>
                <w:sz w:val="22"/>
                <w:szCs w:val="22"/>
              </w:rPr>
              <w:t>retromencionada</w:t>
            </w:r>
            <w:proofErr w:type="spellEnd"/>
            <w:r w:rsidRPr="004B7846">
              <w:rPr>
                <w:rFonts w:ascii="Times New Roman" w:hAnsi="Times New Roman"/>
                <w:sz w:val="22"/>
                <w:szCs w:val="22"/>
              </w:rPr>
              <w:t xml:space="preserve"> resolução e a Deliberação Plenária DPOBR Nº 0094-09/2019, somente serão considerados para compor o colégio eleitoral da Eleição dos Conselheiros Representantes das IES de Arquitetura e Urbanismo os coordenadores que atenderem SIMULTANEAMENTE:</w:t>
            </w:r>
          </w:p>
          <w:p w14:paraId="2255E6A5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a)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Constar como coordenador cadastrado junto ao respectivo curso no SICCAU, ou que tenham pedido de alteração efetuado pelo CAU/UF nos termos do item 3 até o dia 17/06/2020;</w:t>
            </w:r>
          </w:p>
          <w:p w14:paraId="547E1C4F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b)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 xml:space="preserve"> Constar como coordenador junto ao respectivo curso no </w:t>
            </w:r>
            <w:proofErr w:type="spellStart"/>
            <w:r w:rsidRPr="004B784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4B7846">
              <w:rPr>
                <w:rFonts w:ascii="Times New Roman" w:hAnsi="Times New Roman"/>
                <w:sz w:val="22"/>
                <w:szCs w:val="22"/>
              </w:rPr>
              <w:t xml:space="preserve"> no dia 17/06/2020;</w:t>
            </w:r>
          </w:p>
          <w:p w14:paraId="0510F0C6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3.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Orientar aos CAU/UF que, identificadas divergências entre os dados do item 2, os CAU/UF poderão enviar para a CEF-CAU/BR até o dia 17/06/2020, pelo e-mail cef@caubr.gov.br, os dados para atualização de coordenador de curso, informando OBRIGATORIAMENTE:</w:t>
            </w:r>
          </w:p>
          <w:p w14:paraId="75F188E2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a)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 xml:space="preserve">Número do curso no </w:t>
            </w:r>
            <w:proofErr w:type="spellStart"/>
            <w:r w:rsidRPr="004B784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4B784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E1D45B4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b)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Nome da IES;</w:t>
            </w:r>
          </w:p>
          <w:p w14:paraId="5407F11E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c)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Nome do coordenador constante no SICCAU que deverá ser descadastrado;</w:t>
            </w:r>
          </w:p>
          <w:p w14:paraId="4FB9E6DC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d)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 xml:space="preserve">Nome, CPF e e-mail do coordenador constante no </w:t>
            </w:r>
            <w:proofErr w:type="spellStart"/>
            <w:r w:rsidRPr="004B784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4B7846">
              <w:rPr>
                <w:rFonts w:ascii="Times New Roman" w:hAnsi="Times New Roman"/>
                <w:sz w:val="22"/>
                <w:szCs w:val="22"/>
              </w:rPr>
              <w:t xml:space="preserve"> que deverá ser cadastrado;</w:t>
            </w:r>
          </w:p>
          <w:p w14:paraId="29DA7365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e)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Número do RRT de cargo e função do novo coordenador a ser cadastrado;</w:t>
            </w:r>
          </w:p>
          <w:p w14:paraId="3C89ABA1" w14:textId="707666AF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4.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 xml:space="preserve">Orientar aos CAU/UF que serão reanalisados para fins de validação do coordenador os cursos que constarem como “curso reconhecido” nos anexos da Deliberação nº 027/2020_CEF-CAU/BR, e que caso o CAU/UF identifique cursos oficialmente reconhecidos que não constam da lista, deverá comunicar a CEF-CAU/BR por e-mail até o dia 17/06/2020, enviando o número do curso e “print” da tela do </w:t>
            </w:r>
            <w:proofErr w:type="spellStart"/>
            <w:r w:rsidRPr="004B784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4B7846">
              <w:rPr>
                <w:rFonts w:ascii="Times New Roman" w:hAnsi="Times New Roman"/>
                <w:sz w:val="22"/>
                <w:szCs w:val="22"/>
              </w:rPr>
              <w:t xml:space="preserve"> onde consta a publicação da respectiva portaria de reconhecimento</w:t>
            </w:r>
            <w:r w:rsidR="0084150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88A1356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Informar que a CEF-CAU/BR somente considerará as atualizações enviadas e validadas pelos CAU/UF na forma e prazo dos itens 3 e 4 desta deliberação;</w:t>
            </w:r>
          </w:p>
          <w:p w14:paraId="34148789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6.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 xml:space="preserve">Encaminhar a presente deliberação à Presidência do CAU/BR para conhecimento e seguintes providências: </w:t>
            </w:r>
          </w:p>
          <w:p w14:paraId="12A05C94" w14:textId="77777777" w:rsidR="004B7846" w:rsidRPr="004B7846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6.1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Informar às Presidências e às comissões permanentes que tratam de ensino e formação dos CAU/UF acerca do conteúdo desta deliberação.</w:t>
            </w:r>
          </w:p>
          <w:p w14:paraId="464CB731" w14:textId="2D0C4A05" w:rsidR="0045122B" w:rsidRDefault="004B7846" w:rsidP="004B78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46">
              <w:rPr>
                <w:rFonts w:ascii="Times New Roman" w:hAnsi="Times New Roman"/>
                <w:sz w:val="22"/>
                <w:szCs w:val="22"/>
              </w:rPr>
              <w:t>6.2</w:t>
            </w:r>
            <w:r w:rsidRPr="004B7846">
              <w:rPr>
                <w:rFonts w:ascii="Times New Roman" w:hAnsi="Times New Roman"/>
                <w:sz w:val="22"/>
                <w:szCs w:val="22"/>
              </w:rPr>
              <w:tab/>
              <w:t>Solicitar a Assessoria de Comunicação do CAU/BR a elaboração de nota a ser divulgada no site do CAU/BR acerca do conteúdo e dos prazos constantes desta deliberação.</w:t>
            </w:r>
          </w:p>
        </w:tc>
      </w:tr>
    </w:tbl>
    <w:p w14:paraId="4F00E249" w14:textId="161C7256" w:rsidR="00641284" w:rsidRDefault="00641284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45122B" w14:paraId="6F5A5F4E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AFAF1F" w14:textId="725F3339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2DE25BC" w14:textId="7631EFAB" w:rsidR="0045122B" w:rsidRPr="00751150" w:rsidRDefault="0045122B" w:rsidP="00BA175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51150">
              <w:rPr>
                <w:rFonts w:ascii="Times New Roman" w:hAnsi="Times New Roman"/>
                <w:bCs/>
                <w:sz w:val="22"/>
                <w:szCs w:val="22"/>
              </w:rPr>
              <w:t>Suspensão do prazo constante do § 2°-A e os efeitos do § 2°-B do art. 5° da Resolução CAU/BR n° 18, de 2 de março de 2012, enquanto perdurar a vigência do estado de calamidade pública reconhecido pelo Decreto Legislativo nº 6, de 20 de março de 2020.</w:t>
            </w:r>
          </w:p>
        </w:tc>
      </w:tr>
      <w:tr w:rsidR="0045122B" w14:paraId="6D1246E0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073482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4766520" w14:textId="46DD2388" w:rsidR="0045122B" w:rsidRDefault="0045122B" w:rsidP="00451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CAU/CE</w:t>
            </w:r>
          </w:p>
        </w:tc>
      </w:tr>
      <w:tr w:rsidR="0045122B" w14:paraId="752F7990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35FFCD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FA34233" w14:textId="4E20EE1D" w:rsidR="0045122B" w:rsidRDefault="0045122B" w:rsidP="004512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0868C86D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577DC0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1C57461" w14:textId="731A977D" w:rsidR="00056F98" w:rsidRDefault="00056F98" w:rsidP="00056F9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6431D64C" w14:textId="20ABA195" w:rsidR="001150FC" w:rsidRPr="001150FC" w:rsidRDefault="001150FC" w:rsidP="001150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0FC">
              <w:rPr>
                <w:rFonts w:ascii="Times New Roman" w:hAnsi="Times New Roman"/>
                <w:sz w:val="22"/>
                <w:szCs w:val="22"/>
              </w:rPr>
              <w:t xml:space="preserve">1 - Solicitar à Presidência do CAU/BR </w:t>
            </w:r>
            <w:r w:rsidR="00056F98">
              <w:rPr>
                <w:rFonts w:ascii="Times New Roman" w:hAnsi="Times New Roman"/>
                <w:sz w:val="22"/>
                <w:szCs w:val="22"/>
              </w:rPr>
              <w:t xml:space="preserve">normatização acerca da </w:t>
            </w:r>
            <w:r w:rsidRPr="001150FC">
              <w:rPr>
                <w:rFonts w:ascii="Times New Roman" w:hAnsi="Times New Roman"/>
                <w:sz w:val="22"/>
                <w:szCs w:val="22"/>
              </w:rPr>
              <w:t>suspensão do prazo constante do § 2°-A e os efeitos do § 2°-B do art. 5° da  Resolução CAU/BR n° 18, de 2 de março de 2012, com redação dada pela Resolução CAU/BR n° 160, de 23 de março de 2018, enquanto perdurar a vigência do estado de calamidade pública reconhecido pelo Decreto Legislativo nº 6, de 20 de março de 2020;</w:t>
            </w:r>
          </w:p>
          <w:p w14:paraId="419D3473" w14:textId="77777777" w:rsidR="0045122B" w:rsidRDefault="001150FC" w:rsidP="001150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0FC">
              <w:rPr>
                <w:rFonts w:ascii="Times New Roman" w:hAnsi="Times New Roman"/>
                <w:sz w:val="22"/>
                <w:szCs w:val="22"/>
              </w:rPr>
              <w:t xml:space="preserve">2 - Solicitar à Presidência do CAU/BR o envio desta deliberação ao CAU/CE para conhecimento e providências quanto à </w:t>
            </w:r>
            <w:r w:rsidR="007B005F">
              <w:rPr>
                <w:rFonts w:ascii="Times New Roman" w:hAnsi="Times New Roman"/>
                <w:sz w:val="22"/>
                <w:szCs w:val="22"/>
              </w:rPr>
              <w:t>adequação</w:t>
            </w:r>
            <w:r w:rsidR="007B005F" w:rsidRPr="001150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50FC">
              <w:rPr>
                <w:rFonts w:ascii="Times New Roman" w:hAnsi="Times New Roman"/>
                <w:sz w:val="22"/>
                <w:szCs w:val="22"/>
              </w:rPr>
              <w:t>da proposta contida na Deliberação nº 010/2020</w:t>
            </w:r>
            <w:r w:rsidR="007B005F">
              <w:rPr>
                <w:rFonts w:ascii="Times New Roman" w:hAnsi="Times New Roman"/>
                <w:sz w:val="22"/>
                <w:szCs w:val="22"/>
              </w:rPr>
              <w:t>_</w:t>
            </w:r>
            <w:r w:rsidRPr="001150FC">
              <w:rPr>
                <w:rFonts w:ascii="Times New Roman" w:hAnsi="Times New Roman"/>
                <w:sz w:val="22"/>
                <w:szCs w:val="22"/>
              </w:rPr>
              <w:t>CEF-CAU/CE</w:t>
            </w:r>
            <w:r w:rsidR="007B005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C801314" w14:textId="7ECBC28B" w:rsidR="00751150" w:rsidRDefault="00751150" w:rsidP="001150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3 - Encaminhar a presente deliberação à Secretaria Geral da Mesa para remessa à Presidência do CAU/BR e demais providências.</w:t>
            </w:r>
          </w:p>
        </w:tc>
      </w:tr>
    </w:tbl>
    <w:p w14:paraId="5C5AFCE5" w14:textId="77777777" w:rsidR="00B6792B" w:rsidRDefault="00B6792B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B6792B" w14:paraId="59B69B61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D217C6" w14:textId="3A0010CA" w:rsidR="00B6792B" w:rsidRDefault="00B6792B" w:rsidP="00D162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E6F0F3" w14:textId="1FDA99DE" w:rsidR="00B6792B" w:rsidRPr="000B058F" w:rsidRDefault="00DF7553" w:rsidP="00D162B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Ações em </w:t>
            </w:r>
            <w:r w:rsidR="000B058F">
              <w:rPr>
                <w:rFonts w:ascii="Times New Roman" w:hAnsi="Times New Roman"/>
                <w:bCs/>
                <w:sz w:val="22"/>
                <w:szCs w:val="22"/>
              </w:rPr>
              <w:t>Defesa do Ensino Presencial</w:t>
            </w:r>
          </w:p>
        </w:tc>
      </w:tr>
      <w:tr w:rsidR="000B058F" w14:paraId="6CA98453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73B0E1" w14:textId="77777777" w:rsidR="000B058F" w:rsidRDefault="000B058F" w:rsidP="000B05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A557D01" w14:textId="4C3C0780" w:rsidR="000B058F" w:rsidRDefault="000B058F" w:rsidP="000B05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Jurídica </w:t>
            </w:r>
            <w:r w:rsidR="001150FC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CAU/BR </w:t>
            </w:r>
          </w:p>
        </w:tc>
      </w:tr>
      <w:tr w:rsidR="000B058F" w14:paraId="1F725305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4652BF" w14:textId="77777777" w:rsidR="000B058F" w:rsidRDefault="000B058F" w:rsidP="000B05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AE14720" w14:textId="55164284" w:rsidR="000B058F" w:rsidRDefault="000B058F" w:rsidP="000B05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B058F" w14:paraId="1134463E" w14:textId="77777777" w:rsidTr="00D162B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E7A9B9" w14:textId="77777777" w:rsidR="000B058F" w:rsidRDefault="000B058F" w:rsidP="000B05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672646" w14:textId="51B3B321" w:rsidR="000B058F" w:rsidRPr="002F4A0C" w:rsidRDefault="001150FC" w:rsidP="00056F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A0C">
              <w:rPr>
                <w:rFonts w:ascii="Times New Roman" w:hAnsi="Times New Roman"/>
                <w:sz w:val="22"/>
                <w:szCs w:val="22"/>
              </w:rPr>
              <w:t>Validar a estratégia indicada pela Assessoria Jurídica do CAU/BR</w:t>
            </w:r>
            <w:r w:rsidR="00056F98">
              <w:rPr>
                <w:rFonts w:ascii="Times New Roman" w:hAnsi="Times New Roman"/>
                <w:sz w:val="22"/>
                <w:szCs w:val="22"/>
              </w:rPr>
              <w:t xml:space="preserve">, quanto à ação civil </w:t>
            </w:r>
            <w:r w:rsidR="00056F98" w:rsidRPr="00056F98">
              <w:rPr>
                <w:rFonts w:ascii="Times New Roman" w:hAnsi="Times New Roman"/>
                <w:sz w:val="22"/>
                <w:szCs w:val="22"/>
              </w:rPr>
              <w:t xml:space="preserve">pública </w:t>
            </w:r>
            <w:r w:rsidR="00056F98">
              <w:rPr>
                <w:rFonts w:ascii="Times New Roman" w:hAnsi="Times New Roman"/>
                <w:sz w:val="22"/>
                <w:szCs w:val="22"/>
              </w:rPr>
              <w:t>referente</w:t>
            </w:r>
            <w:r w:rsidR="00056F98" w:rsidRPr="00056F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6F98">
              <w:rPr>
                <w:rFonts w:ascii="Times New Roman" w:hAnsi="Times New Roman"/>
                <w:sz w:val="22"/>
                <w:szCs w:val="22"/>
              </w:rPr>
              <w:t>à</w:t>
            </w:r>
            <w:r w:rsidR="00056F98" w:rsidRPr="00056F98">
              <w:rPr>
                <w:rFonts w:ascii="Times New Roman" w:hAnsi="Times New Roman"/>
                <w:sz w:val="22"/>
                <w:szCs w:val="22"/>
              </w:rPr>
              <w:t xml:space="preserve"> Portaria n° 2.117, de 6 de dezembro de 2019</w:t>
            </w:r>
            <w:r w:rsidR="00056F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07548F1" w14:textId="2315B5F8" w:rsidR="000017F1" w:rsidRDefault="000017F1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45122B" w14:paraId="21CC8837" w14:textId="77777777" w:rsidTr="000014D3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405916" w14:textId="230F7CBF" w:rsidR="0045122B" w:rsidRDefault="0045122B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DA659B6" w14:textId="18F413DE" w:rsidR="0045122B" w:rsidRPr="000B058F" w:rsidRDefault="000B058F" w:rsidP="000014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B058F">
              <w:rPr>
                <w:rFonts w:ascii="Times New Roman" w:hAnsi="Times New Roman"/>
                <w:bCs/>
                <w:sz w:val="22"/>
                <w:szCs w:val="22"/>
              </w:rPr>
              <w:t xml:space="preserve">Aulas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em meios digitais</w:t>
            </w:r>
            <w:r w:rsidRPr="000B058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A79A5"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0B058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0B058F">
              <w:rPr>
                <w:rFonts w:ascii="Times New Roman" w:hAnsi="Times New Roman"/>
                <w:bCs/>
                <w:sz w:val="22"/>
                <w:szCs w:val="22"/>
              </w:rPr>
              <w:t>andemia de Covid-19</w:t>
            </w:r>
          </w:p>
        </w:tc>
      </w:tr>
      <w:tr w:rsidR="0045122B" w14:paraId="6C16707E" w14:textId="77777777" w:rsidTr="000014D3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926B70" w14:textId="77777777" w:rsidR="0045122B" w:rsidRDefault="0045122B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2309024" w14:textId="3837502B" w:rsidR="0045122B" w:rsidRDefault="000B058F" w:rsidP="000014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26EF6BDE" w14:textId="77777777" w:rsidTr="000014D3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E6938D" w14:textId="77777777" w:rsidR="0045122B" w:rsidRDefault="0045122B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FB752C7" w14:textId="3D0B59D0" w:rsidR="0045122B" w:rsidRDefault="000B058F" w:rsidP="000014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5F542E7C" w14:textId="77777777" w:rsidTr="000014D3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09F9BE" w14:textId="77777777" w:rsidR="0045122B" w:rsidRDefault="0045122B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67B7E20" w14:textId="2BB1C19E" w:rsidR="007B005F" w:rsidRPr="00751150" w:rsidRDefault="00DA5F1E" w:rsidP="00DA5F1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115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030/2020_CEF-CAU/BR, que definiu</w:t>
            </w:r>
            <w:r w:rsidR="007B005F" w:rsidRPr="00751150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04788917" w14:textId="77777777" w:rsidR="00751150" w:rsidRPr="00751150" w:rsidRDefault="00751150" w:rsidP="00751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150">
              <w:rPr>
                <w:rFonts w:ascii="Times New Roman" w:hAnsi="Times New Roman"/>
                <w:sz w:val="22"/>
                <w:szCs w:val="22"/>
              </w:rPr>
              <w:t>1 - Solicitar à Presidência do CAU/BR a convocação dos membros titulares da CEF-CAU/BR para realização de sua 32ª Reunião Extraordinária, por meio de videoconferência, dia 12 de junho de 2020, de 14h às 17h, com pauta exclusiva em anexo;</w:t>
            </w:r>
          </w:p>
          <w:p w14:paraId="1F2FD8B3" w14:textId="47AE38B9" w:rsidR="00751150" w:rsidRPr="00751150" w:rsidRDefault="00751150" w:rsidP="00751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150">
              <w:rPr>
                <w:rFonts w:ascii="Times New Roman" w:hAnsi="Times New Roman"/>
                <w:sz w:val="22"/>
                <w:szCs w:val="22"/>
              </w:rPr>
              <w:t xml:space="preserve">2 - Solicitar à Presidência do CAU/BR o envio de convite a todos os conselheiros federais, com atenção especial àqueles que exercem ou exerceram </w:t>
            </w:r>
            <w:proofErr w:type="spellStart"/>
            <w:r w:rsidR="003A79A5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751150">
              <w:rPr>
                <w:rFonts w:ascii="Times New Roman" w:hAnsi="Times New Roman"/>
                <w:sz w:val="22"/>
                <w:szCs w:val="22"/>
              </w:rPr>
              <w:t xml:space="preserve"> docência, bem como aos conselheiros suplentes da CEF-CAU/BR e a representantes da Associação Brasileira de Ensino de Arquitetura e Urbanismo (</w:t>
            </w:r>
            <w:proofErr w:type="spellStart"/>
            <w:r w:rsidRPr="00751150">
              <w:rPr>
                <w:rFonts w:ascii="Times New Roman" w:hAnsi="Times New Roman"/>
                <w:sz w:val="22"/>
                <w:szCs w:val="22"/>
              </w:rPr>
              <w:t>Abea</w:t>
            </w:r>
            <w:proofErr w:type="spellEnd"/>
            <w:r w:rsidRPr="00751150">
              <w:rPr>
                <w:rFonts w:ascii="Times New Roman" w:hAnsi="Times New Roman"/>
                <w:sz w:val="22"/>
                <w:szCs w:val="22"/>
              </w:rPr>
              <w:t>) e da Federação Nacional dos Estudantes de Arquitetura e Urbanismo (</w:t>
            </w:r>
            <w:proofErr w:type="spellStart"/>
            <w:r w:rsidRPr="00751150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 w:rsidRPr="00751150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14:paraId="3FBE0DAB" w14:textId="77777777" w:rsidR="0045122B" w:rsidRDefault="00751150" w:rsidP="00751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150">
              <w:rPr>
                <w:rFonts w:ascii="Times New Roman" w:hAnsi="Times New Roman"/>
                <w:sz w:val="22"/>
                <w:szCs w:val="22"/>
              </w:rPr>
              <w:lastRenderedPageBreak/>
              <w:t>3 - Solicitar à Presidência do CAU/BR que inste a confirmação do convite acima, R.S.V.P., até o dia 11 de junho de 2020, com vistas ao melhor planejamento para a realização da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BBEBC8C" w14:textId="2529ED56" w:rsidR="00751150" w:rsidRPr="0035032F" w:rsidRDefault="003A79A5" w:rsidP="007511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751150">
              <w:rPr>
                <w:rFonts w:ascii="Times New Roman" w:hAnsi="Times New Roman"/>
                <w:sz w:val="22"/>
                <w:szCs w:val="22"/>
              </w:rPr>
              <w:t xml:space="preserve"> - Encaminhar a presente deliberação à Secretaria Geral da Mesa para remessa à Presidência do CAU/BR e demais providências.</w:t>
            </w:r>
          </w:p>
        </w:tc>
      </w:tr>
    </w:tbl>
    <w:p w14:paraId="12F2C370" w14:textId="77777777" w:rsidR="0045122B" w:rsidRPr="004B2957" w:rsidRDefault="0045122B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FF5DE83" w14:textId="59CB473F" w:rsidR="009038FB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8102A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264ACE">
        <w:rPr>
          <w:rFonts w:ascii="Times New Roman" w:hAnsi="Times New Roman"/>
          <w:sz w:val="22"/>
          <w:szCs w:val="22"/>
          <w:lang w:eastAsia="pt-BR"/>
        </w:rPr>
        <w:t>10</w:t>
      </w:r>
      <w:r w:rsidRPr="0088102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8102A" w:rsidRPr="0088102A">
        <w:rPr>
          <w:rFonts w:ascii="Times New Roman" w:hAnsi="Times New Roman"/>
          <w:sz w:val="22"/>
          <w:szCs w:val="22"/>
          <w:lang w:eastAsia="pt-BR"/>
        </w:rPr>
        <w:t>ju</w:t>
      </w:r>
      <w:r w:rsidR="00264ACE">
        <w:rPr>
          <w:rFonts w:ascii="Times New Roman" w:hAnsi="Times New Roman"/>
          <w:sz w:val="22"/>
          <w:szCs w:val="22"/>
          <w:lang w:eastAsia="pt-BR"/>
        </w:rPr>
        <w:t>l</w:t>
      </w:r>
      <w:r w:rsidR="0088102A" w:rsidRPr="0088102A">
        <w:rPr>
          <w:rFonts w:ascii="Times New Roman" w:hAnsi="Times New Roman"/>
          <w:sz w:val="22"/>
          <w:szCs w:val="22"/>
          <w:lang w:eastAsia="pt-BR"/>
        </w:rPr>
        <w:t>ho</w:t>
      </w:r>
      <w:r w:rsidRPr="0088102A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5AAC81A3" w14:textId="77777777"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F62195" w14:textId="77777777"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B732306" w14:textId="77777777"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5CD9CF3" w14:textId="77777777"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C0AFE0D" w14:textId="77777777" w:rsidR="009038FB" w:rsidRDefault="009038FB" w:rsidP="009038F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7CC12896" w14:textId="2FA15351" w:rsidR="009038FB" w:rsidRDefault="009038FB" w:rsidP="009038F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 w:rsidR="002F4A0C">
        <w:rPr>
          <w:rFonts w:ascii="Times New Roman" w:eastAsia="Calibri" w:hAnsi="Times New Roman"/>
          <w:sz w:val="22"/>
          <w:szCs w:val="22"/>
        </w:rPr>
        <w:t>,</w:t>
      </w:r>
    </w:p>
    <w:p w14:paraId="5B061068" w14:textId="77777777" w:rsidR="002F4A0C" w:rsidRDefault="002F4A0C" w:rsidP="009038F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AEE131A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BF7DB33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539CD80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B3B56BF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4B6685C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38D3A9C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8AEB0E2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8B29D70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2F70A9C" w14:textId="77777777" w:rsidR="00475B6B" w:rsidRDefault="00475B6B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B406708" w14:textId="77777777" w:rsidR="000409A5" w:rsidRDefault="000409A5">
      <w:pPr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br w:type="page"/>
      </w:r>
    </w:p>
    <w:p w14:paraId="50B676D6" w14:textId="0FAFAAB1" w:rsidR="009038FB" w:rsidRPr="00857B5A" w:rsidRDefault="000017F1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57B5A"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857B5A" w:rsidRPr="00857B5A">
        <w:rPr>
          <w:rFonts w:ascii="Times New Roman" w:hAnsi="Times New Roman"/>
          <w:b/>
          <w:sz w:val="22"/>
          <w:szCs w:val="22"/>
          <w:lang w:eastAsia="pt-BR"/>
        </w:rPr>
        <w:t>5</w:t>
      </w:r>
      <w:r w:rsidR="009038FB" w:rsidRPr="00857B5A">
        <w:rPr>
          <w:rFonts w:ascii="Times New Roman" w:hAnsi="Times New Roman"/>
          <w:b/>
          <w:sz w:val="22"/>
          <w:szCs w:val="22"/>
          <w:lang w:eastAsia="pt-BR"/>
        </w:rPr>
        <w:t xml:space="preserve">ª REUNIÃO ORDINÁRIA DA </w:t>
      </w:r>
      <w:r w:rsidR="009D2BA9" w:rsidRPr="00857B5A">
        <w:rPr>
          <w:rFonts w:ascii="Times New Roman" w:hAnsi="Times New Roman"/>
          <w:b/>
          <w:sz w:val="22"/>
          <w:szCs w:val="22"/>
          <w:lang w:eastAsia="pt-BR"/>
        </w:rPr>
        <w:t>CEF</w:t>
      </w:r>
      <w:r w:rsidR="009038FB" w:rsidRPr="00857B5A"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02F9E263" w14:textId="77777777" w:rsidR="009038FB" w:rsidRPr="00857B5A" w:rsidRDefault="009038FB" w:rsidP="009038F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857B5A">
        <w:rPr>
          <w:rFonts w:ascii="Times New Roman" w:eastAsia="Calibri" w:hAnsi="Times New Roman"/>
          <w:sz w:val="22"/>
          <w:szCs w:val="22"/>
        </w:rPr>
        <w:t>Videoconferência</w:t>
      </w:r>
    </w:p>
    <w:p w14:paraId="476E9FFE" w14:textId="77777777" w:rsidR="009038FB" w:rsidRPr="00857B5A" w:rsidRDefault="009038FB" w:rsidP="009038F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9FCBDAC" w14:textId="77777777" w:rsidR="009038FB" w:rsidRPr="00857B5A" w:rsidRDefault="009038FB" w:rsidP="009038F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0055DA0" w14:textId="77777777" w:rsidR="009038FB" w:rsidRPr="00857B5A" w:rsidRDefault="009038FB" w:rsidP="009038F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57B5A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9038FB" w:rsidRPr="00857B5A" w14:paraId="066E6865" w14:textId="77777777" w:rsidTr="009038F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C3EE" w14:textId="77777777" w:rsidR="009038FB" w:rsidRPr="00857B5A" w:rsidRDefault="009038FB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E3A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5521CD2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7C1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D6F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038FB" w:rsidRPr="00857B5A" w14:paraId="1029417A" w14:textId="77777777" w:rsidTr="007C5B8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9F97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46D6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5790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DE4C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B8D1" w14:textId="77777777" w:rsidR="009038FB" w:rsidRPr="00857B5A" w:rsidRDefault="009038FB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E0A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AD61" w14:textId="77777777" w:rsidR="009038FB" w:rsidRPr="00857B5A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C0AE3" w:rsidRPr="00857B5A" w14:paraId="0BBF0E73" w14:textId="77777777" w:rsidTr="007C5B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3A1" w14:textId="73B9902C" w:rsidR="000C0AE3" w:rsidRPr="00857B5A" w:rsidRDefault="000C0AE3" w:rsidP="000C0A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4B5" w14:textId="25FDC89A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697" w14:textId="14057040" w:rsidR="000C0AE3" w:rsidRPr="00857B5A" w:rsidRDefault="000C0AE3" w:rsidP="000C0A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B5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998" w14:textId="14F1991F" w:rsidR="000C0AE3" w:rsidRPr="00857B5A" w:rsidRDefault="001D4E1D" w:rsidP="000C0A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4C8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153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983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AE3" w:rsidRPr="00857B5A" w14:paraId="324E5DE8" w14:textId="77777777" w:rsidTr="007C5B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CAC" w14:textId="2FAFF27C" w:rsidR="000C0AE3" w:rsidRPr="00857B5A" w:rsidRDefault="000C0AE3" w:rsidP="000C0A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37C" w14:textId="42592DC1" w:rsidR="000C0AE3" w:rsidRPr="00857B5A" w:rsidRDefault="00264ACE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D16" w14:textId="56ED2E33" w:rsidR="000C0AE3" w:rsidRPr="00857B5A" w:rsidRDefault="00264ACE" w:rsidP="000C0A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B5A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1F1" w14:textId="09F0DC73" w:rsidR="000C0AE3" w:rsidRPr="00857B5A" w:rsidRDefault="00264ACE" w:rsidP="000C0A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94C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E12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AA0" w14:textId="74C37873" w:rsidR="000C0AE3" w:rsidRPr="00857B5A" w:rsidRDefault="000C0AE3" w:rsidP="001D4E1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AE3" w:rsidRPr="00857B5A" w14:paraId="0C2D6356" w14:textId="77777777" w:rsidTr="007C5B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8B3" w14:textId="28044BF6" w:rsidR="000C0AE3" w:rsidRPr="00857B5A" w:rsidRDefault="000C0AE3" w:rsidP="000C0A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F38" w14:textId="6771136B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6EB" w14:textId="7BD94A6C" w:rsidR="000C0AE3" w:rsidRPr="00857B5A" w:rsidRDefault="00264ACE" w:rsidP="000C0A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B5A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B76" w14:textId="138BE7D2" w:rsidR="000C0AE3" w:rsidRPr="00857B5A" w:rsidRDefault="001D4E1D" w:rsidP="000C0A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2C2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DBE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D84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AE3" w:rsidRPr="00857B5A" w14:paraId="5A205AFD" w14:textId="77777777" w:rsidTr="007C5B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0AD" w14:textId="2003A5A4" w:rsidR="000C0AE3" w:rsidRPr="00857B5A" w:rsidRDefault="000C0AE3" w:rsidP="000C0A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CCC" w14:textId="73325051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0AE" w14:textId="6C403739" w:rsidR="000C0AE3" w:rsidRPr="00857B5A" w:rsidRDefault="000C0AE3" w:rsidP="000C0A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B5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37F" w14:textId="7949278C" w:rsidR="000C0AE3" w:rsidRPr="00857B5A" w:rsidRDefault="001D4E1D" w:rsidP="000C0A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245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AD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65E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AE3" w:rsidRPr="00857B5A" w14:paraId="6D24709F" w14:textId="77777777" w:rsidTr="007C5B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9C2" w14:textId="76937306" w:rsidR="000C0AE3" w:rsidRPr="00857B5A" w:rsidRDefault="000C0AE3" w:rsidP="000C0A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95E4" w14:textId="420F5950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16F" w14:textId="61E237D0" w:rsidR="000C0AE3" w:rsidRPr="00857B5A" w:rsidRDefault="000C0AE3" w:rsidP="000C0A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B5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E7E" w14:textId="067F11E9" w:rsidR="000C0AE3" w:rsidRPr="00857B5A" w:rsidRDefault="001D4E1D" w:rsidP="000C0A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FF8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FC5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13D" w14:textId="77777777" w:rsidR="000C0AE3" w:rsidRPr="00857B5A" w:rsidRDefault="000C0AE3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D2BA9" w:rsidRPr="00857B5A" w14:paraId="66D49CFB" w14:textId="77777777" w:rsidTr="007C5B89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CCA" w14:textId="50426C0B" w:rsidR="009D2BA9" w:rsidRPr="00857B5A" w:rsidRDefault="000555ED" w:rsidP="000C0AE3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168" w14:textId="2D0803F4" w:rsidR="009D2BA9" w:rsidRPr="00857B5A" w:rsidRDefault="000555ED" w:rsidP="000C0AE3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C51" w14:textId="0CC75D34" w:rsidR="009D2BA9" w:rsidRPr="00857B5A" w:rsidRDefault="003A31BB" w:rsidP="000C0AE3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857B5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1F3" w14:textId="53DEC86C" w:rsidR="009D2BA9" w:rsidRPr="00857B5A" w:rsidRDefault="001D4E1D" w:rsidP="000C0A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14D" w14:textId="77777777" w:rsidR="009D2BA9" w:rsidRPr="00857B5A" w:rsidRDefault="009D2BA9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1A3" w14:textId="77777777" w:rsidR="009D2BA9" w:rsidRPr="00857B5A" w:rsidRDefault="009D2BA9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BD0" w14:textId="77777777" w:rsidR="009D2BA9" w:rsidRPr="00857B5A" w:rsidRDefault="009D2BA9" w:rsidP="000C0A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RPr="00857B5A" w14:paraId="30BBB6E6" w14:textId="77777777" w:rsidTr="009038F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17E32" w14:textId="77777777" w:rsidR="009038FB" w:rsidRPr="00857B5A" w:rsidRDefault="009038FB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31683" w14:textId="77777777" w:rsidR="009038FB" w:rsidRPr="00857B5A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36AF9" w14:textId="77777777" w:rsidR="009038FB" w:rsidRPr="00857B5A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B7B99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14558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E139E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35549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14:paraId="57C5C66C" w14:textId="77777777" w:rsidTr="000409A5">
        <w:trPr>
          <w:trHeight w:val="326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646641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2B39725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BA1D83" w14:textId="21773CAB" w:rsidR="009038FB" w:rsidRPr="00857B5A" w:rsidRDefault="000017F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57B5A"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9038FB"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DA </w:t>
            </w:r>
            <w:r w:rsidR="009D2BA9"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CEF</w:t>
            </w:r>
            <w:r w:rsidR="009038FB"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</w:p>
          <w:p w14:paraId="250B17D6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9E4023" w14:textId="261AE4C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57B5A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="007C5B89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857B5A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30F5EED" w14:textId="77777777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FB96644" w14:textId="21201A99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C0AE3" w:rsidRPr="00857B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súmula da 9</w:t>
            </w:r>
            <w:r w:rsidR="00857B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="000C0AE3" w:rsidRPr="00857B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Ordinária da CEF-CAU/BR.</w:t>
            </w:r>
          </w:p>
          <w:p w14:paraId="16951313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009879B" w14:textId="500F447E" w:rsidR="009038FB" w:rsidRPr="00857B5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4ACE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D4E1D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D4E1D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4ACE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64ACE"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8A43EFE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116F84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57B5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7EFDB3F" w14:textId="77777777" w:rsidR="009038FB" w:rsidRPr="00857B5A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765DA78" w14:textId="2CB3A295" w:rsidR="00826E89" w:rsidRPr="00857B5A" w:rsidRDefault="009038FB" w:rsidP="000409A5">
            <w:pPr>
              <w:spacing w:after="40"/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017F1" w:rsidRPr="00857B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Tatianna Martins </w:t>
            </w:r>
            <w:r w:rsidR="00826E89" w:rsidRPr="00857B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="00826E89"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826E89" w:rsidRPr="00857B5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0270F6E3" w14:textId="77777777" w:rsidR="001A55E5" w:rsidRPr="00857B5A" w:rsidRDefault="001A55E5" w:rsidP="000409A5">
            <w:pPr>
              <w:spacing w:after="40"/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</w:p>
          <w:p w14:paraId="6F9F928B" w14:textId="399DF87D" w:rsidR="009038FB" w:rsidRDefault="009038FB" w:rsidP="000409A5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</w:t>
            </w:r>
            <w:r w:rsidR="000017F1"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57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0017F1" w:rsidRPr="00857B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Andrea Vilella</w:t>
            </w:r>
          </w:p>
        </w:tc>
      </w:tr>
    </w:tbl>
    <w:p w14:paraId="5959F4AD" w14:textId="77777777" w:rsidR="009038FB" w:rsidRDefault="009038FB" w:rsidP="009038FB">
      <w:pPr>
        <w:jc w:val="both"/>
      </w:pPr>
    </w:p>
    <w:p w14:paraId="6B0C69B6" w14:textId="77777777"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640554A" w14:textId="77777777"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14E08E" w14:textId="77777777" w:rsidR="00C53E8D" w:rsidRPr="004B2957" w:rsidRDefault="00C53E8D" w:rsidP="005E64E0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24F79E46" w14:textId="77777777" w:rsidR="008119C0" w:rsidRPr="004B2957" w:rsidRDefault="008119C0" w:rsidP="005E64E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A7FB27B" w14:textId="77777777" w:rsidR="00915840" w:rsidRPr="004B2957" w:rsidRDefault="00915840" w:rsidP="00915840">
      <w:pPr>
        <w:rPr>
          <w:rFonts w:ascii="Times New Roman" w:hAnsi="Times New Roman"/>
          <w:sz w:val="22"/>
          <w:szCs w:val="22"/>
        </w:rPr>
      </w:pPr>
    </w:p>
    <w:p w14:paraId="1FEEE45D" w14:textId="77777777" w:rsidR="005E64E0" w:rsidRPr="004B2957" w:rsidRDefault="005E64E0" w:rsidP="005E64E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1223" w14:textId="77777777" w:rsidR="00CB73F2" w:rsidRDefault="00CB73F2">
      <w:r>
        <w:separator/>
      </w:r>
    </w:p>
  </w:endnote>
  <w:endnote w:type="continuationSeparator" w:id="0">
    <w:p w14:paraId="1B2C9D29" w14:textId="77777777" w:rsidR="00CB73F2" w:rsidRDefault="00C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39B6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63CD03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BBCDA63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96E4" w14:textId="77777777" w:rsidR="002F47A8" w:rsidRPr="00760340" w:rsidRDefault="002F47A8" w:rsidP="006649F1">
    <w:pPr>
      <w:pStyle w:val="Rodap"/>
      <w:framePr w:w="1066" w:h="362" w:hRule="exact" w:wrap="around" w:vAnchor="text" w:hAnchor="page" w:x="9649" w:y="-518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A409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B0A909A" w14:textId="7CC0F90E" w:rsidR="002F47A8" w:rsidRDefault="006649F1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5167" behindDoc="0" locked="0" layoutInCell="1" allowOverlap="1" wp14:anchorId="39C6CF44" wp14:editId="1EDF3740">
          <wp:simplePos x="0" y="0"/>
          <wp:positionH relativeFrom="page">
            <wp:posOffset>-6350</wp:posOffset>
          </wp:positionH>
          <wp:positionV relativeFrom="paragraph">
            <wp:posOffset>-175895</wp:posOffset>
          </wp:positionV>
          <wp:extent cx="7560000" cy="720000"/>
          <wp:effectExtent l="0" t="0" r="3175" b="4445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AA2"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71E5" w14:textId="77777777" w:rsidR="00CB73F2" w:rsidRDefault="00CB73F2">
      <w:r>
        <w:separator/>
      </w:r>
    </w:p>
  </w:footnote>
  <w:footnote w:type="continuationSeparator" w:id="0">
    <w:p w14:paraId="51445D9D" w14:textId="77777777" w:rsidR="00CB73F2" w:rsidRDefault="00CB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D6AE" w14:textId="734BC14B" w:rsidR="002F47A8" w:rsidRPr="009E4E5A" w:rsidRDefault="009E14EA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7E23F06A" wp14:editId="2E64FD0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43CAFE08" wp14:editId="65CB06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CC7" w14:textId="73FE065B" w:rsidR="002F47A8" w:rsidRPr="009E4E5A" w:rsidRDefault="009E14EA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0458E" wp14:editId="1AD18C3F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0" b="0"/>
          <wp:wrapNone/>
          <wp:docPr id="6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73"/>
    <w:multiLevelType w:val="hybridMultilevel"/>
    <w:tmpl w:val="81E47620"/>
    <w:lvl w:ilvl="0" w:tplc="DCAA236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4ED"/>
    <w:rsid w:val="000017F1"/>
    <w:rsid w:val="000077C5"/>
    <w:rsid w:val="00025F16"/>
    <w:rsid w:val="000409A5"/>
    <w:rsid w:val="00047E7A"/>
    <w:rsid w:val="00054AF7"/>
    <w:rsid w:val="000555ED"/>
    <w:rsid w:val="00056F98"/>
    <w:rsid w:val="00085497"/>
    <w:rsid w:val="00090780"/>
    <w:rsid w:val="0009081D"/>
    <w:rsid w:val="00091472"/>
    <w:rsid w:val="00091C07"/>
    <w:rsid w:val="00094FD2"/>
    <w:rsid w:val="000A295E"/>
    <w:rsid w:val="000B058F"/>
    <w:rsid w:val="000C0AE3"/>
    <w:rsid w:val="000D6DB2"/>
    <w:rsid w:val="000E25B7"/>
    <w:rsid w:val="000E5046"/>
    <w:rsid w:val="000E5831"/>
    <w:rsid w:val="000E6B71"/>
    <w:rsid w:val="000F163C"/>
    <w:rsid w:val="000F3BFD"/>
    <w:rsid w:val="001100E5"/>
    <w:rsid w:val="001103AF"/>
    <w:rsid w:val="001150FC"/>
    <w:rsid w:val="00120E9B"/>
    <w:rsid w:val="00130DC6"/>
    <w:rsid w:val="00132ADD"/>
    <w:rsid w:val="001412E7"/>
    <w:rsid w:val="001441E9"/>
    <w:rsid w:val="00147AB8"/>
    <w:rsid w:val="001543A7"/>
    <w:rsid w:val="001635B9"/>
    <w:rsid w:val="00165A70"/>
    <w:rsid w:val="001777BB"/>
    <w:rsid w:val="00194A86"/>
    <w:rsid w:val="001A2331"/>
    <w:rsid w:val="001A302F"/>
    <w:rsid w:val="001A358E"/>
    <w:rsid w:val="001A55E5"/>
    <w:rsid w:val="001A7E99"/>
    <w:rsid w:val="001C5128"/>
    <w:rsid w:val="001C7987"/>
    <w:rsid w:val="001D4E1D"/>
    <w:rsid w:val="001E04F2"/>
    <w:rsid w:val="001E713E"/>
    <w:rsid w:val="001F3AF0"/>
    <w:rsid w:val="001F4414"/>
    <w:rsid w:val="0020256D"/>
    <w:rsid w:val="002166F8"/>
    <w:rsid w:val="00221C0D"/>
    <w:rsid w:val="002224FA"/>
    <w:rsid w:val="00230666"/>
    <w:rsid w:val="00246D5B"/>
    <w:rsid w:val="002579B8"/>
    <w:rsid w:val="00264ACE"/>
    <w:rsid w:val="00270DD6"/>
    <w:rsid w:val="00273411"/>
    <w:rsid w:val="00280561"/>
    <w:rsid w:val="002953E3"/>
    <w:rsid w:val="002A66C3"/>
    <w:rsid w:val="002A7168"/>
    <w:rsid w:val="002B473F"/>
    <w:rsid w:val="002B5EF6"/>
    <w:rsid w:val="002E0895"/>
    <w:rsid w:val="002E2855"/>
    <w:rsid w:val="002E4A91"/>
    <w:rsid w:val="002F47A8"/>
    <w:rsid w:val="002F4A0C"/>
    <w:rsid w:val="00303FBC"/>
    <w:rsid w:val="00322472"/>
    <w:rsid w:val="00325DFD"/>
    <w:rsid w:val="0035032F"/>
    <w:rsid w:val="00354CE2"/>
    <w:rsid w:val="00391705"/>
    <w:rsid w:val="003A31BB"/>
    <w:rsid w:val="003A4030"/>
    <w:rsid w:val="003A79A5"/>
    <w:rsid w:val="003B73DC"/>
    <w:rsid w:val="003D6033"/>
    <w:rsid w:val="003E0E06"/>
    <w:rsid w:val="003E1D23"/>
    <w:rsid w:val="0040038C"/>
    <w:rsid w:val="0040307A"/>
    <w:rsid w:val="00405AB0"/>
    <w:rsid w:val="00406A8A"/>
    <w:rsid w:val="00407253"/>
    <w:rsid w:val="00407F9F"/>
    <w:rsid w:val="0045122B"/>
    <w:rsid w:val="00460FE2"/>
    <w:rsid w:val="00462DAD"/>
    <w:rsid w:val="00475B6B"/>
    <w:rsid w:val="00492F35"/>
    <w:rsid w:val="004A3ABA"/>
    <w:rsid w:val="004B2957"/>
    <w:rsid w:val="004B3924"/>
    <w:rsid w:val="004B7846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51F47"/>
    <w:rsid w:val="005575AC"/>
    <w:rsid w:val="005616A5"/>
    <w:rsid w:val="00562E46"/>
    <w:rsid w:val="00564216"/>
    <w:rsid w:val="00567279"/>
    <w:rsid w:val="0057250C"/>
    <w:rsid w:val="005741CD"/>
    <w:rsid w:val="00575763"/>
    <w:rsid w:val="00581029"/>
    <w:rsid w:val="0058327E"/>
    <w:rsid w:val="0059084B"/>
    <w:rsid w:val="005967D3"/>
    <w:rsid w:val="005D4FA8"/>
    <w:rsid w:val="005E64E0"/>
    <w:rsid w:val="005F187B"/>
    <w:rsid w:val="00641284"/>
    <w:rsid w:val="00660B1A"/>
    <w:rsid w:val="00663987"/>
    <w:rsid w:val="006649F1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B60"/>
    <w:rsid w:val="006D5C26"/>
    <w:rsid w:val="006E7E0E"/>
    <w:rsid w:val="00701545"/>
    <w:rsid w:val="0071795D"/>
    <w:rsid w:val="007220A8"/>
    <w:rsid w:val="00725D15"/>
    <w:rsid w:val="0072771A"/>
    <w:rsid w:val="00727F37"/>
    <w:rsid w:val="00744D64"/>
    <w:rsid w:val="00750C89"/>
    <w:rsid w:val="00751150"/>
    <w:rsid w:val="00764243"/>
    <w:rsid w:val="00772707"/>
    <w:rsid w:val="007749FA"/>
    <w:rsid w:val="00785232"/>
    <w:rsid w:val="00797E3B"/>
    <w:rsid w:val="007A284E"/>
    <w:rsid w:val="007B005F"/>
    <w:rsid w:val="007C5B89"/>
    <w:rsid w:val="007E3CB2"/>
    <w:rsid w:val="007E6DA5"/>
    <w:rsid w:val="00800775"/>
    <w:rsid w:val="008119C0"/>
    <w:rsid w:val="00816855"/>
    <w:rsid w:val="00822CA5"/>
    <w:rsid w:val="00823F09"/>
    <w:rsid w:val="00825F01"/>
    <w:rsid w:val="00826E89"/>
    <w:rsid w:val="00841501"/>
    <w:rsid w:val="00844C85"/>
    <w:rsid w:val="00857B5A"/>
    <w:rsid w:val="00857DD8"/>
    <w:rsid w:val="00860649"/>
    <w:rsid w:val="00863B0D"/>
    <w:rsid w:val="0086702D"/>
    <w:rsid w:val="00876795"/>
    <w:rsid w:val="0088102A"/>
    <w:rsid w:val="008913FA"/>
    <w:rsid w:val="008950E4"/>
    <w:rsid w:val="008A3827"/>
    <w:rsid w:val="008B5764"/>
    <w:rsid w:val="008C171F"/>
    <w:rsid w:val="008C4CC3"/>
    <w:rsid w:val="008D69F4"/>
    <w:rsid w:val="008D6BA5"/>
    <w:rsid w:val="008F0A68"/>
    <w:rsid w:val="008F16CA"/>
    <w:rsid w:val="009038FB"/>
    <w:rsid w:val="009064B2"/>
    <w:rsid w:val="009135A2"/>
    <w:rsid w:val="00915840"/>
    <w:rsid w:val="0094033D"/>
    <w:rsid w:val="009407AB"/>
    <w:rsid w:val="00944CB1"/>
    <w:rsid w:val="009571E9"/>
    <w:rsid w:val="00973A5A"/>
    <w:rsid w:val="00975493"/>
    <w:rsid w:val="00994843"/>
    <w:rsid w:val="009A32A6"/>
    <w:rsid w:val="009B4068"/>
    <w:rsid w:val="009D2BA9"/>
    <w:rsid w:val="009D5702"/>
    <w:rsid w:val="009D5705"/>
    <w:rsid w:val="009D5982"/>
    <w:rsid w:val="009E14EA"/>
    <w:rsid w:val="009F0317"/>
    <w:rsid w:val="009F0CDF"/>
    <w:rsid w:val="009F5AA2"/>
    <w:rsid w:val="00A0535C"/>
    <w:rsid w:val="00A1487E"/>
    <w:rsid w:val="00A3030C"/>
    <w:rsid w:val="00A364B3"/>
    <w:rsid w:val="00A423FF"/>
    <w:rsid w:val="00A43B70"/>
    <w:rsid w:val="00A542E7"/>
    <w:rsid w:val="00A64D80"/>
    <w:rsid w:val="00A750D1"/>
    <w:rsid w:val="00A808BC"/>
    <w:rsid w:val="00A9038B"/>
    <w:rsid w:val="00A90EE4"/>
    <w:rsid w:val="00A91C48"/>
    <w:rsid w:val="00AA4091"/>
    <w:rsid w:val="00AB27B7"/>
    <w:rsid w:val="00AC77B1"/>
    <w:rsid w:val="00AF6F09"/>
    <w:rsid w:val="00AF7EAB"/>
    <w:rsid w:val="00B029BD"/>
    <w:rsid w:val="00B12BFC"/>
    <w:rsid w:val="00B261DB"/>
    <w:rsid w:val="00B269AB"/>
    <w:rsid w:val="00B31A06"/>
    <w:rsid w:val="00B563A1"/>
    <w:rsid w:val="00B6792B"/>
    <w:rsid w:val="00B70E39"/>
    <w:rsid w:val="00B722A0"/>
    <w:rsid w:val="00B805F0"/>
    <w:rsid w:val="00B82D99"/>
    <w:rsid w:val="00B8620D"/>
    <w:rsid w:val="00B90D37"/>
    <w:rsid w:val="00BA175E"/>
    <w:rsid w:val="00BD1D8E"/>
    <w:rsid w:val="00BD3D6F"/>
    <w:rsid w:val="00BE20EF"/>
    <w:rsid w:val="00BE3B98"/>
    <w:rsid w:val="00BF03B3"/>
    <w:rsid w:val="00BF2816"/>
    <w:rsid w:val="00BF2F48"/>
    <w:rsid w:val="00BF5545"/>
    <w:rsid w:val="00C1122A"/>
    <w:rsid w:val="00C1269A"/>
    <w:rsid w:val="00C14496"/>
    <w:rsid w:val="00C2518B"/>
    <w:rsid w:val="00C26184"/>
    <w:rsid w:val="00C27BCC"/>
    <w:rsid w:val="00C30B45"/>
    <w:rsid w:val="00C33DEC"/>
    <w:rsid w:val="00C444A0"/>
    <w:rsid w:val="00C44EB6"/>
    <w:rsid w:val="00C53E8D"/>
    <w:rsid w:val="00C55B31"/>
    <w:rsid w:val="00C61696"/>
    <w:rsid w:val="00C703BE"/>
    <w:rsid w:val="00C81FA7"/>
    <w:rsid w:val="00C87AC6"/>
    <w:rsid w:val="00C91AFA"/>
    <w:rsid w:val="00CA5C4D"/>
    <w:rsid w:val="00CB02DB"/>
    <w:rsid w:val="00CB0EFB"/>
    <w:rsid w:val="00CB73F2"/>
    <w:rsid w:val="00CC044D"/>
    <w:rsid w:val="00CD6EC9"/>
    <w:rsid w:val="00CD7CC8"/>
    <w:rsid w:val="00CE221B"/>
    <w:rsid w:val="00CE435F"/>
    <w:rsid w:val="00CF7B60"/>
    <w:rsid w:val="00D02208"/>
    <w:rsid w:val="00D065E3"/>
    <w:rsid w:val="00D1259C"/>
    <w:rsid w:val="00D34FE2"/>
    <w:rsid w:val="00D36019"/>
    <w:rsid w:val="00D36344"/>
    <w:rsid w:val="00D5062C"/>
    <w:rsid w:val="00D54ED3"/>
    <w:rsid w:val="00D66708"/>
    <w:rsid w:val="00D7539C"/>
    <w:rsid w:val="00D850B6"/>
    <w:rsid w:val="00D94A5F"/>
    <w:rsid w:val="00D94EDC"/>
    <w:rsid w:val="00DA196D"/>
    <w:rsid w:val="00DA5F1E"/>
    <w:rsid w:val="00DA66EC"/>
    <w:rsid w:val="00DB0AE8"/>
    <w:rsid w:val="00DC27DB"/>
    <w:rsid w:val="00DC67F1"/>
    <w:rsid w:val="00DD3617"/>
    <w:rsid w:val="00DE1C31"/>
    <w:rsid w:val="00DF4D09"/>
    <w:rsid w:val="00DF743C"/>
    <w:rsid w:val="00DF7553"/>
    <w:rsid w:val="00E003EC"/>
    <w:rsid w:val="00E0318D"/>
    <w:rsid w:val="00E04658"/>
    <w:rsid w:val="00E07739"/>
    <w:rsid w:val="00E23F40"/>
    <w:rsid w:val="00E33592"/>
    <w:rsid w:val="00E37350"/>
    <w:rsid w:val="00E4298A"/>
    <w:rsid w:val="00E501F3"/>
    <w:rsid w:val="00E73EDF"/>
    <w:rsid w:val="00E75D62"/>
    <w:rsid w:val="00E804D6"/>
    <w:rsid w:val="00E8598F"/>
    <w:rsid w:val="00E9330E"/>
    <w:rsid w:val="00E93B09"/>
    <w:rsid w:val="00E958DE"/>
    <w:rsid w:val="00E97AB9"/>
    <w:rsid w:val="00EB4DF0"/>
    <w:rsid w:val="00EC00FD"/>
    <w:rsid w:val="00EC044C"/>
    <w:rsid w:val="00EC3FF2"/>
    <w:rsid w:val="00EC41B3"/>
    <w:rsid w:val="00ED1979"/>
    <w:rsid w:val="00ED4E5F"/>
    <w:rsid w:val="00ED6B11"/>
    <w:rsid w:val="00ED7D75"/>
    <w:rsid w:val="00EE3284"/>
    <w:rsid w:val="00EF0FCB"/>
    <w:rsid w:val="00EF3FB8"/>
    <w:rsid w:val="00F0191B"/>
    <w:rsid w:val="00F0283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412F1"/>
    <w:rsid w:val="00F60812"/>
    <w:rsid w:val="00F60DE8"/>
    <w:rsid w:val="00F643DD"/>
    <w:rsid w:val="00F775B5"/>
    <w:rsid w:val="00F801FA"/>
    <w:rsid w:val="00FB40AD"/>
    <w:rsid w:val="00FB7199"/>
    <w:rsid w:val="00FB7EF6"/>
    <w:rsid w:val="00FD5C68"/>
    <w:rsid w:val="00FE3B16"/>
    <w:rsid w:val="00FF3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o:colormru v:ext="edit" colors="#0f6165"/>
    </o:shapedefaults>
    <o:shapelayout v:ext="edit">
      <o:idmap v:ext="edit" data="1"/>
    </o:shapelayout>
  </w:shapeDefaults>
  <w:decimalSymbol w:val=","/>
  <w:listSeparator w:val=";"/>
  <w14:docId w14:val="4D49EDA5"/>
  <w15:chartTrackingRefBased/>
  <w15:docId w15:val="{EB095A48-AB21-46D1-9EE8-772E7FA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qFormat/>
    <w:rsid w:val="0082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5388-35FE-4862-93F2-1DDE4C9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1754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Ana Carolina Alcântara Ayres</cp:lastModifiedBy>
  <cp:revision>39</cp:revision>
  <cp:lastPrinted>2016-11-30T13:06:00Z</cp:lastPrinted>
  <dcterms:created xsi:type="dcterms:W3CDTF">2020-05-28T16:01:00Z</dcterms:created>
  <dcterms:modified xsi:type="dcterms:W3CDTF">2020-08-27T21:40:00Z</dcterms:modified>
</cp:coreProperties>
</file>