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2410"/>
      </w:pPr>
      <w:r>
        <w:rPr/>
        <w:drawing>
          <wp:anchor distT="0" distB="0" distL="0" distR="0" allowOverlap="1" layoutInCell="1" locked="0" behindDoc="1" simplePos="0" relativeHeight="26838813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96, DE 4 DE DEZEMBRO DE 2014</w:t>
      </w:r>
    </w:p>
    <w:p>
      <w:pPr>
        <w:pStyle w:val="BodyText"/>
      </w:pPr>
    </w:p>
    <w:p>
      <w:pPr>
        <w:pStyle w:val="BodyText"/>
        <w:ind w:left="4475" w:right="146"/>
        <w:jc w:val="both"/>
      </w:pPr>
      <w:r>
        <w:rPr/>
        <w:t>Aprova os Planos de Ação e Orçamentos do Conselho de Arquitetura e Urbanismo do Brasil (CAU/BR) e dos Conselhos de Arquitetura e Urbanismo dos Estados e do Distrito Federal (CAU/UF), contemplando os aportes financeiros do CAU/BR e dos CAU/UF para o Fundo de Apoio Financeiro aos CAU/UF e para o Centro de Serviços Compartilhados (CSC), todos referentes ao Exercício de 2015, e dá outras providências.</w:t>
      </w:r>
    </w:p>
    <w:p>
      <w:pPr>
        <w:pStyle w:val="BodyText"/>
        <w:spacing w:before="1"/>
      </w:pPr>
    </w:p>
    <w:p>
      <w:pPr>
        <w:pStyle w:val="BodyText"/>
        <w:ind w:left="222" w:right="14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37, realizada no dia 4 de dezembro de 2014;</w:t>
      </w:r>
    </w:p>
    <w:p>
      <w:pPr>
        <w:pStyle w:val="BodyText"/>
        <w:spacing w:before="2"/>
      </w:pPr>
    </w:p>
    <w:p>
      <w:pPr>
        <w:pStyle w:val="Heading1"/>
        <w:ind w:left="222"/>
        <w:jc w:val="left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222" w:right="146"/>
        <w:jc w:val="both"/>
      </w:pPr>
      <w:r>
        <w:rPr>
          <w:spacing w:val="-4"/>
        </w:rPr>
        <w:t>Art. </w:t>
      </w:r>
      <w:r>
        <w:rPr>
          <w:spacing w:val="-3"/>
        </w:rPr>
        <w:t>1° </w:t>
      </w:r>
      <w:r>
        <w:rPr>
          <w:spacing w:val="-4"/>
        </w:rPr>
        <w:t>Aprovar, </w:t>
      </w:r>
      <w:r>
        <w:rPr/>
        <w:t>na </w:t>
      </w:r>
      <w:r>
        <w:rPr>
          <w:spacing w:val="-4"/>
        </w:rPr>
        <w:t>forma </w:t>
      </w:r>
      <w:r>
        <w:rPr>
          <w:spacing w:val="-3"/>
        </w:rPr>
        <w:t>dos </w:t>
      </w:r>
      <w:r>
        <w:rPr>
          <w:spacing w:val="-4"/>
        </w:rPr>
        <w:t>resumos constante </w:t>
      </w:r>
      <w:r>
        <w:rPr>
          <w:spacing w:val="-2"/>
        </w:rPr>
        <w:t>dos </w:t>
      </w:r>
      <w:r>
        <w:rPr>
          <w:spacing w:val="-4"/>
        </w:rPr>
        <w:t>Anexos </w:t>
      </w:r>
      <w:r>
        <w:rPr>
          <w:spacing w:val="-3"/>
        </w:rPr>
        <w:t>I, </w:t>
      </w:r>
      <w:r>
        <w:rPr/>
        <w:t>II e </w:t>
      </w:r>
      <w:r>
        <w:rPr>
          <w:spacing w:val="-3"/>
        </w:rPr>
        <w:t>III </w:t>
      </w:r>
      <w:r>
        <w:rPr>
          <w:spacing w:val="-4"/>
        </w:rPr>
        <w:t>desta </w:t>
      </w:r>
      <w:r>
        <w:rPr>
          <w:spacing w:val="-5"/>
        </w:rPr>
        <w:t>Resolução, </w:t>
      </w:r>
      <w:r>
        <w:rPr/>
        <w:t>os </w:t>
      </w:r>
      <w:r>
        <w:rPr>
          <w:spacing w:val="-4"/>
        </w:rPr>
        <w:t>Planos </w:t>
      </w:r>
      <w:r>
        <w:rPr/>
        <w:t>de </w:t>
      </w:r>
      <w:r>
        <w:rPr>
          <w:spacing w:val="-4"/>
        </w:rPr>
        <w:t>Ação </w:t>
      </w:r>
      <w:r>
        <w:rPr/>
        <w:t>e </w:t>
      </w:r>
      <w:r>
        <w:rPr>
          <w:spacing w:val="-5"/>
        </w:rPr>
        <w:t>Orçamentos, contemplando </w:t>
      </w:r>
      <w:r>
        <w:rPr>
          <w:spacing w:val="-3"/>
        </w:rPr>
        <w:t>os </w:t>
      </w:r>
      <w:r>
        <w:rPr>
          <w:spacing w:val="-4"/>
        </w:rPr>
        <w:t>aportes </w:t>
      </w:r>
      <w:r>
        <w:rPr>
          <w:spacing w:val="-5"/>
        </w:rPr>
        <w:t>financeiros </w:t>
      </w:r>
      <w:r>
        <w:rPr>
          <w:spacing w:val="-3"/>
        </w:rPr>
        <w:t>para </w:t>
      </w:r>
      <w:r>
        <w:rPr/>
        <w:t>o </w:t>
      </w:r>
      <w:r>
        <w:rPr>
          <w:spacing w:val="-4"/>
        </w:rPr>
        <w:t>Fundo </w:t>
      </w:r>
      <w:r>
        <w:rPr/>
        <w:t>de </w:t>
      </w:r>
      <w:r>
        <w:rPr>
          <w:spacing w:val="-4"/>
        </w:rPr>
        <w:t>Apoio Financeiro aos CAU/UF </w:t>
      </w:r>
      <w:r>
        <w:rPr/>
        <w:t>e </w:t>
      </w:r>
      <w:r>
        <w:rPr>
          <w:spacing w:val="-4"/>
        </w:rPr>
        <w:t>para </w:t>
      </w:r>
      <w:r>
        <w:rPr/>
        <w:t>o </w:t>
      </w:r>
      <w:r>
        <w:rPr>
          <w:spacing w:val="-4"/>
        </w:rPr>
        <w:t>Centro </w:t>
      </w:r>
      <w:r>
        <w:rPr/>
        <w:t>de </w:t>
      </w:r>
      <w:r>
        <w:rPr>
          <w:spacing w:val="-5"/>
        </w:rPr>
        <w:t>Serviços Compartilhados </w:t>
      </w:r>
      <w:r>
        <w:rPr>
          <w:spacing w:val="-4"/>
        </w:rPr>
        <w:t>(CSC), todos referentes </w:t>
      </w:r>
      <w:r>
        <w:rPr>
          <w:spacing w:val="-3"/>
        </w:rPr>
        <w:t>ao </w:t>
      </w:r>
      <w:r>
        <w:rPr>
          <w:spacing w:val="-5"/>
        </w:rPr>
        <w:t>Exercício </w:t>
      </w:r>
      <w:r>
        <w:rPr/>
        <w:t>de </w:t>
      </w:r>
      <w:r>
        <w:rPr>
          <w:spacing w:val="-4"/>
        </w:rPr>
        <w:t>2015, </w:t>
      </w:r>
      <w:r>
        <w:rPr>
          <w:spacing w:val="-3"/>
        </w:rPr>
        <w:t>dos </w:t>
      </w:r>
      <w:r>
        <w:rPr>
          <w:spacing w:val="-5"/>
        </w:rPr>
        <w:t>Conselhos </w:t>
      </w:r>
      <w:r>
        <w:rPr/>
        <w:t>de </w:t>
      </w:r>
      <w:r>
        <w:rPr>
          <w:spacing w:val="-5"/>
        </w:rPr>
        <w:t>Arquitetura </w:t>
      </w:r>
      <w:r>
        <w:rPr/>
        <w:t>e </w:t>
      </w:r>
      <w:r>
        <w:rPr>
          <w:spacing w:val="-5"/>
        </w:rPr>
        <w:t>Urbanismo </w:t>
      </w:r>
      <w:r>
        <w:rPr/>
        <w:t>do </w:t>
      </w:r>
      <w:r>
        <w:rPr>
          <w:spacing w:val="-5"/>
        </w:rPr>
        <w:t>Brasil (CAU/BR) </w:t>
      </w:r>
      <w:r>
        <w:rPr/>
        <w:t>e </w:t>
      </w:r>
      <w:r>
        <w:rPr>
          <w:spacing w:val="-3"/>
        </w:rPr>
        <w:t>dos </w:t>
      </w:r>
      <w:r>
        <w:rPr>
          <w:spacing w:val="-5"/>
        </w:rPr>
        <w:t>Conselhos </w:t>
      </w:r>
      <w:r>
        <w:rPr/>
        <w:t>de </w:t>
      </w:r>
      <w:r>
        <w:rPr>
          <w:spacing w:val="-5"/>
        </w:rPr>
        <w:t>Arquitetura </w:t>
      </w:r>
      <w:r>
        <w:rPr/>
        <w:t>e </w:t>
      </w:r>
      <w:r>
        <w:rPr>
          <w:spacing w:val="-5"/>
        </w:rPr>
        <w:t>Urbanismo </w:t>
      </w:r>
      <w:r>
        <w:rPr>
          <w:spacing w:val="-3"/>
        </w:rPr>
        <w:t>dos </w:t>
      </w:r>
      <w:r>
        <w:rPr>
          <w:spacing w:val="-5"/>
        </w:rPr>
        <w:t>Estados </w:t>
      </w:r>
      <w:r>
        <w:rPr/>
        <w:t>do </w:t>
      </w:r>
      <w:r>
        <w:rPr>
          <w:spacing w:val="-4"/>
        </w:rPr>
        <w:t>Acre </w:t>
      </w:r>
      <w:r>
        <w:rPr>
          <w:spacing w:val="-5"/>
        </w:rPr>
        <w:t>(CAU/AC), </w:t>
      </w:r>
      <w:r>
        <w:rPr>
          <w:spacing w:val="-4"/>
        </w:rPr>
        <w:t>Alagoas </w:t>
      </w:r>
      <w:r>
        <w:rPr>
          <w:spacing w:val="-5"/>
        </w:rPr>
        <w:t>(CAU/AL), </w:t>
      </w:r>
      <w:r>
        <w:rPr>
          <w:spacing w:val="-4"/>
        </w:rPr>
        <w:t>Amazonas </w:t>
      </w:r>
      <w:r>
        <w:rPr>
          <w:spacing w:val="-5"/>
        </w:rPr>
        <w:t>(CAU/AM), </w:t>
      </w:r>
      <w:r>
        <w:rPr>
          <w:spacing w:val="-4"/>
        </w:rPr>
        <w:t>Amapá (CAU/AP), Bahia </w:t>
      </w:r>
      <w:r>
        <w:rPr>
          <w:spacing w:val="-5"/>
        </w:rPr>
        <w:t>(CAU/BA), </w:t>
      </w:r>
      <w:r>
        <w:rPr>
          <w:spacing w:val="-4"/>
        </w:rPr>
        <w:t>Ceará </w:t>
      </w:r>
      <w:r>
        <w:rPr>
          <w:spacing w:val="-5"/>
        </w:rPr>
        <w:t>(CAU/CE), </w:t>
      </w:r>
      <w:r>
        <w:rPr/>
        <w:t>do </w:t>
      </w:r>
      <w:r>
        <w:rPr>
          <w:spacing w:val="-4"/>
        </w:rPr>
        <w:t>Distrito </w:t>
      </w:r>
      <w:r>
        <w:rPr>
          <w:spacing w:val="-5"/>
        </w:rPr>
        <w:t>Federal (CAU/DF), Espírito </w:t>
      </w:r>
      <w:r>
        <w:rPr>
          <w:spacing w:val="-4"/>
        </w:rPr>
        <w:t>Santo </w:t>
      </w:r>
      <w:r>
        <w:rPr>
          <w:spacing w:val="-5"/>
        </w:rPr>
        <w:t>(CAU/ES), </w:t>
      </w:r>
      <w:r>
        <w:rPr>
          <w:spacing w:val="-4"/>
        </w:rPr>
        <w:t>Goiás </w:t>
      </w:r>
      <w:r>
        <w:rPr>
          <w:spacing w:val="-5"/>
        </w:rPr>
        <w:t>(CAU/GO), </w:t>
      </w:r>
      <w:r>
        <w:rPr>
          <w:spacing w:val="-4"/>
        </w:rPr>
        <w:t>Maranhão </w:t>
      </w:r>
      <w:r>
        <w:rPr>
          <w:spacing w:val="-5"/>
        </w:rPr>
        <w:t>(CAU/MA), </w:t>
      </w:r>
      <w:r>
        <w:rPr>
          <w:spacing w:val="-4"/>
        </w:rPr>
        <w:t>Minas Gerais </w:t>
      </w:r>
      <w:r>
        <w:rPr>
          <w:spacing w:val="-5"/>
        </w:rPr>
        <w:t>(CAU/MG), </w:t>
      </w:r>
      <w:r>
        <w:rPr>
          <w:spacing w:val="-4"/>
        </w:rPr>
        <w:t>Mato Grosso </w:t>
      </w:r>
      <w:r>
        <w:rPr/>
        <w:t>do </w:t>
      </w:r>
      <w:r>
        <w:rPr>
          <w:spacing w:val="-3"/>
        </w:rPr>
        <w:t>Sul </w:t>
      </w:r>
      <w:r>
        <w:rPr>
          <w:spacing w:val="-5"/>
        </w:rPr>
        <w:t>(CAU/MS), </w:t>
      </w:r>
      <w:r>
        <w:rPr>
          <w:spacing w:val="-4"/>
        </w:rPr>
        <w:t>Mato Grosso </w:t>
      </w:r>
      <w:r>
        <w:rPr>
          <w:spacing w:val="-5"/>
        </w:rPr>
        <w:t>(CAU/MT), </w:t>
      </w:r>
      <w:r>
        <w:rPr>
          <w:spacing w:val="-3"/>
        </w:rPr>
        <w:t>Pará </w:t>
      </w:r>
      <w:r>
        <w:rPr>
          <w:spacing w:val="-5"/>
        </w:rPr>
        <w:t>(CAU/PA), </w:t>
      </w:r>
      <w:r>
        <w:rPr>
          <w:spacing w:val="-4"/>
        </w:rPr>
        <w:t>Paraíba (CAU/PB), </w:t>
      </w:r>
      <w:r>
        <w:rPr>
          <w:spacing w:val="-5"/>
        </w:rPr>
        <w:t>Pernambuco (CAU/PE), </w:t>
      </w:r>
      <w:r>
        <w:rPr>
          <w:spacing w:val="-4"/>
        </w:rPr>
        <w:t>Piauí </w:t>
      </w:r>
      <w:r>
        <w:rPr>
          <w:spacing w:val="-5"/>
        </w:rPr>
        <w:t>(CAU/PI), </w:t>
      </w:r>
      <w:r>
        <w:rPr>
          <w:spacing w:val="-4"/>
        </w:rPr>
        <w:t>Paraná (CAU/PR), Rio </w:t>
      </w:r>
      <w:r>
        <w:rPr/>
        <w:t>de </w:t>
      </w:r>
      <w:r>
        <w:rPr>
          <w:spacing w:val="-4"/>
        </w:rPr>
        <w:t>Janeiro </w:t>
      </w:r>
      <w:r>
        <w:rPr>
          <w:spacing w:val="-5"/>
        </w:rPr>
        <w:t>(CAU/RJ), </w:t>
      </w:r>
      <w:r>
        <w:rPr>
          <w:spacing w:val="-3"/>
        </w:rPr>
        <w:t>Rio </w:t>
      </w:r>
      <w:r>
        <w:rPr>
          <w:spacing w:val="-4"/>
        </w:rPr>
        <w:t>Grande </w:t>
      </w:r>
      <w:r>
        <w:rPr/>
        <w:t>do </w:t>
      </w:r>
      <w:r>
        <w:rPr>
          <w:spacing w:val="-4"/>
        </w:rPr>
        <w:t>Norte </w:t>
      </w:r>
      <w:r>
        <w:rPr>
          <w:spacing w:val="-5"/>
        </w:rPr>
        <w:t>(CAU/RN), </w:t>
      </w:r>
      <w:r>
        <w:rPr>
          <w:spacing w:val="-4"/>
        </w:rPr>
        <w:t>Rondônia (CAU/RO), </w:t>
      </w:r>
      <w:r>
        <w:rPr>
          <w:spacing w:val="-5"/>
        </w:rPr>
        <w:t>Roraima (CAU/RR), </w:t>
      </w:r>
      <w:r>
        <w:rPr>
          <w:spacing w:val="-4"/>
        </w:rPr>
        <w:t>Rio Grande </w:t>
      </w:r>
      <w:r>
        <w:rPr/>
        <w:t>do </w:t>
      </w:r>
      <w:r>
        <w:rPr>
          <w:spacing w:val="-3"/>
        </w:rPr>
        <w:t>Sul </w:t>
      </w:r>
      <w:r>
        <w:rPr>
          <w:spacing w:val="-5"/>
        </w:rPr>
        <w:t>(CAU/RS), </w:t>
      </w:r>
      <w:r>
        <w:rPr>
          <w:spacing w:val="-4"/>
        </w:rPr>
        <w:t>Santa Catarina</w:t>
      </w:r>
      <w:r>
        <w:rPr>
          <w:spacing w:val="-9"/>
        </w:rPr>
        <w:t> </w:t>
      </w:r>
      <w:r>
        <w:rPr>
          <w:spacing w:val="-5"/>
        </w:rPr>
        <w:t>(CAU/SC),</w:t>
      </w:r>
      <w:r>
        <w:rPr>
          <w:spacing w:val="-6"/>
        </w:rPr>
        <w:t> </w:t>
      </w:r>
      <w:r>
        <w:rPr>
          <w:spacing w:val="-4"/>
        </w:rPr>
        <w:t>São</w:t>
      </w:r>
      <w:r>
        <w:rPr>
          <w:spacing w:val="-8"/>
        </w:rPr>
        <w:t> </w:t>
      </w:r>
      <w:r>
        <w:rPr>
          <w:spacing w:val="-4"/>
        </w:rPr>
        <w:t>Paulo</w:t>
      </w:r>
      <w:r>
        <w:rPr>
          <w:spacing w:val="-9"/>
        </w:rPr>
        <w:t> </w:t>
      </w:r>
      <w:r>
        <w:rPr>
          <w:spacing w:val="-5"/>
        </w:rPr>
        <w:t>(CAU/SP),</w:t>
      </w:r>
      <w:r>
        <w:rPr>
          <w:spacing w:val="-6"/>
        </w:rPr>
        <w:t> </w:t>
      </w:r>
      <w:r>
        <w:rPr>
          <w:spacing w:val="-4"/>
        </w:rPr>
        <w:t>Sergipe</w:t>
      </w:r>
      <w:r>
        <w:rPr>
          <w:spacing w:val="-8"/>
        </w:rPr>
        <w:t> </w:t>
      </w:r>
      <w:r>
        <w:rPr>
          <w:spacing w:val="-4"/>
        </w:rPr>
        <w:t>(CAU/SE)</w:t>
      </w:r>
      <w:r>
        <w:rPr>
          <w:spacing w:val="-10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4"/>
        </w:rPr>
        <w:t>Tocantins</w:t>
      </w:r>
      <w:r>
        <w:rPr>
          <w:spacing w:val="-9"/>
        </w:rPr>
        <w:t> </w:t>
      </w:r>
      <w:r>
        <w:rPr>
          <w:spacing w:val="-4"/>
        </w:rPr>
        <w:t>(CAU/TO).</w:t>
      </w:r>
      <w:r>
        <w:rPr>
          <w:spacing w:val="-9"/>
        </w:rPr>
        <w:t> </w:t>
      </w:r>
      <w:r>
        <w:rPr>
          <w:spacing w:val="-3"/>
        </w:rPr>
        <w:t>(1)</w:t>
      </w:r>
    </w:p>
    <w:p>
      <w:pPr>
        <w:pStyle w:val="BodyText"/>
      </w:pPr>
    </w:p>
    <w:p>
      <w:pPr>
        <w:pStyle w:val="BodyText"/>
        <w:ind w:left="22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22" w:right="154"/>
        <w:jc w:val="both"/>
      </w:pPr>
      <w:r>
        <w:rPr/>
        <w:t>(1) Os detalhamentos dos Planos de Ação e Orçamentos do Conselho de Arquitetura e Urbanismo do Brasil (CAU/BR) e dos Conselhos de Arquitetura e Urbanismo dos Estados e do Distrito Federal serão publicados no sítio eletrônico do CAU/BR, no endereço</w:t>
      </w:r>
      <w:hyperlink r:id="rId7">
        <w:r>
          <w:rPr>
            <w:color w:val="0000FF"/>
            <w:u w:val="single" w:color="0000FF"/>
          </w:rPr>
          <w:t> www.caubr.gov.br</w:t>
        </w:r>
      </w:hyperlink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2248" w:right="2176"/>
        <w:jc w:val="center"/>
      </w:pPr>
      <w:r>
        <w:rPr/>
        <w:t>Brasília, 4 de dezembro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42" w:right="2176"/>
        <w:jc w:val="center"/>
      </w:pPr>
      <w:r>
        <w:rPr/>
        <w:t>HAROLDO PINHEIRO VILLAR DE QUEIROZ</w:t>
      </w:r>
    </w:p>
    <w:p>
      <w:pPr>
        <w:pStyle w:val="BodyText"/>
        <w:ind w:left="2245" w:right="2176"/>
        <w:jc w:val="center"/>
      </w:pPr>
      <w:r>
        <w:rPr/>
        <w:t>Presidente do CAU/BR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22" w:right="0" w:firstLine="0"/>
        <w:jc w:val="left"/>
        <w:rPr>
          <w:sz w:val="22"/>
        </w:rPr>
      </w:pPr>
      <w:r>
        <w:rPr>
          <w:sz w:val="22"/>
        </w:rPr>
        <w:t>(Publicada no Diário Oficial da União, Edição n° 247, Seção 1, de 22 de dezembro de 2014)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838" w:top="1520" w:bottom="1020" w:left="1480" w:right="980"/>
        </w:sectPr>
      </w:pPr>
    </w:p>
    <w:p>
      <w:pPr>
        <w:pStyle w:val="Heading1"/>
        <w:spacing w:before="40"/>
        <w:ind w:left="2247" w:right="2176"/>
      </w:pPr>
      <w:r>
        <w:rPr/>
        <w:drawing>
          <wp:anchor distT="0" distB="0" distL="0" distR="0" allowOverlap="1" layoutInCell="1" locked="0" behindDoc="1" simplePos="0" relativeHeight="26838815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96, DE 4 DE DEZEMBRO DE 2014 ANEXO I</w:t>
      </w:r>
    </w:p>
    <w:p>
      <w:pPr>
        <w:spacing w:before="0"/>
        <w:ind w:left="747" w:right="677" w:firstLine="0"/>
        <w:jc w:val="center"/>
        <w:rPr>
          <w:b/>
          <w:sz w:val="24"/>
        </w:rPr>
      </w:pPr>
      <w:r>
        <w:rPr>
          <w:b/>
          <w:sz w:val="24"/>
        </w:rPr>
        <w:t>PLANOS DE AÇÃO E ORÇAMENTOS DO CAU/BR E DOS CAU/UF – EXERCÍCIO 2015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243" w:right="2176"/>
        <w:jc w:val="center"/>
      </w:pPr>
      <w:r>
        <w:rPr/>
        <w:t>CAU/AC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911.578,00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911.578,00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948.578,00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948.578,00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5" w:right="2176"/>
        <w:jc w:val="center"/>
      </w:pPr>
      <w:r>
        <w:rPr/>
        <w:t>CAU/AL - PROGRAMAÇÃO ORÇAMENTÁRIA -</w:t>
      </w:r>
      <w:r>
        <w:rPr>
          <w:spacing w:val="-10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960.191,00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960.191,00</w:t>
            </w:r>
          </w:p>
        </w:tc>
      </w:tr>
      <w:tr>
        <w:trPr>
          <w:trHeight w:val="295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216.000,00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216.000,00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1.176.191,00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1.176.191,00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8" w:right="2176"/>
        <w:jc w:val="center"/>
      </w:pPr>
      <w:r>
        <w:rPr/>
        <w:t>CAU/AM - PROGRAMAÇÃO ORÇAMENTÁRIA - 2015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940.650,00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940.650,00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374.288,00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374.288,00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1.314.938,00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1.314.938,00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3" w:right="2176"/>
        <w:jc w:val="center"/>
      </w:pPr>
      <w:r>
        <w:rPr/>
        <w:t>CAU/AP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915.318,00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915.318,00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400.000,00</w:t>
            </w:r>
          </w:p>
        </w:tc>
      </w:tr>
      <w:tr>
        <w:trPr>
          <w:trHeight w:val="295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1.315.318,00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1.315.318,00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5" w:right="2176"/>
        <w:jc w:val="center"/>
      </w:pPr>
      <w:r>
        <w:rPr/>
        <w:t>CAU/BA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2.479.438,00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2.479.438,00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1.500.000,00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3.979.438,00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3.979.438,00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5" w:right="2176"/>
        <w:jc w:val="center"/>
      </w:pPr>
      <w:r>
        <w:rPr/>
        <w:t>CAU/CE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1.134.992,00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1.134.992,00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702.499,00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702.499,00</w:t>
            </w:r>
          </w:p>
        </w:tc>
      </w:tr>
      <w:tr>
        <w:trPr>
          <w:trHeight w:val="293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1.837.491,00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1.837.491,00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2243" w:right="2176"/>
        <w:jc w:val="center"/>
      </w:pPr>
      <w:r>
        <w:rPr/>
        <w:t>CAU/DF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2.120.000,00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2.120.000,00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2.120.000,00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2.120.000,00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838" w:top="1520" w:bottom="1020" w:left="1480" w:right="980"/>
        </w:sectPr>
      </w:pPr>
    </w:p>
    <w:p>
      <w:pPr>
        <w:pStyle w:val="BodyText"/>
        <w:spacing w:before="40"/>
        <w:ind w:left="2322"/>
      </w:pPr>
      <w:r>
        <w:rPr/>
        <w:drawing>
          <wp:anchor distT="0" distB="0" distL="0" distR="0" allowOverlap="1" layoutInCell="1" locked="0" behindDoc="1" simplePos="0" relativeHeight="26838818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CAU/ES - PROGRAMAÇÃO ORÇAMENTÁRIA - 2015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5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2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2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1.905.893,00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1.905.893,00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2.505.893,00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2.505.893,00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2281"/>
      </w:pPr>
      <w:r>
        <w:rPr/>
        <w:t>CAU/GO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3.080.900,00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2.996.900,00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84.000,00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3.080.900,00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3.080.900,00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66"/>
      </w:pPr>
      <w:r>
        <w:rPr/>
        <w:t>CAU/MA - PROGRAMAÇÃO ORÇAMENTÁRIA -</w:t>
      </w:r>
      <w:r>
        <w:rPr>
          <w:spacing w:val="-15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943.140,00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943.140,00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943.140,00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943.140,00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59"/>
      </w:pPr>
      <w:r>
        <w:rPr/>
        <w:t>CAU/MG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6.750.000,00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6.212.600,00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1.050.000,00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1.587.400,00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7.800.000,00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7.800.000,00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78"/>
      </w:pPr>
      <w:r>
        <w:rPr/>
        <w:t>CAU/MS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2.750.000,00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2.750.000,00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350.000,00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3.100.000,00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76"/>
      </w:pPr>
      <w:r>
        <w:rPr/>
        <w:t>CAU/MT - PROGRAMAÇÃO ORÇAMENTÁRIA -</w:t>
      </w:r>
      <w:r>
        <w:rPr>
          <w:spacing w:val="-15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2.345.923,00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2.345.923,00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1.181.745,00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1.181.745,00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3.527.668,00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3.527.668,00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05"/>
      </w:pPr>
      <w:r>
        <w:rPr/>
        <w:t>CAU/PA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1.176.315,00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1.176.315,00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1.700.000,00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2.876.315,00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2.876.315,00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838" w:top="1520" w:bottom="1020" w:left="1480" w:right="980"/>
        </w:sectPr>
      </w:pPr>
    </w:p>
    <w:p>
      <w:pPr>
        <w:pStyle w:val="BodyText"/>
        <w:spacing w:before="40"/>
        <w:ind w:left="2310"/>
      </w:pPr>
      <w:r>
        <w:rPr/>
        <w:drawing>
          <wp:anchor distT="0" distB="0" distL="0" distR="0" allowOverlap="1" layoutInCell="1" locked="0" behindDoc="1" simplePos="0" relativeHeight="26838820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CAU/PB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5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2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2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1.289.000,00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1.289.000,00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500.000,00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1.789.000,00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1.789.000,00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2317"/>
      </w:pPr>
      <w:r>
        <w:rPr/>
        <w:t>CAU/PE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2.122.416,00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2.122.416,00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967.440,00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967.440,00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3.089.856,00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3.089.856,00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43"/>
      </w:pPr>
      <w:r>
        <w:rPr/>
        <w:t>CAU/PI - PROGRAMAÇÃO ORÇAMENTÁRIA -</w:t>
      </w:r>
      <w:r>
        <w:rPr>
          <w:spacing w:val="-10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937.655,00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937.655,00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937.655,00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937.655,00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10"/>
      </w:pPr>
      <w:r>
        <w:rPr/>
        <w:t>CAU/PR - PROGRAMAÇÃO ORÇAMENTÁRIA -</w:t>
      </w:r>
      <w:r>
        <w:rPr>
          <w:spacing w:val="-11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7.941.871,00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7.941.871,00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6.843.763,00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6.843.763,00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14.785.634,00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14.785.634,00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33"/>
      </w:pPr>
      <w:r>
        <w:rPr/>
        <w:t>CAU/RJ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10.642.198,00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10.642.198,00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9.615.000,00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9.615.000,00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20.257.198,00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20.257.198,00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93"/>
      </w:pPr>
      <w:r>
        <w:rPr/>
        <w:t>CAU/RN - PROGRAMAÇÃO ORÇAMENTÁRIA -</w:t>
      </w:r>
      <w:r>
        <w:rPr>
          <w:spacing w:val="-11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1.287.906,00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1.259.906,00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736.191,00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764.191,00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2.024.097,00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2.024.097,00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93"/>
      </w:pPr>
      <w:r>
        <w:rPr/>
        <w:t>CAU/RO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903.855,00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903.855,00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903.855,00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903.855,00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838" w:top="1520" w:bottom="1020" w:left="1480" w:right="980"/>
        </w:sectPr>
      </w:pPr>
    </w:p>
    <w:p>
      <w:pPr>
        <w:pStyle w:val="BodyText"/>
        <w:spacing w:before="40"/>
        <w:ind w:left="2307"/>
      </w:pPr>
      <w:r>
        <w:rPr/>
        <w:drawing>
          <wp:anchor distT="0" distB="0" distL="0" distR="0" allowOverlap="1" layoutInCell="1" locked="0" behindDoc="1" simplePos="0" relativeHeight="26838823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CAU/RR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5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2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2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2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889.260,00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860.760,00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28.500,00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889.260,00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889.260,00</w:t>
            </w: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2317"/>
      </w:pPr>
      <w:r>
        <w:rPr/>
        <w:t>CAU/RS - PROGRAMAÇÃO ORÇAMENTÁRIA -</w:t>
      </w:r>
      <w:r>
        <w:rPr>
          <w:spacing w:val="-12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11.486.070,00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11.486.070,00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5.411.000,00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5.411.000,00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16.897.070,00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16.897.070,00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17"/>
      </w:pPr>
      <w:r>
        <w:rPr/>
        <w:t>CAU/SC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5.683.003,00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5.683.003,00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3.442.504,00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3.442.504,00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9.125.507,00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9.125.507,00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22"/>
      </w:pPr>
      <w:r>
        <w:rPr/>
        <w:t>CAU/SE - PROGRAMAÇÃO ORÇAMENTÁRIA -</w:t>
      </w:r>
      <w:r>
        <w:rPr>
          <w:spacing w:val="-11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948.290,00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948.290,00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1.148.290,00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1.148.290,00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19"/>
      </w:pPr>
      <w:r>
        <w:rPr/>
        <w:t>CAU/SP - PROGRAMAÇÃO ORÇAMENTÁRIA -</w:t>
      </w:r>
      <w:r>
        <w:rPr>
          <w:spacing w:val="-13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32.335.100,00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32.335.100,00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14.166.770,00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14.166,770,00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46.501.870,00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46.501.870,00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298"/>
      </w:pPr>
      <w:r>
        <w:rPr/>
        <w:t>CAU/TO - PROGRAMAÇÃO ORÇAMENTÁRIA -</w:t>
      </w:r>
      <w:r>
        <w:rPr>
          <w:spacing w:val="-11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940.56,00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940.568,00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459.841,00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459.841,00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1.400.409,00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1.400.409,00</w:t>
            </w:r>
          </w:p>
        </w:tc>
      </w:tr>
    </w:tbl>
    <w:p>
      <w:pPr>
        <w:pStyle w:val="BodyText"/>
        <w:rPr>
          <w:sz w:val="32"/>
        </w:rPr>
      </w:pPr>
    </w:p>
    <w:p>
      <w:pPr>
        <w:pStyle w:val="BodyText"/>
        <w:ind w:left="2305"/>
      </w:pPr>
      <w:r>
        <w:rPr/>
        <w:t>CAU/BR - PROGRAMAÇÃO ORÇAMENTÁRIA -</w:t>
      </w:r>
      <w:r>
        <w:rPr>
          <w:spacing w:val="-11"/>
        </w:rPr>
        <w:t> </w:t>
      </w:r>
      <w:r>
        <w:rPr/>
        <w:t>2015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32.278.775,00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32.278.775,00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7.154.721,00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7.154.721,00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39.433.496,00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39.433.496,00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0" w:footer="838" w:top="1520" w:bottom="1020" w:left="1480" w:right="980"/>
        </w:sectPr>
      </w:pPr>
    </w:p>
    <w:p>
      <w:pPr>
        <w:pStyle w:val="BodyText"/>
        <w:spacing w:before="40"/>
        <w:ind w:left="2482"/>
      </w:pPr>
      <w:r>
        <w:rPr/>
        <w:drawing>
          <wp:anchor distT="0" distB="0" distL="0" distR="0" allowOverlap="1" layoutInCell="1" locked="0" behindDoc="1" simplePos="0" relativeHeight="2683882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CAU - PROGRAMAÇÃO ORÇAMENTÁRIA - 2015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2303"/>
        <w:gridCol w:w="2300"/>
        <w:gridCol w:w="2303"/>
      </w:tblGrid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3" w:type="dxa"/>
          </w:tcPr>
          <w:p>
            <w:pPr>
              <w:pStyle w:val="TableParagraph"/>
              <w:ind w:left="1000" w:right="99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00" w:type="dxa"/>
          </w:tcPr>
          <w:p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3" w:type="dxa"/>
          </w:tcPr>
          <w:p>
            <w:pPr>
              <w:pStyle w:val="TableParagraph"/>
              <w:ind w:left="1001" w:right="99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302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138.100.305,00</w:t>
            </w:r>
          </w:p>
        </w:tc>
        <w:tc>
          <w:tcPr>
            <w:tcW w:w="2300" w:type="dxa"/>
          </w:tcPr>
          <w:p>
            <w:pPr>
              <w:pStyle w:val="TableParagraph"/>
              <w:spacing w:line="273" w:lineRule="exact" w:before="1"/>
              <w:ind w:left="104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3" w:type="dxa"/>
          </w:tcPr>
          <w:p>
            <w:pPr>
              <w:pStyle w:val="TableParagraph"/>
              <w:spacing w:line="273" w:lineRule="exact"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137.422.405,00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57.608.762,00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3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58.286.662,00</w:t>
            </w:r>
          </w:p>
        </w:tc>
      </w:tr>
      <w:tr>
        <w:trPr>
          <w:trHeight w:val="292" w:hRule="atLeast"/>
        </w:trPr>
        <w:tc>
          <w:tcPr>
            <w:tcW w:w="23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195.709.067,00</w:t>
            </w:r>
          </w:p>
        </w:tc>
        <w:tc>
          <w:tcPr>
            <w:tcW w:w="2300" w:type="dxa"/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3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195.709.067,00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ind w:left="2379"/>
        <w:jc w:val="left"/>
      </w:pPr>
      <w:r>
        <w:rPr/>
        <w:t>RESOLUÇÃO N° 96, DE 4 DE DEZEMBRO DE 2014</w:t>
      </w:r>
    </w:p>
    <w:p>
      <w:pPr>
        <w:spacing w:before="0" w:after="3"/>
        <w:ind w:left="1196" w:right="1123" w:firstLine="0"/>
        <w:jc w:val="center"/>
        <w:rPr>
          <w:b/>
          <w:sz w:val="24"/>
        </w:rPr>
      </w:pPr>
      <w:r>
        <w:rPr>
          <w:b/>
          <w:sz w:val="24"/>
        </w:rPr>
        <w:t>ANEXO II - FUNDO DE APOIO FINANCEIRO AOS CAU/UF EXERCÍCIO 2015 APORTES CAU/BR E CAU/UF</w:t>
      </w:r>
    </w:p>
    <w:tbl>
      <w:tblPr>
        <w:tblW w:w="0" w:type="auto"/>
        <w:jc w:val="left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3971"/>
      </w:tblGrid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CAU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left="1185"/>
              <w:rPr>
                <w:sz w:val="24"/>
              </w:rPr>
            </w:pPr>
            <w:r>
              <w:rPr>
                <w:sz w:val="24"/>
              </w:rPr>
              <w:t>VALOR (R$ 1,00)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6.017,00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36.910,00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25.121,00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AP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9.551,00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94.134,00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40.937,00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74.802,00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59.003,00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111.259,00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28.289,00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6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250.900,00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95.783,00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MT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85.421,00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42.647,00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PB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47.225,00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76.609,00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19.478,00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PR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308.939,00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RJ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340.655,00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RN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48.933,00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RO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14.680,00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RR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4.381,00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6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RS</w:t>
            </w:r>
          </w:p>
        </w:tc>
        <w:tc>
          <w:tcPr>
            <w:tcW w:w="3971" w:type="dxa"/>
          </w:tcPr>
          <w:p>
            <w:pPr>
              <w:pStyle w:val="TableParagraph"/>
              <w:spacing w:line="276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431.248,00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196.951,00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25.046,00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4"/>
              <w:ind w:left="66"/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4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1.117.795,00</w:t>
            </w:r>
          </w:p>
        </w:tc>
      </w:tr>
      <w:tr>
        <w:trPr>
          <w:trHeight w:val="314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24.639,00</w:t>
            </w:r>
          </w:p>
        </w:tc>
      </w:tr>
      <w:tr>
        <w:trPr>
          <w:trHeight w:val="316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3"/>
              <w:ind w:left="66"/>
              <w:rPr>
                <w:sz w:val="24"/>
              </w:rPr>
            </w:pPr>
            <w:r>
              <w:rPr>
                <w:sz w:val="24"/>
              </w:rPr>
              <w:t>CAU/BR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3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904.338,00</w:t>
            </w:r>
          </w:p>
        </w:tc>
      </w:tr>
      <w:tr>
        <w:trPr>
          <w:trHeight w:val="313" w:hRule="atLeast"/>
        </w:trPr>
        <w:tc>
          <w:tcPr>
            <w:tcW w:w="2125" w:type="dxa"/>
          </w:tcPr>
          <w:p>
            <w:pPr>
              <w:pStyle w:val="TableParagraph"/>
              <w:spacing w:line="273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 w:before="21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4.521.689,00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pgSz w:w="11910" w:h="16840"/>
          <w:pgMar w:header="0" w:footer="838" w:top="1520" w:bottom="1020" w:left="1480" w:right="980"/>
        </w:sectPr>
      </w:pPr>
    </w:p>
    <w:p>
      <w:pPr>
        <w:spacing w:before="40"/>
        <w:ind w:left="237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8827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RESOLUÇÃO N° 96, DE 4 DE DEZEMBRO DE 2014</w:t>
      </w:r>
    </w:p>
    <w:p>
      <w:pPr>
        <w:spacing w:before="0"/>
        <w:ind w:left="1196" w:right="1123" w:firstLine="0"/>
        <w:jc w:val="center"/>
        <w:rPr>
          <w:b/>
          <w:sz w:val="24"/>
        </w:rPr>
      </w:pPr>
      <w:r>
        <w:rPr>
          <w:b/>
          <w:sz w:val="24"/>
        </w:rPr>
        <w:t>ANEXO III - CENTRO DE SERVIÇOS COMPARTILHADOS EXERCÍCIO 2015 APORTES CAU/BR E CAU/UF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3838"/>
      </w:tblGrid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901" w:right="893"/>
              <w:jc w:val="center"/>
              <w:rPr>
                <w:sz w:val="24"/>
              </w:rPr>
            </w:pPr>
            <w:r>
              <w:rPr>
                <w:sz w:val="24"/>
              </w:rPr>
              <w:t>CAU</w:t>
            </w:r>
          </w:p>
        </w:tc>
        <w:tc>
          <w:tcPr>
            <w:tcW w:w="3838" w:type="dxa"/>
          </w:tcPr>
          <w:p>
            <w:pPr>
              <w:pStyle w:val="TableParagraph"/>
              <w:spacing w:line="273" w:lineRule="exact" w:before="21"/>
              <w:ind w:left="1118"/>
              <w:rPr>
                <w:sz w:val="24"/>
              </w:rPr>
            </w:pPr>
            <w:r>
              <w:rPr>
                <w:sz w:val="24"/>
              </w:rPr>
              <w:t>VALOR (R$ 1,00)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8.526,18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52.304,27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35.598,08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AP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13.534,94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BA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133.394,56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58.009,91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105.998,98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83.610,36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157.661,01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6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40.087,13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355.540,86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135.730,83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MT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121.047,65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60.433,13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PB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66.920,30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108.559,32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27.601,90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PR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437.786,22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RJ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482.730,14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RN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69.340,65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RO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20.802,69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6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RR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6.207,48</w:t>
            </w:r>
          </w:p>
        </w:tc>
      </w:tr>
      <w:tr>
        <w:trPr>
          <w:trHeight w:val="313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RS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611.106,50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279.092,06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SE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35.491,18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SP</w:t>
            </w:r>
          </w:p>
        </w:tc>
        <w:tc>
          <w:tcPr>
            <w:tcW w:w="3838" w:type="dxa"/>
          </w:tcPr>
          <w:p>
            <w:pPr>
              <w:pStyle w:val="TableParagraph"/>
              <w:spacing w:line="283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1.583.988,37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3"/>
              <w:ind w:left="69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11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34.915,29</w:t>
            </w:r>
          </w:p>
        </w:tc>
      </w:tr>
      <w:tr>
        <w:trPr>
          <w:trHeight w:val="314" w:hRule="atLeast"/>
        </w:trPr>
        <w:tc>
          <w:tcPr>
            <w:tcW w:w="2266" w:type="dxa"/>
          </w:tcPr>
          <w:p>
            <w:pPr>
              <w:pStyle w:val="TableParagraph"/>
              <w:spacing w:line="273" w:lineRule="exact" w:before="21"/>
              <w:ind w:left="124"/>
              <w:rPr>
                <w:sz w:val="24"/>
              </w:rPr>
            </w:pPr>
            <w:r>
              <w:rPr>
                <w:sz w:val="24"/>
              </w:rPr>
              <w:t>CAU/BR</w:t>
            </w:r>
          </w:p>
        </w:tc>
        <w:tc>
          <w:tcPr>
            <w:tcW w:w="3838" w:type="dxa"/>
          </w:tcPr>
          <w:p>
            <w:pPr>
              <w:pStyle w:val="TableParagraph"/>
              <w:spacing w:line="285" w:lineRule="exact" w:before="9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1.281.505,00</w:t>
            </w:r>
          </w:p>
        </w:tc>
      </w:tr>
      <w:tr>
        <w:trPr>
          <w:trHeight w:val="316" w:hRule="atLeast"/>
        </w:trPr>
        <w:tc>
          <w:tcPr>
            <w:tcW w:w="2266" w:type="dxa"/>
          </w:tcPr>
          <w:p>
            <w:pPr>
              <w:pStyle w:val="TableParagraph"/>
              <w:spacing w:line="276" w:lineRule="exact" w:before="21"/>
              <w:ind w:left="6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38" w:type="dxa"/>
          </w:tcPr>
          <w:p>
            <w:pPr>
              <w:pStyle w:val="TableParagraph"/>
              <w:spacing w:line="276" w:lineRule="exact" w:before="21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6.407.524,99</w:t>
            </w:r>
          </w:p>
        </w:tc>
      </w:tr>
    </w:tbl>
    <w:sectPr>
      <w:pgSz w:w="11910" w:h="16840"/>
      <w:pgMar w:header="0" w:footer="838" w:top="1520" w:bottom="102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9.03949pt;width:420.7pt;height:24.65pt;mso-position-horizontal-relative:page;mso-position-vertical-relative:page;z-index:-47320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19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aubr.gov.br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2019-04-25T14:51:06Z</dcterms:created>
  <dcterms:modified xsi:type="dcterms:W3CDTF">2019-04-25T14:51:06Z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