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40"/>
        <w:ind w:left="3806"/>
      </w:pPr>
      <w:r>
        <w:rPr/>
        <w:drawing>
          <wp:anchor distT="0" distB="0" distL="0" distR="0" allowOverlap="1" layoutInCell="1" locked="0" behindDoc="1" simplePos="0" relativeHeight="268419503">
            <wp:simplePos x="0" y="0"/>
            <wp:positionH relativeFrom="page">
              <wp:posOffset>78739</wp:posOffset>
            </wp:positionH>
            <wp:positionV relativeFrom="page">
              <wp:posOffset>366545</wp:posOffset>
            </wp:positionV>
            <wp:extent cx="7481824" cy="953627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7481824" cy="9536279"/>
                    </a:xfrm>
                    <a:prstGeom prst="rect">
                      <a:avLst/>
                    </a:prstGeom>
                  </pic:spPr>
                </pic:pic>
              </a:graphicData>
            </a:graphic>
          </wp:anchor>
        </w:drawing>
      </w:r>
      <w:r>
        <w:rPr/>
        <w:t>RESOLUÇÃO N° 95, DE 4 DE DEZEMBRO DE 2014.</w:t>
      </w:r>
    </w:p>
    <w:p>
      <w:pPr>
        <w:pStyle w:val="BodyText"/>
        <w:rPr>
          <w:b/>
        </w:rPr>
      </w:pPr>
    </w:p>
    <w:p>
      <w:pPr>
        <w:pStyle w:val="BodyText"/>
        <w:ind w:left="5935" w:right="1126"/>
        <w:jc w:val="both"/>
      </w:pPr>
      <w:r>
        <w:rPr/>
        <w:t>Homologa o calendário definitivo consolidado do Regulamento Eleitoral aprovado pela Resolução CAU/BR n° 81, de 6 de junho de 2014, e dá outras</w:t>
      </w:r>
      <w:r>
        <w:rPr>
          <w:spacing w:val="-3"/>
        </w:rPr>
        <w:t> </w:t>
      </w:r>
      <w:r>
        <w:rPr/>
        <w:t>porvidências.</w:t>
      </w:r>
    </w:p>
    <w:p>
      <w:pPr>
        <w:pStyle w:val="BodyText"/>
        <w:spacing w:before="1"/>
      </w:pPr>
    </w:p>
    <w:p>
      <w:pPr>
        <w:pStyle w:val="BodyText"/>
        <w:spacing w:before="1"/>
        <w:ind w:left="1682" w:right="1129"/>
        <w:jc w:val="both"/>
      </w:pPr>
      <w:r>
        <w:rPr/>
        <w:t>O Conselho de Arquitetura e Urbanismo do Brasil (CAU/BR), no uso das competências previstas no art. 28 da Lei n° 12.378, de 31 de dezembro de 2010, e nos artigos 2°, 3° e 9° do Regimento Geral aprovado pela Resolução CAU/BR n° 33, de 6 de setembro de 2012, e de acordo com a deliberação adotada na Reunião Plenária Ordinária n° 31, realizada nos dias 5 e 6 de junho de</w:t>
      </w:r>
      <w:r>
        <w:rPr>
          <w:spacing w:val="-4"/>
        </w:rPr>
        <w:t> </w:t>
      </w:r>
      <w:r>
        <w:rPr/>
        <w:t>2014;</w:t>
      </w:r>
    </w:p>
    <w:p>
      <w:pPr>
        <w:pStyle w:val="BodyText"/>
        <w:spacing w:before="11"/>
        <w:rPr>
          <w:sz w:val="23"/>
        </w:rPr>
      </w:pPr>
    </w:p>
    <w:p>
      <w:pPr>
        <w:pStyle w:val="BodyText"/>
        <w:ind w:left="1682" w:right="1134"/>
        <w:jc w:val="both"/>
      </w:pPr>
      <w:r>
        <w:rPr/>
        <w:t>Considerando que a Comissão Eleitoral Nacional (CEN), por meio da Deliberação Ordinária n° 2/2014 – CEN-CAUBR, de 26 de novembro de 2014, propõe ao Plenário do CAU/BR ajustes no Calendário Eleitoral aprovado pela Resolução CAU/BR n° 81, de 6 de junho de</w:t>
      </w:r>
      <w:r>
        <w:rPr>
          <w:spacing w:val="-24"/>
        </w:rPr>
        <w:t> </w:t>
      </w:r>
      <w:r>
        <w:rPr/>
        <w:t>2014;</w:t>
      </w:r>
    </w:p>
    <w:p>
      <w:pPr>
        <w:pStyle w:val="BodyText"/>
        <w:spacing w:before="2"/>
      </w:pPr>
    </w:p>
    <w:p>
      <w:pPr>
        <w:pStyle w:val="BodyText"/>
        <w:ind w:left="1682" w:right="1127"/>
        <w:jc w:val="both"/>
      </w:pPr>
      <w:r>
        <w:rPr/>
        <w:t>Considerando que o Regulamento Eleitoral aprovado pela Resolução CAU/BR n° 81, de 6 de junho de 2014, estabelece, no seu art. 65, que “A comissão eleitoral nacional promoverá os ajustes que se fizerem necessários no calendário eleitoral aprovado na forma deste Regulamento Eleitoral, com vistas a permitir a realização do pleito, submetendo suas deliberações ao Plenário do CAU/BR”</w:t>
      </w:r>
    </w:p>
    <w:p>
      <w:pPr>
        <w:pStyle w:val="BodyText"/>
        <w:spacing w:before="11"/>
        <w:rPr>
          <w:sz w:val="23"/>
        </w:rPr>
      </w:pPr>
    </w:p>
    <w:p>
      <w:pPr>
        <w:pStyle w:val="Heading1"/>
        <w:ind w:left="1682"/>
        <w:jc w:val="both"/>
      </w:pPr>
      <w:r>
        <w:rPr/>
        <w:t>RESOLVE:</w:t>
      </w:r>
    </w:p>
    <w:p>
      <w:pPr>
        <w:pStyle w:val="BodyText"/>
        <w:rPr>
          <w:b/>
        </w:rPr>
      </w:pPr>
    </w:p>
    <w:p>
      <w:pPr>
        <w:pStyle w:val="BodyText"/>
        <w:ind w:left="1682" w:right="1127"/>
        <w:jc w:val="both"/>
      </w:pPr>
      <w:r>
        <w:rPr/>
        <w:t>Art. 1° Homologar, em conformidade com o art. 65 do Regulamento Eleitoral aprovado pela Resolução CAU/BR n° 81, de 6 de junho de 2014, na forma do Anexo a esta Resolução, o calendário eleitoral definitivo consolidado proposto pela Comissão Eleitoral Nacional do CAU/BR por meio da Deliberação Ordinária n° 2/2014 – CEN-CAUBR, de 26 de novembro de 2014.(1)</w:t>
      </w:r>
    </w:p>
    <w:p>
      <w:pPr>
        <w:pStyle w:val="BodyText"/>
        <w:spacing w:before="2"/>
      </w:pPr>
    </w:p>
    <w:p>
      <w:pPr>
        <w:pStyle w:val="BodyText"/>
        <w:ind w:left="1682" w:right="1127"/>
        <w:jc w:val="both"/>
      </w:pPr>
      <w:r>
        <w:rPr/>
        <w:t>Art. 2° Esta Resolução entra em vigor na data de sua publicação, com efeitos a partir de 26 de novembro de</w:t>
      </w:r>
      <w:r>
        <w:rPr>
          <w:spacing w:val="-4"/>
        </w:rPr>
        <w:t> </w:t>
      </w:r>
      <w:r>
        <w:rPr/>
        <w:t>2014.</w:t>
      </w:r>
    </w:p>
    <w:p>
      <w:pPr>
        <w:pStyle w:val="BodyText"/>
        <w:spacing w:before="11"/>
        <w:rPr>
          <w:sz w:val="23"/>
        </w:rPr>
      </w:pPr>
    </w:p>
    <w:p>
      <w:pPr>
        <w:pStyle w:val="BodyText"/>
        <w:ind w:left="1682" w:right="1129"/>
        <w:jc w:val="both"/>
      </w:pPr>
      <w:r>
        <w:rPr/>
        <w:t>(1) A íntegra do calendário eleitoral definitivo, para as Eleições de 2014 do CAU, na forma proposta pela Deliberação Ordinária n° 2/2014 – CEN-CAUBR, de 26 de novembro de 2014, está publicado no sítio eletrônico do CAU/BR, endereço eletrônico </w:t>
      </w:r>
      <w:hyperlink r:id="rId7">
        <w:r>
          <w:rPr/>
          <w:t>www.caubr.gov.br.</w:t>
        </w:r>
      </w:hyperlink>
    </w:p>
    <w:p>
      <w:pPr>
        <w:pStyle w:val="BodyText"/>
      </w:pPr>
    </w:p>
    <w:p>
      <w:pPr>
        <w:pStyle w:val="BodyText"/>
        <w:ind w:left="2157" w:right="1605"/>
        <w:jc w:val="center"/>
      </w:pPr>
      <w:r>
        <w:rPr/>
        <w:t>Brasília, 4 de dezembro de 2014.</w:t>
      </w:r>
    </w:p>
    <w:p>
      <w:pPr>
        <w:pStyle w:val="BodyText"/>
      </w:pPr>
    </w:p>
    <w:p>
      <w:pPr>
        <w:pStyle w:val="BodyText"/>
      </w:pPr>
    </w:p>
    <w:p>
      <w:pPr>
        <w:pStyle w:val="BodyText"/>
      </w:pPr>
    </w:p>
    <w:p>
      <w:pPr>
        <w:pStyle w:val="Heading1"/>
        <w:ind w:right="1611"/>
        <w:jc w:val="center"/>
      </w:pPr>
      <w:r>
        <w:rPr/>
        <w:t>HAROLDO PINHEIRO VILLAR DE QUEIROZ</w:t>
      </w:r>
    </w:p>
    <w:p>
      <w:pPr>
        <w:spacing w:before="0"/>
        <w:ind w:left="2157" w:right="1609" w:firstLine="0"/>
        <w:jc w:val="center"/>
        <w:rPr>
          <w:b/>
          <w:sz w:val="24"/>
        </w:rPr>
      </w:pPr>
      <w:r>
        <w:rPr>
          <w:b/>
          <w:sz w:val="24"/>
        </w:rPr>
        <w:t>Presidente do CAU/BR</w:t>
      </w:r>
    </w:p>
    <w:p>
      <w:pPr>
        <w:pStyle w:val="BodyText"/>
        <w:rPr>
          <w:b/>
        </w:rPr>
      </w:pPr>
    </w:p>
    <w:p>
      <w:pPr>
        <w:pStyle w:val="BodyText"/>
        <w:spacing w:before="11"/>
        <w:rPr>
          <w:b/>
          <w:sz w:val="23"/>
        </w:rPr>
      </w:pPr>
    </w:p>
    <w:p>
      <w:pPr>
        <w:spacing w:before="0"/>
        <w:ind w:left="1682" w:right="0" w:firstLine="0"/>
        <w:jc w:val="both"/>
        <w:rPr>
          <w:sz w:val="22"/>
        </w:rPr>
      </w:pPr>
      <w:r>
        <w:rPr>
          <w:sz w:val="22"/>
        </w:rPr>
        <w:t>(Publicada no Diário Oficial da União, Edição n° 247, Seção 1, de 22 de dezembro de 2014)</w:t>
      </w:r>
    </w:p>
    <w:p>
      <w:pPr>
        <w:spacing w:after="0"/>
        <w:jc w:val="both"/>
        <w:rPr>
          <w:sz w:val="22"/>
        </w:rPr>
        <w:sectPr>
          <w:footerReference w:type="default" r:id="rId5"/>
          <w:type w:val="continuous"/>
          <w:pgSz w:w="11910" w:h="16840"/>
          <w:pgMar w:footer="758" w:top="1520" w:bottom="940" w:left="20" w:right="0"/>
        </w:sectPr>
      </w:pPr>
    </w:p>
    <w:p>
      <w:pPr>
        <w:pStyle w:val="BodyText"/>
        <w:spacing w:before="2"/>
        <w:rPr>
          <w:sz w:val="18"/>
        </w:rPr>
      </w:pPr>
      <w:r>
        <w:rPr/>
        <w:drawing>
          <wp:anchor distT="0" distB="0" distL="0" distR="0" allowOverlap="1" layoutInCell="1" locked="0" behindDoc="1" simplePos="0" relativeHeight="268419527">
            <wp:simplePos x="0" y="0"/>
            <wp:positionH relativeFrom="page">
              <wp:posOffset>78739</wp:posOffset>
            </wp:positionH>
            <wp:positionV relativeFrom="page">
              <wp:posOffset>366545</wp:posOffset>
            </wp:positionV>
            <wp:extent cx="7481824" cy="9536279"/>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7481824" cy="9536279"/>
                    </a:xfrm>
                    <a:prstGeom prst="rect">
                      <a:avLst/>
                    </a:prstGeom>
                  </pic:spPr>
                </pic:pic>
              </a:graphicData>
            </a:graphic>
          </wp:anchor>
        </w:drawing>
      </w:r>
    </w:p>
    <w:p>
      <w:pPr>
        <w:pStyle w:val="Heading1"/>
        <w:spacing w:before="51"/>
        <w:ind w:left="3918"/>
      </w:pPr>
      <w:r>
        <w:rPr/>
        <w:t>CALENDÁRIO ELEITORAL – ELEIÇÕES CAU 2014</w:t>
      </w:r>
    </w:p>
    <w:p>
      <w:pPr>
        <w:pStyle w:val="BodyText"/>
        <w:spacing w:line="242" w:lineRule="auto"/>
        <w:ind w:left="2157" w:right="1611"/>
        <w:jc w:val="center"/>
      </w:pPr>
      <w:r>
        <w:rPr/>
        <w:t>(Aprovado pela Resolução CAU/BR n° 81, de 6 de junho de 2014, com alterações da Resolução n° 95, de 4 de dezembro de 2014)</w:t>
      </w:r>
    </w:p>
    <w:p>
      <w:pPr>
        <w:pStyle w:val="BodyText"/>
        <w:spacing w:before="9"/>
        <w:rPr>
          <w:sz w:val="23"/>
        </w:rPr>
      </w:pPr>
    </w:p>
    <w:tbl>
      <w:tblPr>
        <w:tblW w:w="0" w:type="auto"/>
        <w:jc w:val="left"/>
        <w:tblInd w:w="1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1419"/>
        <w:gridCol w:w="2835"/>
      </w:tblGrid>
      <w:tr>
        <w:trPr>
          <w:trHeight w:val="345" w:hRule="atLeast"/>
        </w:trPr>
        <w:tc>
          <w:tcPr>
            <w:tcW w:w="4928" w:type="dxa"/>
          </w:tcPr>
          <w:p>
            <w:pPr>
              <w:pStyle w:val="TableParagraph"/>
              <w:ind w:left="2199" w:right="2191"/>
              <w:jc w:val="center"/>
              <w:rPr>
                <w:b/>
                <w:sz w:val="24"/>
              </w:rPr>
            </w:pPr>
            <w:r>
              <w:rPr>
                <w:b/>
                <w:sz w:val="24"/>
              </w:rPr>
              <w:t>FASE</w:t>
            </w:r>
          </w:p>
        </w:tc>
        <w:tc>
          <w:tcPr>
            <w:tcW w:w="1419" w:type="dxa"/>
          </w:tcPr>
          <w:p>
            <w:pPr>
              <w:pStyle w:val="TableParagraph"/>
              <w:ind w:left="302"/>
              <w:rPr>
                <w:b/>
                <w:sz w:val="24"/>
              </w:rPr>
            </w:pPr>
            <w:r>
              <w:rPr>
                <w:b/>
                <w:sz w:val="24"/>
              </w:rPr>
              <w:t>AGENTE</w:t>
            </w:r>
          </w:p>
        </w:tc>
        <w:tc>
          <w:tcPr>
            <w:tcW w:w="2835" w:type="dxa"/>
          </w:tcPr>
          <w:p>
            <w:pPr>
              <w:pStyle w:val="TableParagraph"/>
              <w:ind w:left="1051" w:right="1048"/>
              <w:jc w:val="center"/>
              <w:rPr>
                <w:b/>
                <w:sz w:val="24"/>
              </w:rPr>
            </w:pPr>
            <w:r>
              <w:rPr>
                <w:b/>
                <w:sz w:val="24"/>
              </w:rPr>
              <w:t>PRAZO</w:t>
            </w:r>
          </w:p>
        </w:tc>
      </w:tr>
      <w:tr>
        <w:trPr>
          <w:trHeight w:val="587" w:hRule="atLeast"/>
        </w:trPr>
        <w:tc>
          <w:tcPr>
            <w:tcW w:w="4928" w:type="dxa"/>
          </w:tcPr>
          <w:p>
            <w:pPr>
              <w:pStyle w:val="TableParagraph"/>
              <w:spacing w:line="290" w:lineRule="atLeast" w:before="1"/>
              <w:ind w:right="1049"/>
              <w:rPr>
                <w:sz w:val="24"/>
              </w:rPr>
            </w:pPr>
            <w:r>
              <w:rPr>
                <w:sz w:val="24"/>
              </w:rPr>
              <w:t>Aprovação do Regulamento Eleitoral e constituição da CEN e da CE-IE</w:t>
            </w:r>
          </w:p>
        </w:tc>
        <w:tc>
          <w:tcPr>
            <w:tcW w:w="1419" w:type="dxa"/>
          </w:tcPr>
          <w:p>
            <w:pPr>
              <w:pStyle w:val="TableParagraph"/>
              <w:spacing w:line="240" w:lineRule="auto" w:before="1"/>
              <w:rPr>
                <w:sz w:val="24"/>
              </w:rPr>
            </w:pPr>
            <w:r>
              <w:rPr>
                <w:sz w:val="24"/>
              </w:rPr>
              <w:t>CAU/BR</w:t>
            </w:r>
          </w:p>
        </w:tc>
        <w:tc>
          <w:tcPr>
            <w:tcW w:w="2835" w:type="dxa"/>
          </w:tcPr>
          <w:p>
            <w:pPr>
              <w:pStyle w:val="TableParagraph"/>
              <w:spacing w:line="290" w:lineRule="atLeast" w:before="1"/>
              <w:ind w:right="79"/>
              <w:rPr>
                <w:sz w:val="24"/>
              </w:rPr>
            </w:pPr>
            <w:r>
              <w:rPr>
                <w:sz w:val="24"/>
              </w:rPr>
              <w:t>Reunião Plenária Ordinária de junho de 2014</w:t>
            </w:r>
          </w:p>
        </w:tc>
      </w:tr>
      <w:tr>
        <w:trPr>
          <w:trHeight w:val="921" w:hRule="atLeast"/>
        </w:trPr>
        <w:tc>
          <w:tcPr>
            <w:tcW w:w="4928" w:type="dxa"/>
          </w:tcPr>
          <w:p>
            <w:pPr>
              <w:pStyle w:val="TableParagraph"/>
              <w:spacing w:line="240" w:lineRule="auto"/>
              <w:ind w:right="581"/>
              <w:jc w:val="both"/>
              <w:rPr>
                <w:sz w:val="24"/>
              </w:rPr>
            </w:pPr>
            <w:r>
              <w:rPr>
                <w:sz w:val="24"/>
              </w:rPr>
              <w:t>Publicação da Resolução e do Regulamento Eleitoral no DOU e nos sítios eletrônicos do CAU/BR e dos CAU/UF*</w:t>
            </w:r>
          </w:p>
        </w:tc>
        <w:tc>
          <w:tcPr>
            <w:tcW w:w="1419" w:type="dxa"/>
          </w:tcPr>
          <w:p>
            <w:pPr>
              <w:pStyle w:val="TableParagraph"/>
              <w:spacing w:line="240" w:lineRule="auto"/>
              <w:ind w:right="333"/>
              <w:rPr>
                <w:sz w:val="24"/>
              </w:rPr>
            </w:pPr>
            <w:r>
              <w:rPr>
                <w:sz w:val="24"/>
              </w:rPr>
              <w:t>CAU/BR e CAU/UF</w:t>
            </w:r>
          </w:p>
        </w:tc>
        <w:tc>
          <w:tcPr>
            <w:tcW w:w="2835" w:type="dxa"/>
          </w:tcPr>
          <w:p>
            <w:pPr>
              <w:pStyle w:val="TableParagraph"/>
              <w:rPr>
                <w:sz w:val="24"/>
              </w:rPr>
            </w:pPr>
            <w:r>
              <w:rPr>
                <w:sz w:val="24"/>
              </w:rPr>
              <w:t>Até 13 de junho de 2014</w:t>
            </w:r>
          </w:p>
        </w:tc>
      </w:tr>
      <w:tr>
        <w:trPr>
          <w:trHeight w:val="611" w:hRule="atLeast"/>
        </w:trPr>
        <w:tc>
          <w:tcPr>
            <w:tcW w:w="4928" w:type="dxa"/>
          </w:tcPr>
          <w:p>
            <w:pPr>
              <w:pStyle w:val="TableParagraph"/>
              <w:spacing w:line="240" w:lineRule="auto"/>
              <w:ind w:right="610"/>
              <w:rPr>
                <w:sz w:val="24"/>
              </w:rPr>
            </w:pPr>
            <w:r>
              <w:rPr>
                <w:sz w:val="24"/>
              </w:rPr>
              <w:t>Aprovação da constituição das CE-UF pelos Plenários dos CAU/UF</w:t>
            </w:r>
          </w:p>
        </w:tc>
        <w:tc>
          <w:tcPr>
            <w:tcW w:w="1419" w:type="dxa"/>
          </w:tcPr>
          <w:p>
            <w:pPr>
              <w:pStyle w:val="TableParagraph"/>
              <w:rPr>
                <w:sz w:val="24"/>
              </w:rPr>
            </w:pPr>
            <w:r>
              <w:rPr>
                <w:sz w:val="24"/>
              </w:rPr>
              <w:t>CAU/UF</w:t>
            </w:r>
          </w:p>
        </w:tc>
        <w:tc>
          <w:tcPr>
            <w:tcW w:w="2835" w:type="dxa"/>
          </w:tcPr>
          <w:p>
            <w:pPr>
              <w:pStyle w:val="TableParagraph"/>
              <w:spacing w:line="240" w:lineRule="auto"/>
              <w:ind w:right="450"/>
              <w:rPr>
                <w:sz w:val="24"/>
              </w:rPr>
            </w:pPr>
            <w:r>
              <w:rPr>
                <w:sz w:val="24"/>
              </w:rPr>
              <w:t>De 16 de junho a 15 de julho de 2014</w:t>
            </w:r>
          </w:p>
        </w:tc>
      </w:tr>
      <w:tr>
        <w:trPr>
          <w:trHeight w:val="921" w:hRule="atLeast"/>
        </w:trPr>
        <w:tc>
          <w:tcPr>
            <w:tcW w:w="4928" w:type="dxa"/>
          </w:tcPr>
          <w:p>
            <w:pPr>
              <w:pStyle w:val="TableParagraph"/>
              <w:spacing w:line="240" w:lineRule="auto"/>
              <w:ind w:right="205"/>
              <w:jc w:val="both"/>
              <w:rPr>
                <w:sz w:val="24"/>
              </w:rPr>
            </w:pPr>
            <w:r>
              <w:rPr>
                <w:sz w:val="24"/>
              </w:rPr>
              <w:t>Data considerada para o cálculo do número de conselheiros dos plenários dos CAU/UF (Art. 32 da lei 12.378/2010)</w:t>
            </w:r>
          </w:p>
        </w:tc>
        <w:tc>
          <w:tcPr>
            <w:tcW w:w="1419" w:type="dxa"/>
          </w:tcPr>
          <w:p>
            <w:pPr>
              <w:pStyle w:val="TableParagraph"/>
              <w:spacing w:line="240" w:lineRule="auto"/>
              <w:rPr>
                <w:sz w:val="24"/>
              </w:rPr>
            </w:pPr>
            <w:r>
              <w:rPr>
                <w:sz w:val="24"/>
              </w:rPr>
              <w:t>CAU/UF</w:t>
            </w:r>
          </w:p>
        </w:tc>
        <w:tc>
          <w:tcPr>
            <w:tcW w:w="2835" w:type="dxa"/>
          </w:tcPr>
          <w:p>
            <w:pPr>
              <w:pStyle w:val="TableParagraph"/>
              <w:spacing w:line="240" w:lineRule="auto"/>
              <w:rPr>
                <w:sz w:val="24"/>
              </w:rPr>
            </w:pPr>
            <w:r>
              <w:rPr>
                <w:sz w:val="24"/>
              </w:rPr>
              <w:t>15 de julho de 2014</w:t>
            </w:r>
          </w:p>
        </w:tc>
      </w:tr>
      <w:tr>
        <w:trPr>
          <w:trHeight w:val="604" w:hRule="atLeast"/>
        </w:trPr>
        <w:tc>
          <w:tcPr>
            <w:tcW w:w="4928" w:type="dxa"/>
          </w:tcPr>
          <w:p>
            <w:pPr>
              <w:pStyle w:val="TableParagraph"/>
              <w:rPr>
                <w:sz w:val="24"/>
              </w:rPr>
            </w:pPr>
            <w:r>
              <w:rPr>
                <w:sz w:val="24"/>
              </w:rPr>
              <w:t>Data limite para envio de correspondência às</w:t>
            </w:r>
          </w:p>
          <w:p>
            <w:pPr>
              <w:pStyle w:val="TableParagraph"/>
              <w:rPr>
                <w:sz w:val="24"/>
              </w:rPr>
            </w:pPr>
            <w:r>
              <w:rPr>
                <w:sz w:val="24"/>
              </w:rPr>
              <w:t>IES para a indicação de delegados eleitores</w:t>
            </w:r>
          </w:p>
        </w:tc>
        <w:tc>
          <w:tcPr>
            <w:tcW w:w="1419" w:type="dxa"/>
          </w:tcPr>
          <w:p>
            <w:pPr>
              <w:pStyle w:val="TableParagraph"/>
              <w:rPr>
                <w:sz w:val="24"/>
              </w:rPr>
            </w:pPr>
            <w:r>
              <w:rPr>
                <w:sz w:val="24"/>
              </w:rPr>
              <w:t>CE-IE</w:t>
            </w:r>
          </w:p>
        </w:tc>
        <w:tc>
          <w:tcPr>
            <w:tcW w:w="2835" w:type="dxa"/>
          </w:tcPr>
          <w:p>
            <w:pPr>
              <w:pStyle w:val="TableParagraph"/>
              <w:rPr>
                <w:sz w:val="24"/>
              </w:rPr>
            </w:pPr>
            <w:r>
              <w:rPr>
                <w:sz w:val="24"/>
              </w:rPr>
              <w:t>15 de julho de 2014</w:t>
            </w:r>
          </w:p>
        </w:tc>
      </w:tr>
      <w:tr>
        <w:trPr>
          <w:trHeight w:val="585" w:hRule="atLeast"/>
        </w:trPr>
        <w:tc>
          <w:tcPr>
            <w:tcW w:w="4928" w:type="dxa"/>
          </w:tcPr>
          <w:p>
            <w:pPr>
              <w:pStyle w:val="TableParagraph"/>
              <w:rPr>
                <w:sz w:val="24"/>
              </w:rPr>
            </w:pPr>
            <w:r>
              <w:rPr>
                <w:sz w:val="24"/>
              </w:rPr>
              <w:t>Comunicação à CEN das composições das CE-UF</w:t>
            </w:r>
          </w:p>
        </w:tc>
        <w:tc>
          <w:tcPr>
            <w:tcW w:w="1419" w:type="dxa"/>
          </w:tcPr>
          <w:p>
            <w:pPr>
              <w:pStyle w:val="TableParagraph"/>
              <w:rPr>
                <w:sz w:val="24"/>
              </w:rPr>
            </w:pPr>
            <w:r>
              <w:rPr>
                <w:sz w:val="24"/>
              </w:rPr>
              <w:t>CAU/UF</w:t>
            </w:r>
          </w:p>
        </w:tc>
        <w:tc>
          <w:tcPr>
            <w:tcW w:w="2835" w:type="dxa"/>
          </w:tcPr>
          <w:p>
            <w:pPr>
              <w:pStyle w:val="TableParagraph"/>
              <w:rPr>
                <w:sz w:val="24"/>
              </w:rPr>
            </w:pPr>
            <w:r>
              <w:rPr>
                <w:sz w:val="24"/>
              </w:rPr>
              <w:t>Até o dia 18 de julho de</w:t>
            </w:r>
          </w:p>
          <w:p>
            <w:pPr>
              <w:pStyle w:val="TableParagraph"/>
              <w:spacing w:line="273" w:lineRule="exact"/>
              <w:rPr>
                <w:sz w:val="24"/>
              </w:rPr>
            </w:pPr>
            <w:r>
              <w:rPr>
                <w:sz w:val="24"/>
              </w:rPr>
              <w:t>2014</w:t>
            </w:r>
          </w:p>
        </w:tc>
      </w:tr>
      <w:tr>
        <w:trPr>
          <w:trHeight w:val="587" w:hRule="atLeast"/>
        </w:trPr>
        <w:tc>
          <w:tcPr>
            <w:tcW w:w="4928" w:type="dxa"/>
          </w:tcPr>
          <w:p>
            <w:pPr>
              <w:pStyle w:val="TableParagraph"/>
              <w:rPr>
                <w:sz w:val="24"/>
              </w:rPr>
            </w:pPr>
            <w:r>
              <w:rPr>
                <w:sz w:val="24"/>
              </w:rPr>
              <w:t>Comunicação à CEN do cálculo do número de</w:t>
            </w:r>
          </w:p>
          <w:p>
            <w:pPr>
              <w:pStyle w:val="TableParagraph"/>
              <w:spacing w:line="273" w:lineRule="exact" w:before="2"/>
              <w:rPr>
                <w:sz w:val="24"/>
              </w:rPr>
            </w:pPr>
            <w:r>
              <w:rPr>
                <w:sz w:val="24"/>
              </w:rPr>
              <w:t>conselheiros do Plenário de cada CAU/UF</w:t>
            </w:r>
          </w:p>
        </w:tc>
        <w:tc>
          <w:tcPr>
            <w:tcW w:w="1419" w:type="dxa"/>
          </w:tcPr>
          <w:p>
            <w:pPr>
              <w:pStyle w:val="TableParagraph"/>
              <w:rPr>
                <w:sz w:val="24"/>
              </w:rPr>
            </w:pPr>
            <w:r>
              <w:rPr>
                <w:sz w:val="24"/>
              </w:rPr>
              <w:t>CE-UF</w:t>
            </w:r>
          </w:p>
        </w:tc>
        <w:tc>
          <w:tcPr>
            <w:tcW w:w="2835" w:type="dxa"/>
          </w:tcPr>
          <w:p>
            <w:pPr>
              <w:pStyle w:val="TableParagraph"/>
              <w:rPr>
                <w:sz w:val="24"/>
              </w:rPr>
            </w:pPr>
            <w:r>
              <w:rPr>
                <w:sz w:val="24"/>
              </w:rPr>
              <w:t>Até o dia 28 de julho de</w:t>
            </w:r>
          </w:p>
          <w:p>
            <w:pPr>
              <w:pStyle w:val="TableParagraph"/>
              <w:spacing w:line="273" w:lineRule="exact" w:before="2"/>
              <w:rPr>
                <w:sz w:val="24"/>
              </w:rPr>
            </w:pPr>
            <w:r>
              <w:rPr>
                <w:sz w:val="24"/>
              </w:rPr>
              <w:t>2014</w:t>
            </w:r>
          </w:p>
        </w:tc>
      </w:tr>
      <w:tr>
        <w:trPr>
          <w:trHeight w:val="921" w:hRule="atLeast"/>
        </w:trPr>
        <w:tc>
          <w:tcPr>
            <w:tcW w:w="4928" w:type="dxa"/>
          </w:tcPr>
          <w:p>
            <w:pPr>
              <w:pStyle w:val="TableParagraph"/>
              <w:spacing w:line="240" w:lineRule="auto"/>
              <w:ind w:right="101"/>
              <w:rPr>
                <w:sz w:val="24"/>
              </w:rPr>
            </w:pPr>
            <w:r>
              <w:rPr>
                <w:sz w:val="24"/>
              </w:rPr>
              <w:t>Publicação do edital de convocação eleitoral em DOU e nos sítios eletrônicos do CAU/BR e dos CAU/UF</w:t>
            </w:r>
          </w:p>
        </w:tc>
        <w:tc>
          <w:tcPr>
            <w:tcW w:w="1419" w:type="dxa"/>
          </w:tcPr>
          <w:p>
            <w:pPr>
              <w:pStyle w:val="TableParagraph"/>
              <w:spacing w:line="240" w:lineRule="auto"/>
              <w:ind w:right="507"/>
              <w:rPr>
                <w:sz w:val="24"/>
              </w:rPr>
            </w:pPr>
            <w:r>
              <w:rPr>
                <w:sz w:val="24"/>
              </w:rPr>
              <w:t>CEN- CAU/BR</w:t>
            </w:r>
          </w:p>
        </w:tc>
        <w:tc>
          <w:tcPr>
            <w:tcW w:w="2835" w:type="dxa"/>
          </w:tcPr>
          <w:p>
            <w:pPr>
              <w:pStyle w:val="TableParagraph"/>
              <w:rPr>
                <w:sz w:val="24"/>
              </w:rPr>
            </w:pPr>
            <w:r>
              <w:rPr>
                <w:sz w:val="24"/>
              </w:rPr>
              <w:t>Dia 4 de agosto de 2014</w:t>
            </w:r>
          </w:p>
        </w:tc>
      </w:tr>
      <w:tr>
        <w:trPr>
          <w:trHeight w:val="585" w:hRule="atLeast"/>
        </w:trPr>
        <w:tc>
          <w:tcPr>
            <w:tcW w:w="4928" w:type="dxa"/>
          </w:tcPr>
          <w:p>
            <w:pPr>
              <w:pStyle w:val="TableParagraph"/>
              <w:spacing w:line="293" w:lineRule="exact"/>
              <w:rPr>
                <w:sz w:val="24"/>
              </w:rPr>
            </w:pPr>
            <w:r>
              <w:rPr>
                <w:sz w:val="24"/>
              </w:rPr>
              <w:t>Data limite para envio de indicações de</w:t>
            </w:r>
          </w:p>
          <w:p>
            <w:pPr>
              <w:pStyle w:val="TableParagraph"/>
              <w:spacing w:line="273" w:lineRule="exact"/>
              <w:rPr>
                <w:sz w:val="24"/>
              </w:rPr>
            </w:pPr>
            <w:r>
              <w:rPr>
                <w:sz w:val="24"/>
              </w:rPr>
              <w:t>delegados eleitores das IES</w:t>
            </w:r>
          </w:p>
        </w:tc>
        <w:tc>
          <w:tcPr>
            <w:tcW w:w="1419" w:type="dxa"/>
          </w:tcPr>
          <w:p>
            <w:pPr>
              <w:pStyle w:val="TableParagraph"/>
              <w:spacing w:line="293" w:lineRule="exact"/>
              <w:rPr>
                <w:sz w:val="24"/>
              </w:rPr>
            </w:pPr>
            <w:r>
              <w:rPr>
                <w:sz w:val="24"/>
              </w:rPr>
              <w:t>IES</w:t>
            </w:r>
          </w:p>
        </w:tc>
        <w:tc>
          <w:tcPr>
            <w:tcW w:w="2835" w:type="dxa"/>
          </w:tcPr>
          <w:p>
            <w:pPr>
              <w:pStyle w:val="TableParagraph"/>
              <w:spacing w:line="293" w:lineRule="exact"/>
              <w:rPr>
                <w:sz w:val="24"/>
              </w:rPr>
            </w:pPr>
            <w:r>
              <w:rPr>
                <w:sz w:val="24"/>
              </w:rPr>
              <w:t>Dia 1° de setembro de</w:t>
            </w:r>
          </w:p>
          <w:p>
            <w:pPr>
              <w:pStyle w:val="TableParagraph"/>
              <w:spacing w:line="273" w:lineRule="exact"/>
              <w:rPr>
                <w:sz w:val="24"/>
              </w:rPr>
            </w:pPr>
            <w:r>
              <w:rPr>
                <w:sz w:val="24"/>
              </w:rPr>
              <w:t>2014</w:t>
            </w:r>
          </w:p>
        </w:tc>
      </w:tr>
      <w:tr>
        <w:trPr>
          <w:trHeight w:val="587" w:hRule="atLeast"/>
        </w:trPr>
        <w:tc>
          <w:tcPr>
            <w:tcW w:w="4928" w:type="dxa"/>
          </w:tcPr>
          <w:p>
            <w:pPr>
              <w:pStyle w:val="TableParagraph"/>
              <w:rPr>
                <w:sz w:val="24"/>
              </w:rPr>
            </w:pPr>
            <w:r>
              <w:rPr>
                <w:sz w:val="24"/>
              </w:rPr>
              <w:t>Divulgação prévia do colégio eleitoral das IES</w:t>
            </w:r>
          </w:p>
        </w:tc>
        <w:tc>
          <w:tcPr>
            <w:tcW w:w="1419" w:type="dxa"/>
          </w:tcPr>
          <w:p>
            <w:pPr>
              <w:pStyle w:val="TableParagraph"/>
              <w:rPr>
                <w:sz w:val="24"/>
              </w:rPr>
            </w:pPr>
            <w:r>
              <w:rPr>
                <w:sz w:val="24"/>
              </w:rPr>
              <w:t>CE-IE</w:t>
            </w:r>
          </w:p>
        </w:tc>
        <w:tc>
          <w:tcPr>
            <w:tcW w:w="2835" w:type="dxa"/>
          </w:tcPr>
          <w:p>
            <w:pPr>
              <w:pStyle w:val="TableParagraph"/>
              <w:rPr>
                <w:sz w:val="24"/>
              </w:rPr>
            </w:pPr>
            <w:r>
              <w:rPr>
                <w:sz w:val="24"/>
              </w:rPr>
              <w:t>Dia 2 de setembro de</w:t>
            </w:r>
          </w:p>
          <w:p>
            <w:pPr>
              <w:pStyle w:val="TableParagraph"/>
              <w:spacing w:line="275" w:lineRule="exact"/>
              <w:rPr>
                <w:sz w:val="24"/>
              </w:rPr>
            </w:pPr>
            <w:r>
              <w:rPr>
                <w:sz w:val="24"/>
              </w:rPr>
              <w:t>2014</w:t>
            </w:r>
          </w:p>
        </w:tc>
      </w:tr>
      <w:tr>
        <w:trPr>
          <w:trHeight w:val="921" w:hRule="atLeast"/>
        </w:trPr>
        <w:tc>
          <w:tcPr>
            <w:tcW w:w="4928" w:type="dxa"/>
          </w:tcPr>
          <w:p>
            <w:pPr>
              <w:pStyle w:val="TableParagraph"/>
              <w:spacing w:line="240" w:lineRule="auto"/>
              <w:ind w:right="148"/>
              <w:rPr>
                <w:sz w:val="24"/>
              </w:rPr>
            </w:pPr>
            <w:r>
              <w:rPr>
                <w:sz w:val="24"/>
              </w:rPr>
              <w:t>Data limite para recebimento de recurso contra a composição do colégio eleitoral das IES</w:t>
            </w:r>
          </w:p>
        </w:tc>
        <w:tc>
          <w:tcPr>
            <w:tcW w:w="1419" w:type="dxa"/>
          </w:tcPr>
          <w:p>
            <w:pPr>
              <w:pStyle w:val="TableParagraph"/>
              <w:rPr>
                <w:sz w:val="24"/>
              </w:rPr>
            </w:pPr>
            <w:r>
              <w:rPr>
                <w:sz w:val="24"/>
              </w:rPr>
              <w:t>Interessados</w:t>
            </w:r>
          </w:p>
        </w:tc>
        <w:tc>
          <w:tcPr>
            <w:tcW w:w="2835" w:type="dxa"/>
          </w:tcPr>
          <w:p>
            <w:pPr>
              <w:pStyle w:val="TableParagraph"/>
              <w:spacing w:line="240" w:lineRule="auto"/>
              <w:ind w:right="609"/>
              <w:rPr>
                <w:sz w:val="24"/>
              </w:rPr>
            </w:pPr>
            <w:r>
              <w:rPr>
                <w:sz w:val="24"/>
              </w:rPr>
              <w:t>Dia 5 de setembro de 2014</w:t>
            </w:r>
          </w:p>
        </w:tc>
      </w:tr>
      <w:tr>
        <w:trPr>
          <w:trHeight w:val="585" w:hRule="atLeast"/>
        </w:trPr>
        <w:tc>
          <w:tcPr>
            <w:tcW w:w="4928" w:type="dxa"/>
          </w:tcPr>
          <w:p>
            <w:pPr>
              <w:pStyle w:val="TableParagraph"/>
              <w:rPr>
                <w:sz w:val="24"/>
              </w:rPr>
            </w:pPr>
            <w:r>
              <w:rPr>
                <w:sz w:val="24"/>
              </w:rPr>
              <w:t>Data limite para contrarrazões de recurso</w:t>
            </w:r>
          </w:p>
          <w:p>
            <w:pPr>
              <w:pStyle w:val="TableParagraph"/>
              <w:spacing w:line="273" w:lineRule="exact"/>
              <w:rPr>
                <w:sz w:val="24"/>
              </w:rPr>
            </w:pPr>
            <w:r>
              <w:rPr>
                <w:sz w:val="24"/>
              </w:rPr>
              <w:t>contra a composição do colégio eleitoral das IES</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Dia 9 de setembro de</w:t>
            </w:r>
          </w:p>
          <w:p>
            <w:pPr>
              <w:pStyle w:val="TableParagraph"/>
              <w:spacing w:line="273" w:lineRule="exact"/>
              <w:rPr>
                <w:sz w:val="24"/>
              </w:rPr>
            </w:pPr>
            <w:r>
              <w:rPr>
                <w:sz w:val="24"/>
              </w:rPr>
              <w:t>2014</w:t>
            </w:r>
          </w:p>
        </w:tc>
      </w:tr>
      <w:tr>
        <w:trPr>
          <w:trHeight w:val="585" w:hRule="atLeast"/>
        </w:trPr>
        <w:tc>
          <w:tcPr>
            <w:tcW w:w="4928" w:type="dxa"/>
          </w:tcPr>
          <w:p>
            <w:pPr>
              <w:pStyle w:val="TableParagraph"/>
              <w:rPr>
                <w:sz w:val="24"/>
              </w:rPr>
            </w:pPr>
            <w:r>
              <w:rPr>
                <w:sz w:val="24"/>
              </w:rPr>
              <w:t>Data limite para julgamento de recurso contra a</w:t>
            </w:r>
          </w:p>
          <w:p>
            <w:pPr>
              <w:pStyle w:val="TableParagraph"/>
              <w:spacing w:line="273" w:lineRule="exact"/>
              <w:rPr>
                <w:sz w:val="24"/>
              </w:rPr>
            </w:pPr>
            <w:r>
              <w:rPr>
                <w:sz w:val="24"/>
              </w:rPr>
              <w:t>composição do colégio eleitoral das IES</w:t>
            </w:r>
          </w:p>
        </w:tc>
        <w:tc>
          <w:tcPr>
            <w:tcW w:w="1419" w:type="dxa"/>
          </w:tcPr>
          <w:p>
            <w:pPr>
              <w:pStyle w:val="TableParagraph"/>
              <w:rPr>
                <w:sz w:val="24"/>
              </w:rPr>
            </w:pPr>
            <w:r>
              <w:rPr>
                <w:sz w:val="24"/>
              </w:rPr>
              <w:t>CEN</w:t>
            </w:r>
          </w:p>
        </w:tc>
        <w:tc>
          <w:tcPr>
            <w:tcW w:w="2835" w:type="dxa"/>
          </w:tcPr>
          <w:p>
            <w:pPr>
              <w:pStyle w:val="TableParagraph"/>
              <w:rPr>
                <w:sz w:val="24"/>
              </w:rPr>
            </w:pPr>
            <w:r>
              <w:rPr>
                <w:sz w:val="24"/>
              </w:rPr>
              <w:t>Dia 12 de setembro de</w:t>
            </w:r>
          </w:p>
          <w:p>
            <w:pPr>
              <w:pStyle w:val="TableParagraph"/>
              <w:spacing w:line="273" w:lineRule="exact"/>
              <w:rPr>
                <w:sz w:val="24"/>
              </w:rPr>
            </w:pPr>
            <w:r>
              <w:rPr>
                <w:sz w:val="24"/>
              </w:rPr>
              <w:t>2014</w:t>
            </w:r>
          </w:p>
        </w:tc>
      </w:tr>
      <w:tr>
        <w:trPr>
          <w:trHeight w:val="587" w:hRule="atLeast"/>
        </w:trPr>
        <w:tc>
          <w:tcPr>
            <w:tcW w:w="4928" w:type="dxa"/>
          </w:tcPr>
          <w:p>
            <w:pPr>
              <w:pStyle w:val="TableParagraph"/>
              <w:spacing w:line="240" w:lineRule="auto" w:before="1"/>
              <w:rPr>
                <w:sz w:val="24"/>
              </w:rPr>
            </w:pPr>
            <w:r>
              <w:rPr>
                <w:sz w:val="24"/>
              </w:rPr>
              <w:t>Qualificação do colégio eleitoral das IES</w:t>
            </w:r>
          </w:p>
        </w:tc>
        <w:tc>
          <w:tcPr>
            <w:tcW w:w="1419" w:type="dxa"/>
          </w:tcPr>
          <w:p>
            <w:pPr>
              <w:pStyle w:val="TableParagraph"/>
              <w:spacing w:line="240" w:lineRule="auto" w:before="1"/>
              <w:rPr>
                <w:sz w:val="24"/>
              </w:rPr>
            </w:pPr>
            <w:r>
              <w:rPr>
                <w:sz w:val="24"/>
              </w:rPr>
              <w:t>CE-IE</w:t>
            </w:r>
          </w:p>
        </w:tc>
        <w:tc>
          <w:tcPr>
            <w:tcW w:w="2835" w:type="dxa"/>
          </w:tcPr>
          <w:p>
            <w:pPr>
              <w:pStyle w:val="TableParagraph"/>
              <w:spacing w:line="290" w:lineRule="atLeast" w:before="1"/>
              <w:ind w:right="487"/>
              <w:rPr>
                <w:sz w:val="24"/>
              </w:rPr>
            </w:pPr>
            <w:r>
              <w:rPr>
                <w:sz w:val="24"/>
              </w:rPr>
              <w:t>Dia 16 de setembro de 2014</w:t>
            </w:r>
          </w:p>
        </w:tc>
      </w:tr>
      <w:tr>
        <w:trPr>
          <w:trHeight w:val="614" w:hRule="atLeast"/>
        </w:trPr>
        <w:tc>
          <w:tcPr>
            <w:tcW w:w="4928" w:type="dxa"/>
          </w:tcPr>
          <w:p>
            <w:pPr>
              <w:pStyle w:val="TableParagraph"/>
              <w:spacing w:line="240" w:lineRule="auto"/>
              <w:ind w:right="908"/>
              <w:rPr>
                <w:sz w:val="24"/>
              </w:rPr>
            </w:pPr>
            <w:r>
              <w:rPr>
                <w:sz w:val="24"/>
              </w:rPr>
              <w:t>Período de requerimento de registro de candidatura</w:t>
            </w:r>
          </w:p>
        </w:tc>
        <w:tc>
          <w:tcPr>
            <w:tcW w:w="1419" w:type="dxa"/>
          </w:tcPr>
          <w:p>
            <w:pPr>
              <w:pStyle w:val="TableParagraph"/>
              <w:spacing w:line="240" w:lineRule="auto"/>
              <w:rPr>
                <w:sz w:val="24"/>
              </w:rPr>
            </w:pPr>
            <w:r>
              <w:rPr>
                <w:sz w:val="24"/>
              </w:rPr>
              <w:t>Chapas</w:t>
            </w:r>
          </w:p>
        </w:tc>
        <w:tc>
          <w:tcPr>
            <w:tcW w:w="2835" w:type="dxa"/>
          </w:tcPr>
          <w:p>
            <w:pPr>
              <w:pStyle w:val="TableParagraph"/>
              <w:spacing w:line="240" w:lineRule="auto"/>
              <w:ind w:right="193"/>
              <w:rPr>
                <w:sz w:val="24"/>
              </w:rPr>
            </w:pPr>
            <w:r>
              <w:rPr>
                <w:sz w:val="24"/>
              </w:rPr>
              <w:t>De 8 a 19 de setembro de 2014</w:t>
            </w:r>
          </w:p>
        </w:tc>
      </w:tr>
      <w:tr>
        <w:trPr>
          <w:trHeight w:val="585" w:hRule="atLeast"/>
        </w:trPr>
        <w:tc>
          <w:tcPr>
            <w:tcW w:w="4928" w:type="dxa"/>
          </w:tcPr>
          <w:p>
            <w:pPr>
              <w:pStyle w:val="TableParagraph"/>
              <w:rPr>
                <w:sz w:val="24"/>
              </w:rPr>
            </w:pPr>
            <w:r>
              <w:rPr>
                <w:sz w:val="24"/>
              </w:rPr>
              <w:t>Divulgação dos requerimentos de registros de</w:t>
            </w:r>
          </w:p>
          <w:p>
            <w:pPr>
              <w:pStyle w:val="TableParagraph"/>
              <w:spacing w:line="273" w:lineRule="exact"/>
              <w:rPr>
                <w:sz w:val="24"/>
              </w:rPr>
            </w:pPr>
            <w:r>
              <w:rPr>
                <w:sz w:val="24"/>
              </w:rPr>
              <w:t>candidatura apresentados</w:t>
            </w:r>
          </w:p>
        </w:tc>
        <w:tc>
          <w:tcPr>
            <w:tcW w:w="1419" w:type="dxa"/>
          </w:tcPr>
          <w:p>
            <w:pPr>
              <w:pStyle w:val="TableParagraph"/>
              <w:rPr>
                <w:sz w:val="24"/>
              </w:rPr>
            </w:pPr>
            <w:r>
              <w:rPr>
                <w:sz w:val="24"/>
              </w:rPr>
              <w:t>CE-UF e CE-</w:t>
            </w:r>
          </w:p>
          <w:p>
            <w:pPr>
              <w:pStyle w:val="TableParagraph"/>
              <w:spacing w:line="273" w:lineRule="exact"/>
              <w:rPr>
                <w:sz w:val="24"/>
              </w:rPr>
            </w:pPr>
            <w:r>
              <w:rPr>
                <w:sz w:val="24"/>
              </w:rPr>
              <w:t>IE</w:t>
            </w:r>
          </w:p>
        </w:tc>
        <w:tc>
          <w:tcPr>
            <w:tcW w:w="2835" w:type="dxa"/>
          </w:tcPr>
          <w:p>
            <w:pPr>
              <w:pStyle w:val="TableParagraph"/>
              <w:rPr>
                <w:sz w:val="24"/>
              </w:rPr>
            </w:pPr>
            <w:r>
              <w:rPr>
                <w:sz w:val="24"/>
              </w:rPr>
              <w:t>22 de setembro de 2014</w:t>
            </w:r>
          </w:p>
        </w:tc>
      </w:tr>
      <w:tr>
        <w:trPr>
          <w:trHeight w:val="390" w:hRule="atLeast"/>
        </w:trPr>
        <w:tc>
          <w:tcPr>
            <w:tcW w:w="4928" w:type="dxa"/>
          </w:tcPr>
          <w:p>
            <w:pPr>
              <w:pStyle w:val="TableParagraph"/>
              <w:rPr>
                <w:sz w:val="24"/>
              </w:rPr>
            </w:pPr>
            <w:r>
              <w:rPr>
                <w:sz w:val="24"/>
              </w:rPr>
              <w:t>Inicio da campanha e propaganda eleitorais</w:t>
            </w:r>
          </w:p>
        </w:tc>
        <w:tc>
          <w:tcPr>
            <w:tcW w:w="1419" w:type="dxa"/>
          </w:tcPr>
          <w:p>
            <w:pPr>
              <w:pStyle w:val="TableParagraph"/>
              <w:rPr>
                <w:sz w:val="24"/>
              </w:rPr>
            </w:pPr>
            <w:r>
              <w:rPr>
                <w:sz w:val="24"/>
              </w:rPr>
              <w:t>Candidaturas</w:t>
            </w:r>
          </w:p>
        </w:tc>
        <w:tc>
          <w:tcPr>
            <w:tcW w:w="2835" w:type="dxa"/>
          </w:tcPr>
          <w:p>
            <w:pPr>
              <w:pStyle w:val="TableParagraph"/>
              <w:rPr>
                <w:sz w:val="24"/>
              </w:rPr>
            </w:pPr>
            <w:r>
              <w:rPr>
                <w:sz w:val="24"/>
              </w:rPr>
              <w:t>23 de setembro de 2014</w:t>
            </w:r>
          </w:p>
        </w:tc>
      </w:tr>
      <w:tr>
        <w:trPr>
          <w:trHeight w:val="397" w:hRule="atLeast"/>
        </w:trPr>
        <w:tc>
          <w:tcPr>
            <w:tcW w:w="4928" w:type="dxa"/>
          </w:tcPr>
          <w:p>
            <w:pPr>
              <w:pStyle w:val="TableParagraph"/>
              <w:rPr>
                <w:sz w:val="24"/>
              </w:rPr>
            </w:pPr>
            <w:r>
              <w:rPr>
                <w:sz w:val="24"/>
              </w:rPr>
              <w:t>Impugnação de registros de candidaturas</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24 de setembro de 2014</w:t>
            </w:r>
          </w:p>
        </w:tc>
      </w:tr>
    </w:tbl>
    <w:p>
      <w:pPr>
        <w:spacing w:after="0"/>
        <w:rPr>
          <w:sz w:val="24"/>
        </w:rPr>
        <w:sectPr>
          <w:pgSz w:w="11910" w:h="16840"/>
          <w:pgMar w:header="0" w:footer="758" w:top="1580" w:bottom="1020" w:left="20" w:right="0"/>
        </w:sectPr>
      </w:pPr>
    </w:p>
    <w:p>
      <w:pPr>
        <w:pStyle w:val="BodyText"/>
        <w:rPr>
          <w:rFonts w:ascii="Times New Roman"/>
          <w:sz w:val="20"/>
        </w:rPr>
      </w:pPr>
      <w:r>
        <w:rPr/>
        <w:drawing>
          <wp:anchor distT="0" distB="0" distL="0" distR="0" allowOverlap="1" layoutInCell="1" locked="0" behindDoc="1" simplePos="0" relativeHeight="268419551">
            <wp:simplePos x="0" y="0"/>
            <wp:positionH relativeFrom="page">
              <wp:posOffset>78739</wp:posOffset>
            </wp:positionH>
            <wp:positionV relativeFrom="page">
              <wp:posOffset>366545</wp:posOffset>
            </wp:positionV>
            <wp:extent cx="7465800" cy="9515856"/>
            <wp:effectExtent l="0" t="0" r="0" b="0"/>
            <wp:wrapNone/>
            <wp:docPr id="5" name="image1.jpeg" descr=""/>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7465800" cy="9515856"/>
                    </a:xfrm>
                    <a:prstGeom prst="rect">
                      <a:avLst/>
                    </a:prstGeom>
                  </pic:spPr>
                </pic:pic>
              </a:graphicData>
            </a:graphic>
          </wp:anchor>
        </w:drawing>
      </w:r>
      <w:r>
        <w:rPr/>
        <w:pict>
          <v:rect style="position:absolute;margin-left:265.970001pt;margin-top:373.129944pt;width:2.76pt;height:.84003pt;mso-position-horizontal-relative:page;mso-position-vertical-relative:page;z-index:-15880" filled="true" fillcolor="#000000" stroked="false">
            <v:fill type="solid"/>
            <w10:wrap type="none"/>
          </v:rect>
        </w:pict>
      </w:r>
      <w:r>
        <w:rPr/>
        <w:pict>
          <v:rect style="position:absolute;margin-left:97.823997pt;margin-top:461.929993pt;width:2.76pt;height:.84pt;mso-position-horizontal-relative:page;mso-position-vertical-relative:page;z-index:-15856" filled="true" fillcolor="#000000" stroked="false">
            <v:fill type="solid"/>
            <w10:wrap type="none"/>
          </v:rect>
        </w:pict>
      </w:r>
      <w:r>
        <w:rPr/>
        <w:pict>
          <v:rect style="position:absolute;margin-left:203.330002pt;margin-top:521.109924pt;width:2.64pt;height:.84003pt;mso-position-horizontal-relative:page;mso-position-vertical-relative:page;z-index:-15832" filled="true" fillcolor="#000000" stroked="false">
            <v:fill type="solid"/>
            <w10:wrap type="none"/>
          </v:rect>
        </w:pict>
      </w:r>
    </w:p>
    <w:p>
      <w:pPr>
        <w:pStyle w:val="BodyText"/>
        <w:rPr>
          <w:rFonts w:ascii="Times New Roman"/>
          <w:sz w:val="20"/>
        </w:rPr>
      </w:pPr>
    </w:p>
    <w:p>
      <w:pPr>
        <w:pStyle w:val="BodyText"/>
        <w:rPr>
          <w:rFonts w:ascii="Times New Roman"/>
          <w:sz w:val="20"/>
        </w:rPr>
      </w:pPr>
    </w:p>
    <w:p>
      <w:pPr>
        <w:pStyle w:val="BodyText"/>
        <w:rPr>
          <w:rFonts w:ascii="Times New Roman"/>
          <w:sz w:val="27"/>
        </w:rPr>
      </w:pPr>
    </w:p>
    <w:tbl>
      <w:tblPr>
        <w:tblW w:w="0" w:type="auto"/>
        <w:jc w:val="left"/>
        <w:tblInd w:w="1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1419"/>
        <w:gridCol w:w="2835"/>
      </w:tblGrid>
      <w:tr>
        <w:trPr>
          <w:trHeight w:val="587" w:hRule="atLeast"/>
        </w:trPr>
        <w:tc>
          <w:tcPr>
            <w:tcW w:w="4928" w:type="dxa"/>
          </w:tcPr>
          <w:p>
            <w:pPr>
              <w:pStyle w:val="TableParagraph"/>
              <w:rPr>
                <w:sz w:val="24"/>
              </w:rPr>
            </w:pPr>
            <w:r>
              <w:rPr>
                <w:sz w:val="24"/>
              </w:rPr>
              <w:t>Divulgação dos extratos de impugnações</w:t>
            </w:r>
          </w:p>
        </w:tc>
        <w:tc>
          <w:tcPr>
            <w:tcW w:w="1419" w:type="dxa"/>
          </w:tcPr>
          <w:p>
            <w:pPr>
              <w:pStyle w:val="TableParagraph"/>
              <w:rPr>
                <w:sz w:val="24"/>
              </w:rPr>
            </w:pPr>
            <w:r>
              <w:rPr>
                <w:sz w:val="24"/>
              </w:rPr>
              <w:t>CE-UF e CE-</w:t>
            </w:r>
          </w:p>
          <w:p>
            <w:pPr>
              <w:pStyle w:val="TableParagraph"/>
              <w:spacing w:line="273" w:lineRule="exact" w:before="2"/>
              <w:rPr>
                <w:sz w:val="24"/>
              </w:rPr>
            </w:pPr>
            <w:r>
              <w:rPr>
                <w:sz w:val="24"/>
              </w:rPr>
              <w:t>IE</w:t>
            </w:r>
          </w:p>
        </w:tc>
        <w:tc>
          <w:tcPr>
            <w:tcW w:w="2835" w:type="dxa"/>
          </w:tcPr>
          <w:p>
            <w:pPr>
              <w:pStyle w:val="TableParagraph"/>
              <w:rPr>
                <w:sz w:val="24"/>
              </w:rPr>
            </w:pPr>
            <w:r>
              <w:rPr>
                <w:sz w:val="24"/>
              </w:rPr>
              <w:t>25 de setembro de 2014</w:t>
            </w:r>
          </w:p>
        </w:tc>
      </w:tr>
      <w:tr>
        <w:trPr>
          <w:trHeight w:val="585" w:hRule="atLeast"/>
        </w:trPr>
        <w:tc>
          <w:tcPr>
            <w:tcW w:w="4928" w:type="dxa"/>
          </w:tcPr>
          <w:p>
            <w:pPr>
              <w:pStyle w:val="TableParagraph"/>
              <w:rPr>
                <w:sz w:val="24"/>
              </w:rPr>
            </w:pPr>
            <w:r>
              <w:rPr>
                <w:sz w:val="24"/>
              </w:rPr>
              <w:t>Contestações de impugnações, regularização</w:t>
            </w:r>
          </w:p>
          <w:p>
            <w:pPr>
              <w:pStyle w:val="TableParagraph"/>
              <w:spacing w:line="273" w:lineRule="exact"/>
              <w:rPr>
                <w:sz w:val="24"/>
              </w:rPr>
            </w:pPr>
            <w:r>
              <w:rPr>
                <w:sz w:val="24"/>
              </w:rPr>
              <w:t>e/ou substituição de candidatos </w:t>
            </w:r>
            <w:r>
              <w:rPr>
                <w:color w:val="1F487C"/>
                <w:sz w:val="24"/>
              </w:rPr>
              <w:t>(casos omissos)</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29 e</w:t>
            </w:r>
            <w:r>
              <w:rPr>
                <w:color w:val="1F487C"/>
                <w:sz w:val="24"/>
              </w:rPr>
              <w:t> </w:t>
            </w:r>
            <w:r>
              <w:rPr>
                <w:color w:val="1F487C"/>
                <w:sz w:val="24"/>
                <w:u w:val="single" w:color="1F487C"/>
              </w:rPr>
              <w:t>30</w:t>
            </w:r>
            <w:r>
              <w:rPr>
                <w:color w:val="1F487C"/>
                <w:sz w:val="24"/>
              </w:rPr>
              <w:t> </w:t>
            </w:r>
            <w:r>
              <w:rPr>
                <w:sz w:val="24"/>
              </w:rPr>
              <w:t>de setembro de</w:t>
            </w:r>
          </w:p>
          <w:p>
            <w:pPr>
              <w:pStyle w:val="TableParagraph"/>
              <w:spacing w:line="273" w:lineRule="exact"/>
              <w:rPr>
                <w:sz w:val="24"/>
              </w:rPr>
            </w:pPr>
            <w:r>
              <w:rPr>
                <w:sz w:val="24"/>
              </w:rPr>
              <w:t>2014</w:t>
            </w:r>
          </w:p>
        </w:tc>
      </w:tr>
      <w:tr>
        <w:trPr>
          <w:trHeight w:val="1463" w:hRule="atLeast"/>
        </w:trPr>
        <w:tc>
          <w:tcPr>
            <w:tcW w:w="4928" w:type="dxa"/>
          </w:tcPr>
          <w:p>
            <w:pPr>
              <w:pStyle w:val="TableParagraph"/>
              <w:spacing w:line="240" w:lineRule="auto"/>
              <w:ind w:right="94"/>
              <w:rPr>
                <w:sz w:val="24"/>
              </w:rPr>
            </w:pPr>
            <w:r>
              <w:rPr>
                <w:color w:val="1F487C"/>
                <w:sz w:val="24"/>
                <w:u w:val="single" w:color="1F487C"/>
              </w:rPr>
              <w:t>Interposição de Recursos para as chapas que</w:t>
            </w:r>
            <w:r>
              <w:rPr>
                <w:color w:val="1F487C"/>
                <w:sz w:val="24"/>
              </w:rPr>
              <w:t> </w:t>
            </w:r>
            <w:r>
              <w:rPr>
                <w:color w:val="1F487C"/>
                <w:sz w:val="24"/>
                <w:u w:val="single" w:color="1F487C"/>
              </w:rPr>
              <w:t>não conseguiram finalizar a inscrição no módulo</w:t>
            </w:r>
            <w:r>
              <w:rPr>
                <w:color w:val="1F487C"/>
                <w:sz w:val="24"/>
              </w:rPr>
              <w:t> </w:t>
            </w:r>
            <w:r>
              <w:rPr>
                <w:color w:val="1F487C"/>
                <w:sz w:val="24"/>
                <w:u w:val="single" w:color="1F487C"/>
              </w:rPr>
              <w:t>eleitoral, por meio de e-mail à CE-UF, após o</w:t>
            </w:r>
            <w:r>
              <w:rPr>
                <w:color w:val="1F487C"/>
                <w:sz w:val="24"/>
              </w:rPr>
              <w:t> </w:t>
            </w:r>
            <w:r>
              <w:rPr>
                <w:color w:val="1F487C"/>
                <w:sz w:val="24"/>
                <w:u w:val="single" w:color="1F487C"/>
              </w:rPr>
              <w:t>Ofício n° 9/2014-CEN-CAUBR, de 29/09/2014</w:t>
            </w:r>
          </w:p>
          <w:p>
            <w:pPr>
              <w:pStyle w:val="TableParagraph"/>
              <w:spacing w:line="272" w:lineRule="exact"/>
              <w:rPr>
                <w:sz w:val="24"/>
              </w:rPr>
            </w:pPr>
            <w:r>
              <w:rPr>
                <w:color w:val="1F487C"/>
                <w:sz w:val="24"/>
              </w:rPr>
              <w:t>(casos omissos)</w:t>
            </w:r>
          </w:p>
        </w:tc>
        <w:tc>
          <w:tcPr>
            <w:tcW w:w="1419" w:type="dxa"/>
          </w:tcPr>
          <w:p>
            <w:pPr>
              <w:pStyle w:val="TableParagraph"/>
              <w:rPr>
                <w:sz w:val="24"/>
              </w:rPr>
            </w:pPr>
            <w:r>
              <w:rPr>
                <w:color w:val="1F487C"/>
                <w:sz w:val="24"/>
                <w:u w:val="single" w:color="1F487C"/>
              </w:rPr>
              <w:t>CE-UF</w:t>
            </w:r>
          </w:p>
        </w:tc>
        <w:tc>
          <w:tcPr>
            <w:tcW w:w="2835" w:type="dxa"/>
          </w:tcPr>
          <w:p>
            <w:pPr>
              <w:pStyle w:val="TableParagraph"/>
              <w:spacing w:line="240" w:lineRule="auto"/>
              <w:ind w:right="112"/>
              <w:rPr>
                <w:sz w:val="24"/>
              </w:rPr>
            </w:pPr>
            <w:r>
              <w:rPr>
                <w:color w:val="1F487C"/>
                <w:sz w:val="24"/>
                <w:u w:val="single" w:color="1F487C"/>
              </w:rPr>
              <w:t>De 30 de setembro a 1° de</w:t>
            </w:r>
            <w:r>
              <w:rPr>
                <w:color w:val="1F487C"/>
                <w:sz w:val="24"/>
              </w:rPr>
              <w:t> </w:t>
            </w:r>
            <w:r>
              <w:rPr>
                <w:color w:val="1F487C"/>
                <w:sz w:val="24"/>
                <w:u w:val="single" w:color="1F487C"/>
              </w:rPr>
              <w:t>outubro de 2014</w:t>
            </w:r>
          </w:p>
        </w:tc>
      </w:tr>
      <w:tr>
        <w:trPr>
          <w:trHeight w:val="1173" w:hRule="atLeast"/>
        </w:trPr>
        <w:tc>
          <w:tcPr>
            <w:tcW w:w="4928" w:type="dxa"/>
          </w:tcPr>
          <w:p>
            <w:pPr>
              <w:pStyle w:val="TableParagraph"/>
              <w:spacing w:line="290" w:lineRule="atLeast" w:before="1"/>
              <w:ind w:right="337"/>
              <w:rPr>
                <w:sz w:val="24"/>
              </w:rPr>
            </w:pPr>
            <w:r>
              <w:rPr>
                <w:color w:val="1F487C"/>
                <w:sz w:val="24"/>
                <w:u w:val="single" w:color="1F487C"/>
              </w:rPr>
              <w:t>Divulgação da relação das chapas que</w:t>
            </w:r>
            <w:r>
              <w:rPr>
                <w:color w:val="1F487C"/>
                <w:sz w:val="24"/>
              </w:rPr>
              <w:t> </w:t>
            </w:r>
            <w:r>
              <w:rPr>
                <w:color w:val="1F487C"/>
                <w:sz w:val="24"/>
                <w:u w:val="single" w:color="1F487C"/>
              </w:rPr>
              <w:t>interpuseram recursos, nos sites dos CAU/UF,</w:t>
            </w:r>
            <w:r>
              <w:rPr>
                <w:color w:val="1F487C"/>
                <w:sz w:val="24"/>
              </w:rPr>
              <w:t> </w:t>
            </w:r>
            <w:r>
              <w:rPr>
                <w:color w:val="1F487C"/>
                <w:sz w:val="24"/>
                <w:u w:val="single" w:color="1F487C"/>
              </w:rPr>
              <w:t>após o Ofício n° 9/2014-CEN-CAUBR, de</w:t>
            </w:r>
            <w:r>
              <w:rPr>
                <w:color w:val="1F487C"/>
                <w:sz w:val="24"/>
              </w:rPr>
              <w:t> </w:t>
            </w:r>
            <w:r>
              <w:rPr>
                <w:color w:val="1F487C"/>
                <w:sz w:val="24"/>
                <w:u w:val="single" w:color="1F487C"/>
              </w:rPr>
              <w:t>29/09/2014</w:t>
            </w:r>
            <w:r>
              <w:rPr>
                <w:color w:val="1F487C"/>
                <w:sz w:val="24"/>
              </w:rPr>
              <w:t> (casos omissos)</w:t>
            </w:r>
          </w:p>
        </w:tc>
        <w:tc>
          <w:tcPr>
            <w:tcW w:w="1419" w:type="dxa"/>
          </w:tcPr>
          <w:p>
            <w:pPr>
              <w:pStyle w:val="TableParagraph"/>
              <w:spacing w:line="240" w:lineRule="auto" w:before="1"/>
              <w:rPr>
                <w:sz w:val="24"/>
              </w:rPr>
            </w:pPr>
            <w:r>
              <w:rPr>
                <w:color w:val="1F487C"/>
                <w:sz w:val="24"/>
                <w:u w:val="single" w:color="1F487C"/>
              </w:rPr>
              <w:t>CE-UF</w:t>
            </w:r>
          </w:p>
        </w:tc>
        <w:tc>
          <w:tcPr>
            <w:tcW w:w="2835" w:type="dxa"/>
          </w:tcPr>
          <w:p>
            <w:pPr>
              <w:pStyle w:val="TableParagraph"/>
              <w:spacing w:line="240" w:lineRule="auto" w:before="1"/>
              <w:rPr>
                <w:sz w:val="24"/>
              </w:rPr>
            </w:pPr>
            <w:r>
              <w:rPr>
                <w:color w:val="1F487C"/>
                <w:sz w:val="24"/>
                <w:u w:val="single" w:color="1F487C"/>
              </w:rPr>
              <w:t>2 de outubro de 2014</w:t>
            </w:r>
          </w:p>
        </w:tc>
      </w:tr>
      <w:tr>
        <w:trPr>
          <w:trHeight w:val="1171" w:hRule="atLeast"/>
        </w:trPr>
        <w:tc>
          <w:tcPr>
            <w:tcW w:w="4928" w:type="dxa"/>
          </w:tcPr>
          <w:p>
            <w:pPr>
              <w:pStyle w:val="TableParagraph"/>
              <w:spacing w:line="290" w:lineRule="atLeast"/>
              <w:ind w:right="425"/>
              <w:rPr>
                <w:sz w:val="24"/>
              </w:rPr>
            </w:pPr>
            <w:r>
              <w:rPr>
                <w:sz w:val="24"/>
              </w:rPr>
              <w:t>Julgamento de registros de candidaturas, impugnações e contestações, </w:t>
            </w:r>
            <w:r>
              <w:rPr>
                <w:color w:val="1F487C"/>
                <w:sz w:val="24"/>
                <w:u w:val="single" w:color="1F487C"/>
              </w:rPr>
              <w:t>incluindo os</w:t>
            </w:r>
            <w:r>
              <w:rPr>
                <w:color w:val="1F487C"/>
                <w:sz w:val="24"/>
              </w:rPr>
              <w:t> </w:t>
            </w:r>
            <w:r>
              <w:rPr>
                <w:color w:val="1F487C"/>
                <w:sz w:val="24"/>
                <w:u w:val="single" w:color="1F487C"/>
              </w:rPr>
              <w:t>recursos do Ofício n° 9/2014-CEN-CAUBR, de</w:t>
            </w:r>
            <w:r>
              <w:rPr>
                <w:color w:val="1F487C"/>
                <w:sz w:val="24"/>
              </w:rPr>
              <w:t> </w:t>
            </w:r>
            <w:r>
              <w:rPr>
                <w:color w:val="1F487C"/>
                <w:sz w:val="24"/>
                <w:u w:val="single" w:color="1F487C"/>
              </w:rPr>
              <w:t>29/09/2014</w:t>
            </w:r>
            <w:r>
              <w:rPr>
                <w:color w:val="1F487C"/>
                <w:sz w:val="24"/>
              </w:rPr>
              <w:t> (casos omissos)</w:t>
            </w:r>
          </w:p>
        </w:tc>
        <w:tc>
          <w:tcPr>
            <w:tcW w:w="1419" w:type="dxa"/>
          </w:tcPr>
          <w:p>
            <w:pPr>
              <w:pStyle w:val="TableParagraph"/>
              <w:spacing w:line="240" w:lineRule="auto"/>
              <w:ind w:right="541"/>
              <w:rPr>
                <w:sz w:val="24"/>
              </w:rPr>
            </w:pPr>
            <w:r>
              <w:rPr>
                <w:sz w:val="24"/>
              </w:rPr>
              <w:t>CE-UF e CE-IE</w:t>
            </w:r>
          </w:p>
        </w:tc>
        <w:tc>
          <w:tcPr>
            <w:tcW w:w="2835" w:type="dxa"/>
          </w:tcPr>
          <w:p>
            <w:pPr>
              <w:pStyle w:val="TableParagraph"/>
              <w:spacing w:line="240" w:lineRule="auto"/>
              <w:ind w:right="379"/>
              <w:rPr>
                <w:sz w:val="24"/>
              </w:rPr>
            </w:pPr>
            <w:r>
              <w:rPr>
                <w:sz w:val="24"/>
              </w:rPr>
              <w:t>De 1° a 3 de outubro de 2014</w:t>
            </w:r>
          </w:p>
        </w:tc>
      </w:tr>
      <w:tr>
        <w:trPr>
          <w:trHeight w:val="1465" w:hRule="atLeast"/>
        </w:trPr>
        <w:tc>
          <w:tcPr>
            <w:tcW w:w="4928" w:type="dxa"/>
          </w:tcPr>
          <w:p>
            <w:pPr>
              <w:pStyle w:val="TableParagraph"/>
              <w:spacing w:line="240" w:lineRule="auto" w:before="1"/>
              <w:ind w:right="146"/>
              <w:rPr>
                <w:sz w:val="24"/>
              </w:rPr>
            </w:pPr>
            <w:r>
              <w:rPr>
                <w:sz w:val="24"/>
              </w:rPr>
              <w:t>Divulgação dos extratos de julgamento e candidaturas deferidas e indeferidas pela CE-UF e pela CE-IE, </w:t>
            </w:r>
            <w:r>
              <w:rPr>
                <w:color w:val="1F487C"/>
                <w:sz w:val="24"/>
                <w:u w:val="single" w:color="1F487C"/>
              </w:rPr>
              <w:t>incluindo os recursos do</w:t>
            </w:r>
            <w:r>
              <w:rPr>
                <w:color w:val="1F487C"/>
                <w:sz w:val="24"/>
              </w:rPr>
              <w:t> </w:t>
            </w:r>
            <w:r>
              <w:rPr>
                <w:color w:val="1F487C"/>
                <w:sz w:val="24"/>
                <w:u w:val="single" w:color="1F487C"/>
              </w:rPr>
              <w:t>Ofício n°</w:t>
            </w:r>
            <w:r>
              <w:rPr>
                <w:color w:val="1F487C"/>
                <w:sz w:val="24"/>
              </w:rPr>
              <w:t> </w:t>
            </w:r>
            <w:r>
              <w:rPr>
                <w:color w:val="1F487C"/>
                <w:sz w:val="24"/>
                <w:u w:val="single" w:color="1F487C"/>
              </w:rPr>
              <w:t>9/2014-CEN-CAUBR, de 29/09/2014</w:t>
            </w:r>
            <w:r>
              <w:rPr>
                <w:color w:val="1F487C"/>
                <w:sz w:val="24"/>
              </w:rPr>
              <w:t> (casos</w:t>
            </w:r>
          </w:p>
          <w:p>
            <w:pPr>
              <w:pStyle w:val="TableParagraph"/>
              <w:spacing w:line="272" w:lineRule="exact"/>
              <w:rPr>
                <w:sz w:val="24"/>
              </w:rPr>
            </w:pPr>
            <w:r>
              <w:rPr>
                <w:color w:val="1F487C"/>
                <w:sz w:val="24"/>
              </w:rPr>
              <w:t>omissos)</w:t>
            </w:r>
          </w:p>
        </w:tc>
        <w:tc>
          <w:tcPr>
            <w:tcW w:w="1419" w:type="dxa"/>
          </w:tcPr>
          <w:p>
            <w:pPr>
              <w:pStyle w:val="TableParagraph"/>
              <w:spacing w:line="240" w:lineRule="auto" w:before="6"/>
              <w:ind w:left="0"/>
              <w:rPr>
                <w:rFonts w:ascii="Times New Roman"/>
                <w:sz w:val="25"/>
              </w:rPr>
            </w:pPr>
          </w:p>
          <w:p>
            <w:pPr>
              <w:pStyle w:val="TableParagraph"/>
              <w:spacing w:line="240" w:lineRule="auto"/>
              <w:ind w:right="541"/>
              <w:rPr>
                <w:sz w:val="24"/>
              </w:rPr>
            </w:pPr>
            <w:r>
              <w:rPr>
                <w:sz w:val="24"/>
              </w:rPr>
              <w:t>CE-UF e CE-IE</w:t>
            </w:r>
          </w:p>
        </w:tc>
        <w:tc>
          <w:tcPr>
            <w:tcW w:w="2835" w:type="dxa"/>
          </w:tcPr>
          <w:p>
            <w:pPr>
              <w:pStyle w:val="TableParagraph"/>
              <w:spacing w:line="240" w:lineRule="auto" w:before="1"/>
              <w:rPr>
                <w:sz w:val="24"/>
              </w:rPr>
            </w:pPr>
            <w:r>
              <w:rPr>
                <w:sz w:val="24"/>
              </w:rPr>
              <w:t>3 de outubro de 2014</w:t>
            </w:r>
          </w:p>
        </w:tc>
      </w:tr>
      <w:tr>
        <w:trPr>
          <w:trHeight w:val="292" w:hRule="atLeast"/>
        </w:trPr>
        <w:tc>
          <w:tcPr>
            <w:tcW w:w="4928" w:type="dxa"/>
          </w:tcPr>
          <w:p>
            <w:pPr>
              <w:pStyle w:val="TableParagraph"/>
              <w:spacing w:line="272" w:lineRule="exact"/>
              <w:rPr>
                <w:sz w:val="24"/>
              </w:rPr>
            </w:pPr>
            <w:r>
              <w:rPr>
                <w:sz w:val="24"/>
              </w:rPr>
              <w:t>Divulgação prévia dos colégios eleitorais</w:t>
            </w:r>
          </w:p>
        </w:tc>
        <w:tc>
          <w:tcPr>
            <w:tcW w:w="1419" w:type="dxa"/>
          </w:tcPr>
          <w:p>
            <w:pPr>
              <w:pStyle w:val="TableParagraph"/>
              <w:spacing w:line="272" w:lineRule="exact"/>
              <w:rPr>
                <w:sz w:val="24"/>
              </w:rPr>
            </w:pPr>
            <w:r>
              <w:rPr>
                <w:sz w:val="24"/>
              </w:rPr>
              <w:t>CEN</w:t>
            </w:r>
          </w:p>
        </w:tc>
        <w:tc>
          <w:tcPr>
            <w:tcW w:w="2835" w:type="dxa"/>
          </w:tcPr>
          <w:p>
            <w:pPr>
              <w:pStyle w:val="TableParagraph"/>
              <w:spacing w:line="272" w:lineRule="exact"/>
              <w:rPr>
                <w:sz w:val="24"/>
              </w:rPr>
            </w:pPr>
            <w:r>
              <w:rPr>
                <w:sz w:val="24"/>
              </w:rPr>
              <w:t>3 de outubro de 2014</w:t>
            </w:r>
          </w:p>
        </w:tc>
      </w:tr>
      <w:tr>
        <w:trPr>
          <w:trHeight w:val="1173" w:hRule="atLeast"/>
        </w:trPr>
        <w:tc>
          <w:tcPr>
            <w:tcW w:w="4928" w:type="dxa"/>
          </w:tcPr>
          <w:p>
            <w:pPr>
              <w:pStyle w:val="TableParagraph"/>
              <w:spacing w:line="240" w:lineRule="auto"/>
              <w:ind w:right="95"/>
              <w:rPr>
                <w:sz w:val="24"/>
              </w:rPr>
            </w:pPr>
            <w:r>
              <w:rPr>
                <w:sz w:val="24"/>
              </w:rPr>
              <w:t>Recurso contra candidaturas deferidas e indeferidas dirigido à CEN, </w:t>
            </w:r>
            <w:r>
              <w:rPr>
                <w:color w:val="1F487C"/>
                <w:sz w:val="24"/>
                <w:u w:val="single" w:color="1F487C"/>
              </w:rPr>
              <w:t>incluindo os recursos</w:t>
            </w:r>
            <w:r>
              <w:rPr>
                <w:color w:val="1F487C"/>
                <w:sz w:val="24"/>
              </w:rPr>
              <w:t> </w:t>
            </w:r>
            <w:r>
              <w:rPr>
                <w:color w:val="1F487C"/>
                <w:sz w:val="24"/>
                <w:u w:val="single" w:color="1F487C"/>
              </w:rPr>
              <w:t>do</w:t>
            </w:r>
            <w:r>
              <w:rPr>
                <w:color w:val="1F487C"/>
                <w:sz w:val="24"/>
              </w:rPr>
              <w:t> </w:t>
            </w:r>
            <w:r>
              <w:rPr>
                <w:color w:val="1F487C"/>
                <w:sz w:val="24"/>
                <w:u w:val="single" w:color="1F487C"/>
              </w:rPr>
              <w:t>Ofício n° 9/2014-CEN-CAUBR, de 29/09/2014</w:t>
            </w:r>
          </w:p>
          <w:p>
            <w:pPr>
              <w:pStyle w:val="TableParagraph"/>
              <w:spacing w:line="275" w:lineRule="exact"/>
              <w:rPr>
                <w:sz w:val="24"/>
              </w:rPr>
            </w:pPr>
            <w:r>
              <w:rPr>
                <w:color w:val="1F487C"/>
                <w:sz w:val="24"/>
              </w:rPr>
              <w:t>(casos omissos)</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6 de outubro de 2014</w:t>
            </w:r>
          </w:p>
        </w:tc>
      </w:tr>
      <w:tr>
        <w:trPr>
          <w:trHeight w:val="1170" w:hRule="atLeast"/>
        </w:trPr>
        <w:tc>
          <w:tcPr>
            <w:tcW w:w="4928" w:type="dxa"/>
          </w:tcPr>
          <w:p>
            <w:pPr>
              <w:pStyle w:val="TableParagraph"/>
              <w:spacing w:line="240" w:lineRule="auto"/>
              <w:ind w:right="240"/>
              <w:rPr>
                <w:sz w:val="24"/>
              </w:rPr>
            </w:pPr>
            <w:r>
              <w:rPr>
                <w:sz w:val="24"/>
              </w:rPr>
              <w:t>Divulgação dos recursos contra decisões relacionadas a candidaturas e impugnações, </w:t>
            </w:r>
            <w:r>
              <w:rPr>
                <w:color w:val="1F487C"/>
                <w:sz w:val="24"/>
                <w:u w:val="single" w:color="1F487C"/>
              </w:rPr>
              <w:t>incluindo os recursos do</w:t>
            </w:r>
            <w:r>
              <w:rPr>
                <w:color w:val="1F487C"/>
                <w:sz w:val="24"/>
              </w:rPr>
              <w:t> </w:t>
            </w:r>
            <w:r>
              <w:rPr>
                <w:color w:val="1F487C"/>
                <w:sz w:val="24"/>
                <w:u w:val="single" w:color="1F487C"/>
              </w:rPr>
              <w:t>Ofício n° 9/2014-CEN-</w:t>
            </w:r>
          </w:p>
          <w:p>
            <w:pPr>
              <w:pStyle w:val="TableParagraph"/>
              <w:spacing w:line="273" w:lineRule="exact"/>
              <w:rPr>
                <w:sz w:val="24"/>
              </w:rPr>
            </w:pPr>
            <w:r>
              <w:rPr>
                <w:color w:val="1F487C"/>
                <w:sz w:val="24"/>
                <w:u w:val="single" w:color="1F487C"/>
              </w:rPr>
              <w:t>CAUBR, de 29/09/2014</w:t>
            </w:r>
            <w:r>
              <w:rPr>
                <w:color w:val="1F487C"/>
                <w:sz w:val="24"/>
              </w:rPr>
              <w:t> (casos omissos)</w:t>
            </w:r>
          </w:p>
        </w:tc>
        <w:tc>
          <w:tcPr>
            <w:tcW w:w="1419" w:type="dxa"/>
          </w:tcPr>
          <w:p>
            <w:pPr>
              <w:pStyle w:val="TableParagraph"/>
              <w:spacing w:line="240" w:lineRule="auto"/>
              <w:ind w:right="541"/>
              <w:rPr>
                <w:sz w:val="24"/>
              </w:rPr>
            </w:pPr>
            <w:r>
              <w:rPr>
                <w:sz w:val="24"/>
              </w:rPr>
              <w:t>CE-UF e CE-IE</w:t>
            </w:r>
          </w:p>
        </w:tc>
        <w:tc>
          <w:tcPr>
            <w:tcW w:w="2835" w:type="dxa"/>
          </w:tcPr>
          <w:p>
            <w:pPr>
              <w:pStyle w:val="TableParagraph"/>
              <w:rPr>
                <w:sz w:val="24"/>
              </w:rPr>
            </w:pPr>
            <w:r>
              <w:rPr>
                <w:sz w:val="24"/>
              </w:rPr>
              <w:t>7 de outubro de 2014</w:t>
            </w:r>
          </w:p>
        </w:tc>
      </w:tr>
      <w:tr>
        <w:trPr>
          <w:trHeight w:val="292" w:hRule="atLeast"/>
        </w:trPr>
        <w:tc>
          <w:tcPr>
            <w:tcW w:w="4928" w:type="dxa"/>
          </w:tcPr>
          <w:p>
            <w:pPr>
              <w:pStyle w:val="TableParagraph"/>
              <w:spacing w:line="272" w:lineRule="exact"/>
              <w:rPr>
                <w:sz w:val="24"/>
              </w:rPr>
            </w:pPr>
            <w:r>
              <w:rPr>
                <w:sz w:val="24"/>
              </w:rPr>
              <w:t>Contrarrazões aos recursos interpostos</w:t>
            </w:r>
          </w:p>
        </w:tc>
        <w:tc>
          <w:tcPr>
            <w:tcW w:w="1419" w:type="dxa"/>
          </w:tcPr>
          <w:p>
            <w:pPr>
              <w:pStyle w:val="TableParagraph"/>
              <w:spacing w:line="272" w:lineRule="exact"/>
              <w:rPr>
                <w:sz w:val="24"/>
              </w:rPr>
            </w:pPr>
            <w:r>
              <w:rPr>
                <w:sz w:val="24"/>
              </w:rPr>
              <w:t>Interessados</w:t>
            </w:r>
          </w:p>
        </w:tc>
        <w:tc>
          <w:tcPr>
            <w:tcW w:w="2835" w:type="dxa"/>
          </w:tcPr>
          <w:p>
            <w:pPr>
              <w:pStyle w:val="TableParagraph"/>
              <w:spacing w:line="272" w:lineRule="exact"/>
              <w:rPr>
                <w:sz w:val="24"/>
              </w:rPr>
            </w:pPr>
            <w:r>
              <w:rPr>
                <w:sz w:val="24"/>
              </w:rPr>
              <w:t>9 de outubro de 2014</w:t>
            </w:r>
          </w:p>
        </w:tc>
      </w:tr>
      <w:tr>
        <w:trPr>
          <w:trHeight w:val="587" w:hRule="atLeast"/>
        </w:trPr>
        <w:tc>
          <w:tcPr>
            <w:tcW w:w="4928" w:type="dxa"/>
          </w:tcPr>
          <w:p>
            <w:pPr>
              <w:pStyle w:val="TableParagraph"/>
              <w:rPr>
                <w:sz w:val="24"/>
              </w:rPr>
            </w:pPr>
            <w:r>
              <w:rPr>
                <w:sz w:val="24"/>
              </w:rPr>
              <w:t>Julgamento dos recursos contra decisões da CE-</w:t>
            </w:r>
          </w:p>
          <w:p>
            <w:pPr>
              <w:pStyle w:val="TableParagraph"/>
              <w:spacing w:line="275" w:lineRule="exact"/>
              <w:rPr>
                <w:sz w:val="24"/>
              </w:rPr>
            </w:pPr>
            <w:r>
              <w:rPr>
                <w:sz w:val="24"/>
              </w:rPr>
              <w:t>UF </w:t>
            </w:r>
            <w:r>
              <w:rPr>
                <w:color w:val="1F487C"/>
                <w:sz w:val="24"/>
              </w:rPr>
              <w:t>(casos omissos)</w:t>
            </w:r>
          </w:p>
        </w:tc>
        <w:tc>
          <w:tcPr>
            <w:tcW w:w="1419" w:type="dxa"/>
          </w:tcPr>
          <w:p>
            <w:pPr>
              <w:pStyle w:val="TableParagraph"/>
              <w:rPr>
                <w:sz w:val="24"/>
              </w:rPr>
            </w:pPr>
            <w:r>
              <w:rPr>
                <w:sz w:val="24"/>
              </w:rPr>
              <w:t>CEN</w:t>
            </w:r>
          </w:p>
        </w:tc>
        <w:tc>
          <w:tcPr>
            <w:tcW w:w="2835" w:type="dxa"/>
          </w:tcPr>
          <w:p>
            <w:pPr>
              <w:pStyle w:val="TableParagraph"/>
              <w:rPr>
                <w:sz w:val="24"/>
              </w:rPr>
            </w:pPr>
            <w:r>
              <w:rPr>
                <w:sz w:val="24"/>
              </w:rPr>
              <w:t>13 e</w:t>
            </w:r>
            <w:r>
              <w:rPr>
                <w:color w:val="1F487C"/>
                <w:sz w:val="24"/>
              </w:rPr>
              <w:t> </w:t>
            </w:r>
            <w:r>
              <w:rPr>
                <w:color w:val="1F487C"/>
                <w:sz w:val="24"/>
                <w:u w:val="single" w:color="1F487C"/>
              </w:rPr>
              <w:t>14</w:t>
            </w:r>
            <w:r>
              <w:rPr>
                <w:color w:val="1F487C"/>
                <w:sz w:val="24"/>
              </w:rPr>
              <w:t> </w:t>
            </w:r>
            <w:r>
              <w:rPr>
                <w:sz w:val="24"/>
              </w:rPr>
              <w:t>de outubro de</w:t>
            </w:r>
          </w:p>
          <w:p>
            <w:pPr>
              <w:pStyle w:val="TableParagraph"/>
              <w:spacing w:line="275" w:lineRule="exact"/>
              <w:rPr>
                <w:sz w:val="24"/>
              </w:rPr>
            </w:pPr>
            <w:r>
              <w:rPr>
                <w:sz w:val="24"/>
              </w:rPr>
              <w:t>2014</w:t>
            </w:r>
          </w:p>
        </w:tc>
      </w:tr>
      <w:tr>
        <w:trPr>
          <w:trHeight w:val="330" w:hRule="atLeast"/>
        </w:trPr>
        <w:tc>
          <w:tcPr>
            <w:tcW w:w="4928" w:type="dxa"/>
          </w:tcPr>
          <w:p>
            <w:pPr>
              <w:pStyle w:val="TableParagraph"/>
              <w:rPr>
                <w:sz w:val="24"/>
              </w:rPr>
            </w:pPr>
            <w:r>
              <w:rPr>
                <w:sz w:val="24"/>
              </w:rPr>
              <w:t>Comunicação à CE-UF das decisões da CEN</w:t>
            </w:r>
          </w:p>
        </w:tc>
        <w:tc>
          <w:tcPr>
            <w:tcW w:w="1419" w:type="dxa"/>
          </w:tcPr>
          <w:p>
            <w:pPr>
              <w:pStyle w:val="TableParagraph"/>
              <w:rPr>
                <w:sz w:val="24"/>
              </w:rPr>
            </w:pPr>
            <w:r>
              <w:rPr>
                <w:sz w:val="24"/>
              </w:rPr>
              <w:t>CEN</w:t>
            </w:r>
          </w:p>
        </w:tc>
        <w:tc>
          <w:tcPr>
            <w:tcW w:w="2835" w:type="dxa"/>
          </w:tcPr>
          <w:p>
            <w:pPr>
              <w:pStyle w:val="TableParagraph"/>
              <w:rPr>
                <w:sz w:val="24"/>
              </w:rPr>
            </w:pPr>
            <w:r>
              <w:rPr>
                <w:sz w:val="24"/>
              </w:rPr>
              <w:t>14 de outubro de 2014</w:t>
            </w:r>
          </w:p>
        </w:tc>
      </w:tr>
      <w:tr>
        <w:trPr>
          <w:trHeight w:val="587" w:hRule="atLeast"/>
        </w:trPr>
        <w:tc>
          <w:tcPr>
            <w:tcW w:w="4928" w:type="dxa"/>
          </w:tcPr>
          <w:p>
            <w:pPr>
              <w:pStyle w:val="TableParagraph"/>
              <w:spacing w:line="290" w:lineRule="atLeast" w:before="1"/>
              <w:ind w:right="391"/>
              <w:rPr>
                <w:sz w:val="24"/>
              </w:rPr>
            </w:pPr>
            <w:r>
              <w:rPr>
                <w:sz w:val="24"/>
              </w:rPr>
              <w:t>Divulgação dos resultados do julgamento das candidaturas registradas e indeferidas</w:t>
            </w:r>
          </w:p>
        </w:tc>
        <w:tc>
          <w:tcPr>
            <w:tcW w:w="1419" w:type="dxa"/>
          </w:tcPr>
          <w:p>
            <w:pPr>
              <w:pStyle w:val="TableParagraph"/>
              <w:spacing w:line="290" w:lineRule="atLeast" w:before="1"/>
              <w:ind w:right="541"/>
              <w:rPr>
                <w:sz w:val="24"/>
              </w:rPr>
            </w:pPr>
            <w:r>
              <w:rPr>
                <w:sz w:val="24"/>
              </w:rPr>
              <w:t>CE-UF e CE-IE</w:t>
            </w:r>
          </w:p>
        </w:tc>
        <w:tc>
          <w:tcPr>
            <w:tcW w:w="2835" w:type="dxa"/>
          </w:tcPr>
          <w:p>
            <w:pPr>
              <w:pStyle w:val="TableParagraph"/>
              <w:spacing w:line="240" w:lineRule="auto" w:before="1"/>
              <w:rPr>
                <w:sz w:val="24"/>
              </w:rPr>
            </w:pPr>
            <w:r>
              <w:rPr>
                <w:sz w:val="24"/>
              </w:rPr>
              <w:t>17 de outubro de 2014)</w:t>
            </w:r>
          </w:p>
        </w:tc>
      </w:tr>
      <w:tr>
        <w:trPr>
          <w:trHeight w:val="323" w:hRule="atLeast"/>
        </w:trPr>
        <w:tc>
          <w:tcPr>
            <w:tcW w:w="4928" w:type="dxa"/>
          </w:tcPr>
          <w:p>
            <w:pPr>
              <w:pStyle w:val="TableParagraph"/>
              <w:rPr>
                <w:sz w:val="24"/>
              </w:rPr>
            </w:pPr>
            <w:r>
              <w:rPr>
                <w:sz w:val="24"/>
              </w:rPr>
              <w:t>Qualificação do Colégio Eleitoral</w:t>
            </w:r>
          </w:p>
        </w:tc>
        <w:tc>
          <w:tcPr>
            <w:tcW w:w="1419" w:type="dxa"/>
          </w:tcPr>
          <w:p>
            <w:pPr>
              <w:pStyle w:val="TableParagraph"/>
              <w:rPr>
                <w:sz w:val="24"/>
              </w:rPr>
            </w:pPr>
            <w:r>
              <w:rPr>
                <w:sz w:val="24"/>
              </w:rPr>
              <w:t>CEN</w:t>
            </w:r>
          </w:p>
        </w:tc>
        <w:tc>
          <w:tcPr>
            <w:tcW w:w="2835" w:type="dxa"/>
          </w:tcPr>
          <w:p>
            <w:pPr>
              <w:pStyle w:val="TableParagraph"/>
              <w:rPr>
                <w:sz w:val="24"/>
              </w:rPr>
            </w:pPr>
            <w:r>
              <w:rPr>
                <w:sz w:val="24"/>
              </w:rPr>
              <w:t>3 de novembro de 2014</w:t>
            </w:r>
          </w:p>
        </w:tc>
      </w:tr>
      <w:tr>
        <w:trPr>
          <w:trHeight w:val="585" w:hRule="atLeast"/>
        </w:trPr>
        <w:tc>
          <w:tcPr>
            <w:tcW w:w="4928" w:type="dxa"/>
          </w:tcPr>
          <w:p>
            <w:pPr>
              <w:pStyle w:val="TableParagraph"/>
              <w:spacing w:line="240" w:lineRule="auto" w:before="146"/>
              <w:rPr>
                <w:sz w:val="24"/>
              </w:rPr>
            </w:pPr>
            <w:r>
              <w:rPr>
                <w:sz w:val="24"/>
              </w:rPr>
              <w:t>ELEIÇÃO</w:t>
            </w:r>
          </w:p>
        </w:tc>
        <w:tc>
          <w:tcPr>
            <w:tcW w:w="1419" w:type="dxa"/>
          </w:tcPr>
          <w:p>
            <w:pPr>
              <w:pStyle w:val="TableParagraph"/>
              <w:rPr>
                <w:sz w:val="24"/>
              </w:rPr>
            </w:pPr>
            <w:r>
              <w:rPr>
                <w:sz w:val="24"/>
              </w:rPr>
              <w:t>Colégio</w:t>
            </w:r>
          </w:p>
          <w:p>
            <w:pPr>
              <w:pStyle w:val="TableParagraph"/>
              <w:spacing w:line="273" w:lineRule="exact"/>
              <w:rPr>
                <w:sz w:val="24"/>
              </w:rPr>
            </w:pPr>
            <w:r>
              <w:rPr>
                <w:sz w:val="24"/>
              </w:rPr>
              <w:t>Eleitoral</w:t>
            </w:r>
          </w:p>
        </w:tc>
        <w:tc>
          <w:tcPr>
            <w:tcW w:w="2835" w:type="dxa"/>
          </w:tcPr>
          <w:p>
            <w:pPr>
              <w:pStyle w:val="TableParagraph"/>
              <w:spacing w:line="240" w:lineRule="auto" w:before="146"/>
              <w:rPr>
                <w:sz w:val="24"/>
              </w:rPr>
            </w:pPr>
            <w:r>
              <w:rPr>
                <w:sz w:val="24"/>
              </w:rPr>
              <w:t>5 de novembro de 2014</w:t>
            </w:r>
          </w:p>
        </w:tc>
      </w:tr>
      <w:tr>
        <w:trPr>
          <w:trHeight w:val="585" w:hRule="atLeast"/>
        </w:trPr>
        <w:tc>
          <w:tcPr>
            <w:tcW w:w="4928" w:type="dxa"/>
          </w:tcPr>
          <w:p>
            <w:pPr>
              <w:pStyle w:val="TableParagraph"/>
              <w:rPr>
                <w:sz w:val="24"/>
              </w:rPr>
            </w:pPr>
            <w:r>
              <w:rPr>
                <w:sz w:val="24"/>
              </w:rPr>
              <w:t>Publicação do resultado da eleição nos sítios</w:t>
            </w:r>
          </w:p>
          <w:p>
            <w:pPr>
              <w:pStyle w:val="TableParagraph"/>
              <w:spacing w:line="273" w:lineRule="exact"/>
              <w:rPr>
                <w:sz w:val="24"/>
              </w:rPr>
            </w:pPr>
            <w:r>
              <w:rPr>
                <w:sz w:val="24"/>
              </w:rPr>
              <w:t>eletrônicos do CAU/BR e dos CAU/UF</w:t>
            </w:r>
          </w:p>
        </w:tc>
        <w:tc>
          <w:tcPr>
            <w:tcW w:w="1419" w:type="dxa"/>
          </w:tcPr>
          <w:p>
            <w:pPr>
              <w:pStyle w:val="TableParagraph"/>
              <w:rPr>
                <w:sz w:val="24"/>
              </w:rPr>
            </w:pPr>
            <w:r>
              <w:rPr>
                <w:sz w:val="24"/>
              </w:rPr>
              <w:t>CEN</w:t>
            </w:r>
          </w:p>
        </w:tc>
        <w:tc>
          <w:tcPr>
            <w:tcW w:w="2835" w:type="dxa"/>
          </w:tcPr>
          <w:p>
            <w:pPr>
              <w:pStyle w:val="TableParagraph"/>
              <w:rPr>
                <w:sz w:val="24"/>
              </w:rPr>
            </w:pPr>
            <w:r>
              <w:rPr>
                <w:sz w:val="24"/>
              </w:rPr>
              <w:t>7 de novembro de 2014</w:t>
            </w:r>
          </w:p>
        </w:tc>
      </w:tr>
      <w:tr>
        <w:trPr>
          <w:trHeight w:val="292" w:hRule="atLeast"/>
        </w:trPr>
        <w:tc>
          <w:tcPr>
            <w:tcW w:w="4928" w:type="dxa"/>
          </w:tcPr>
          <w:p>
            <w:pPr>
              <w:pStyle w:val="TableParagraph"/>
              <w:spacing w:line="272" w:lineRule="exact"/>
              <w:rPr>
                <w:sz w:val="24"/>
              </w:rPr>
            </w:pPr>
            <w:r>
              <w:rPr>
                <w:sz w:val="24"/>
              </w:rPr>
              <w:t>Impugnação do resultado das eleições</w:t>
            </w:r>
          </w:p>
        </w:tc>
        <w:tc>
          <w:tcPr>
            <w:tcW w:w="1419" w:type="dxa"/>
          </w:tcPr>
          <w:p>
            <w:pPr>
              <w:pStyle w:val="TableParagraph"/>
              <w:spacing w:line="272" w:lineRule="exact"/>
              <w:rPr>
                <w:sz w:val="24"/>
              </w:rPr>
            </w:pPr>
            <w:r>
              <w:rPr>
                <w:sz w:val="24"/>
              </w:rPr>
              <w:t>Interessados</w:t>
            </w:r>
          </w:p>
        </w:tc>
        <w:tc>
          <w:tcPr>
            <w:tcW w:w="2835" w:type="dxa"/>
          </w:tcPr>
          <w:p>
            <w:pPr>
              <w:pStyle w:val="TableParagraph"/>
              <w:spacing w:line="272" w:lineRule="exact"/>
              <w:rPr>
                <w:sz w:val="24"/>
              </w:rPr>
            </w:pPr>
            <w:r>
              <w:rPr>
                <w:sz w:val="24"/>
              </w:rPr>
              <w:t>10 de novembro de 2014</w:t>
            </w:r>
          </w:p>
        </w:tc>
      </w:tr>
      <w:tr>
        <w:trPr>
          <w:trHeight w:val="880" w:hRule="atLeast"/>
        </w:trPr>
        <w:tc>
          <w:tcPr>
            <w:tcW w:w="4928" w:type="dxa"/>
          </w:tcPr>
          <w:p>
            <w:pPr>
              <w:pStyle w:val="TableParagraph"/>
              <w:spacing w:line="240" w:lineRule="auto" w:before="1"/>
              <w:ind w:right="222"/>
              <w:rPr>
                <w:sz w:val="24"/>
              </w:rPr>
            </w:pPr>
            <w:r>
              <w:rPr>
                <w:sz w:val="24"/>
              </w:rPr>
              <w:t>Divulgação dos extratos de impugnações do resultado das eleições nos sítios eletrônicos do</w:t>
            </w:r>
          </w:p>
          <w:p>
            <w:pPr>
              <w:pStyle w:val="TableParagraph"/>
              <w:spacing w:line="273" w:lineRule="exact"/>
              <w:rPr>
                <w:sz w:val="24"/>
              </w:rPr>
            </w:pPr>
            <w:r>
              <w:rPr>
                <w:sz w:val="24"/>
              </w:rPr>
              <w:t>CAU/BR e dos CAU/UF</w:t>
            </w:r>
          </w:p>
        </w:tc>
        <w:tc>
          <w:tcPr>
            <w:tcW w:w="1419" w:type="dxa"/>
          </w:tcPr>
          <w:p>
            <w:pPr>
              <w:pStyle w:val="TableParagraph"/>
              <w:spacing w:line="240" w:lineRule="auto" w:before="1"/>
              <w:ind w:right="407"/>
              <w:rPr>
                <w:sz w:val="24"/>
              </w:rPr>
            </w:pPr>
            <w:r>
              <w:rPr>
                <w:sz w:val="24"/>
              </w:rPr>
              <w:t>CE-UF ou CE-IE</w:t>
            </w:r>
          </w:p>
        </w:tc>
        <w:tc>
          <w:tcPr>
            <w:tcW w:w="2835" w:type="dxa"/>
          </w:tcPr>
          <w:p>
            <w:pPr>
              <w:pStyle w:val="TableParagraph"/>
              <w:spacing w:line="240" w:lineRule="auto" w:before="1"/>
              <w:rPr>
                <w:sz w:val="24"/>
              </w:rPr>
            </w:pPr>
            <w:r>
              <w:rPr>
                <w:sz w:val="24"/>
              </w:rPr>
              <w:t>11 de novembro de 2014</w:t>
            </w:r>
          </w:p>
        </w:tc>
      </w:tr>
    </w:tbl>
    <w:p>
      <w:pPr>
        <w:spacing w:after="0" w:line="240" w:lineRule="auto"/>
        <w:rPr>
          <w:sz w:val="24"/>
        </w:rPr>
        <w:sectPr>
          <w:pgSz w:w="11910" w:h="16840"/>
          <w:pgMar w:header="0" w:footer="758" w:top="560" w:bottom="940" w:left="20" w:right="0"/>
        </w:sectPr>
      </w:pPr>
    </w:p>
    <w:tbl>
      <w:tblPr>
        <w:tblW w:w="0" w:type="auto"/>
        <w:jc w:val="left"/>
        <w:tblInd w:w="1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8"/>
        <w:gridCol w:w="1419"/>
        <w:gridCol w:w="2835"/>
      </w:tblGrid>
      <w:tr>
        <w:trPr>
          <w:trHeight w:val="292" w:hRule="atLeast"/>
        </w:trPr>
        <w:tc>
          <w:tcPr>
            <w:tcW w:w="4928" w:type="dxa"/>
            <w:tcBorders>
              <w:bottom w:val="single" w:sz="6" w:space="0" w:color="000000"/>
            </w:tcBorders>
          </w:tcPr>
          <w:p>
            <w:pPr>
              <w:pStyle w:val="TableParagraph"/>
              <w:spacing w:line="272" w:lineRule="exact"/>
              <w:rPr>
                <w:sz w:val="24"/>
              </w:rPr>
            </w:pPr>
            <w:r>
              <w:rPr>
                <w:sz w:val="24"/>
              </w:rPr>
              <w:t>Contestações de impugnações</w:t>
            </w:r>
          </w:p>
        </w:tc>
        <w:tc>
          <w:tcPr>
            <w:tcW w:w="1419" w:type="dxa"/>
            <w:tcBorders>
              <w:bottom w:val="single" w:sz="6" w:space="0" w:color="000000"/>
            </w:tcBorders>
          </w:tcPr>
          <w:p>
            <w:pPr>
              <w:pStyle w:val="TableParagraph"/>
              <w:spacing w:line="272" w:lineRule="exact"/>
              <w:rPr>
                <w:sz w:val="24"/>
              </w:rPr>
            </w:pPr>
            <w:r>
              <w:rPr>
                <w:sz w:val="24"/>
              </w:rPr>
              <w:t>Interessados</w:t>
            </w:r>
          </w:p>
        </w:tc>
        <w:tc>
          <w:tcPr>
            <w:tcW w:w="2835" w:type="dxa"/>
            <w:tcBorders>
              <w:bottom w:val="single" w:sz="6" w:space="0" w:color="000000"/>
            </w:tcBorders>
          </w:tcPr>
          <w:p>
            <w:pPr>
              <w:pStyle w:val="TableParagraph"/>
              <w:spacing w:line="272" w:lineRule="exact"/>
              <w:rPr>
                <w:sz w:val="24"/>
              </w:rPr>
            </w:pPr>
            <w:r>
              <w:rPr>
                <w:sz w:val="24"/>
              </w:rPr>
              <w:t>13 de novembro de 2014</w:t>
            </w:r>
          </w:p>
        </w:tc>
      </w:tr>
      <w:tr>
        <w:trPr>
          <w:trHeight w:val="582" w:hRule="atLeast"/>
        </w:trPr>
        <w:tc>
          <w:tcPr>
            <w:tcW w:w="4928" w:type="dxa"/>
            <w:tcBorders>
              <w:top w:val="single" w:sz="6" w:space="0" w:color="000000"/>
            </w:tcBorders>
          </w:tcPr>
          <w:p>
            <w:pPr>
              <w:pStyle w:val="TableParagraph"/>
              <w:spacing w:line="290" w:lineRule="exact"/>
              <w:rPr>
                <w:sz w:val="24"/>
              </w:rPr>
            </w:pPr>
            <w:r>
              <w:rPr>
                <w:sz w:val="24"/>
              </w:rPr>
              <w:t>Julgamento das impugnações das eleições e</w:t>
            </w:r>
          </w:p>
          <w:p>
            <w:pPr>
              <w:pStyle w:val="TableParagraph"/>
              <w:spacing w:line="273" w:lineRule="exact"/>
              <w:rPr>
                <w:sz w:val="24"/>
              </w:rPr>
            </w:pPr>
            <w:r>
              <w:rPr>
                <w:sz w:val="24"/>
              </w:rPr>
              <w:t>contestações</w:t>
            </w:r>
          </w:p>
        </w:tc>
        <w:tc>
          <w:tcPr>
            <w:tcW w:w="1419" w:type="dxa"/>
            <w:tcBorders>
              <w:top w:val="single" w:sz="6" w:space="0" w:color="000000"/>
            </w:tcBorders>
          </w:tcPr>
          <w:p>
            <w:pPr>
              <w:pStyle w:val="TableParagraph"/>
              <w:spacing w:line="290" w:lineRule="exact"/>
              <w:rPr>
                <w:sz w:val="24"/>
              </w:rPr>
            </w:pPr>
            <w:r>
              <w:rPr>
                <w:sz w:val="24"/>
              </w:rPr>
              <w:t>CE-UF ou</w:t>
            </w:r>
          </w:p>
          <w:p>
            <w:pPr>
              <w:pStyle w:val="TableParagraph"/>
              <w:spacing w:line="273" w:lineRule="exact"/>
              <w:rPr>
                <w:sz w:val="24"/>
              </w:rPr>
            </w:pPr>
            <w:r>
              <w:rPr>
                <w:sz w:val="24"/>
              </w:rPr>
              <w:t>CE-IE</w:t>
            </w:r>
          </w:p>
        </w:tc>
        <w:tc>
          <w:tcPr>
            <w:tcW w:w="2835" w:type="dxa"/>
            <w:tcBorders>
              <w:top w:val="single" w:sz="6" w:space="0" w:color="000000"/>
            </w:tcBorders>
          </w:tcPr>
          <w:p>
            <w:pPr>
              <w:pStyle w:val="TableParagraph"/>
              <w:spacing w:line="290" w:lineRule="exact"/>
              <w:rPr>
                <w:sz w:val="24"/>
              </w:rPr>
            </w:pPr>
            <w:r>
              <w:rPr>
                <w:sz w:val="24"/>
              </w:rPr>
              <w:t>De 14 a 16 de novembro</w:t>
            </w:r>
          </w:p>
          <w:p>
            <w:pPr>
              <w:pStyle w:val="TableParagraph"/>
              <w:spacing w:line="273" w:lineRule="exact"/>
              <w:rPr>
                <w:sz w:val="24"/>
              </w:rPr>
            </w:pPr>
            <w:r>
              <w:rPr>
                <w:sz w:val="24"/>
              </w:rPr>
              <w:t>de 2014</w:t>
            </w:r>
          </w:p>
        </w:tc>
      </w:tr>
      <w:tr>
        <w:trPr>
          <w:trHeight w:val="585" w:hRule="atLeast"/>
        </w:trPr>
        <w:tc>
          <w:tcPr>
            <w:tcW w:w="4928" w:type="dxa"/>
          </w:tcPr>
          <w:p>
            <w:pPr>
              <w:pStyle w:val="TableParagraph"/>
              <w:rPr>
                <w:sz w:val="24"/>
              </w:rPr>
            </w:pPr>
            <w:r>
              <w:rPr>
                <w:sz w:val="24"/>
              </w:rPr>
              <w:t>Divulgação do resultado do julgamento das</w:t>
            </w:r>
          </w:p>
          <w:p>
            <w:pPr>
              <w:pStyle w:val="TableParagraph"/>
              <w:spacing w:line="273" w:lineRule="exact"/>
              <w:rPr>
                <w:sz w:val="24"/>
              </w:rPr>
            </w:pPr>
            <w:r>
              <w:rPr>
                <w:sz w:val="24"/>
              </w:rPr>
              <w:t>impugnações</w:t>
            </w:r>
          </w:p>
        </w:tc>
        <w:tc>
          <w:tcPr>
            <w:tcW w:w="1419" w:type="dxa"/>
          </w:tcPr>
          <w:p>
            <w:pPr>
              <w:pStyle w:val="TableParagraph"/>
              <w:rPr>
                <w:sz w:val="24"/>
              </w:rPr>
            </w:pPr>
            <w:r>
              <w:rPr>
                <w:sz w:val="24"/>
              </w:rPr>
              <w:t>CE-UF ou</w:t>
            </w:r>
          </w:p>
          <w:p>
            <w:pPr>
              <w:pStyle w:val="TableParagraph"/>
              <w:spacing w:line="273" w:lineRule="exact"/>
              <w:rPr>
                <w:sz w:val="24"/>
              </w:rPr>
            </w:pPr>
            <w:r>
              <w:rPr>
                <w:sz w:val="24"/>
              </w:rPr>
              <w:t>CE-IE</w:t>
            </w:r>
          </w:p>
        </w:tc>
        <w:tc>
          <w:tcPr>
            <w:tcW w:w="2835" w:type="dxa"/>
          </w:tcPr>
          <w:p>
            <w:pPr>
              <w:pStyle w:val="TableParagraph"/>
              <w:rPr>
                <w:sz w:val="24"/>
              </w:rPr>
            </w:pPr>
            <w:r>
              <w:rPr>
                <w:sz w:val="24"/>
              </w:rPr>
              <w:t>17 de novembro de 2014</w:t>
            </w:r>
          </w:p>
        </w:tc>
      </w:tr>
      <w:tr>
        <w:trPr>
          <w:trHeight w:val="585" w:hRule="atLeast"/>
        </w:trPr>
        <w:tc>
          <w:tcPr>
            <w:tcW w:w="4928" w:type="dxa"/>
          </w:tcPr>
          <w:p>
            <w:pPr>
              <w:pStyle w:val="TableParagraph"/>
              <w:rPr>
                <w:sz w:val="24"/>
              </w:rPr>
            </w:pPr>
            <w:r>
              <w:rPr>
                <w:sz w:val="24"/>
              </w:rPr>
              <w:t>Recursos à CEN contra a Decisão da CE-UF ou da</w:t>
            </w:r>
          </w:p>
          <w:p>
            <w:pPr>
              <w:pStyle w:val="TableParagraph"/>
              <w:spacing w:line="273" w:lineRule="exact"/>
              <w:rPr>
                <w:sz w:val="24"/>
              </w:rPr>
            </w:pPr>
            <w:r>
              <w:rPr>
                <w:sz w:val="24"/>
              </w:rPr>
              <w:t>CE-IE</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20 de novembro de 2014</w:t>
            </w:r>
          </w:p>
        </w:tc>
      </w:tr>
      <w:tr>
        <w:trPr>
          <w:trHeight w:val="587" w:hRule="atLeast"/>
        </w:trPr>
        <w:tc>
          <w:tcPr>
            <w:tcW w:w="4928" w:type="dxa"/>
          </w:tcPr>
          <w:p>
            <w:pPr>
              <w:pStyle w:val="TableParagraph"/>
              <w:spacing w:line="290" w:lineRule="atLeast" w:before="1"/>
              <w:ind w:right="498"/>
              <w:rPr>
                <w:sz w:val="24"/>
              </w:rPr>
            </w:pPr>
            <w:r>
              <w:rPr>
                <w:sz w:val="24"/>
              </w:rPr>
              <w:t>Divulgação dos extratos dos recursos contra decisões da CE-UF ou da CE-IE</w:t>
            </w:r>
          </w:p>
        </w:tc>
        <w:tc>
          <w:tcPr>
            <w:tcW w:w="1419" w:type="dxa"/>
          </w:tcPr>
          <w:p>
            <w:pPr>
              <w:pStyle w:val="TableParagraph"/>
              <w:spacing w:line="290" w:lineRule="atLeast" w:before="1"/>
              <w:ind w:right="407"/>
              <w:rPr>
                <w:sz w:val="24"/>
              </w:rPr>
            </w:pPr>
            <w:r>
              <w:rPr>
                <w:sz w:val="24"/>
              </w:rPr>
              <w:t>CE-UF ou CE-IE</w:t>
            </w:r>
          </w:p>
        </w:tc>
        <w:tc>
          <w:tcPr>
            <w:tcW w:w="2835" w:type="dxa"/>
          </w:tcPr>
          <w:p>
            <w:pPr>
              <w:pStyle w:val="TableParagraph"/>
              <w:spacing w:line="240" w:lineRule="auto" w:before="1"/>
              <w:rPr>
                <w:sz w:val="24"/>
              </w:rPr>
            </w:pPr>
            <w:r>
              <w:rPr>
                <w:sz w:val="24"/>
              </w:rPr>
              <w:t>21 de novembro de 2014</w:t>
            </w:r>
          </w:p>
        </w:tc>
      </w:tr>
      <w:tr>
        <w:trPr>
          <w:trHeight w:val="328" w:hRule="atLeast"/>
        </w:trPr>
        <w:tc>
          <w:tcPr>
            <w:tcW w:w="4928" w:type="dxa"/>
          </w:tcPr>
          <w:p>
            <w:pPr>
              <w:pStyle w:val="TableParagraph"/>
              <w:rPr>
                <w:sz w:val="24"/>
              </w:rPr>
            </w:pPr>
            <w:r>
              <w:rPr>
                <w:sz w:val="24"/>
              </w:rPr>
              <w:t>Contrarrazões aos recursos interpostos</w:t>
            </w:r>
          </w:p>
        </w:tc>
        <w:tc>
          <w:tcPr>
            <w:tcW w:w="1419" w:type="dxa"/>
          </w:tcPr>
          <w:p>
            <w:pPr>
              <w:pStyle w:val="TableParagraph"/>
              <w:rPr>
                <w:sz w:val="24"/>
              </w:rPr>
            </w:pPr>
            <w:r>
              <w:rPr>
                <w:sz w:val="24"/>
              </w:rPr>
              <w:t>Interessados</w:t>
            </w:r>
          </w:p>
        </w:tc>
        <w:tc>
          <w:tcPr>
            <w:tcW w:w="2835" w:type="dxa"/>
          </w:tcPr>
          <w:p>
            <w:pPr>
              <w:pStyle w:val="TableParagraph"/>
              <w:rPr>
                <w:sz w:val="24"/>
              </w:rPr>
            </w:pPr>
            <w:r>
              <w:rPr>
                <w:sz w:val="24"/>
              </w:rPr>
              <w:t>24 de novembro de 2014</w:t>
            </w:r>
          </w:p>
        </w:tc>
      </w:tr>
      <w:tr>
        <w:trPr>
          <w:trHeight w:val="585" w:hRule="atLeast"/>
        </w:trPr>
        <w:tc>
          <w:tcPr>
            <w:tcW w:w="4928" w:type="dxa"/>
          </w:tcPr>
          <w:p>
            <w:pPr>
              <w:pStyle w:val="TableParagraph"/>
              <w:rPr>
                <w:sz w:val="24"/>
              </w:rPr>
            </w:pPr>
            <w:r>
              <w:rPr>
                <w:sz w:val="24"/>
              </w:rPr>
              <w:t>Julgamento dos recursos contra decisões da CE-</w:t>
            </w:r>
          </w:p>
          <w:p>
            <w:pPr>
              <w:pStyle w:val="TableParagraph"/>
              <w:spacing w:line="273" w:lineRule="exact"/>
              <w:rPr>
                <w:sz w:val="24"/>
              </w:rPr>
            </w:pPr>
            <w:r>
              <w:rPr>
                <w:sz w:val="24"/>
              </w:rPr>
              <w:t>UF ou da CE-IE</w:t>
            </w:r>
          </w:p>
        </w:tc>
        <w:tc>
          <w:tcPr>
            <w:tcW w:w="1419" w:type="dxa"/>
          </w:tcPr>
          <w:p>
            <w:pPr>
              <w:pStyle w:val="TableParagraph"/>
              <w:rPr>
                <w:sz w:val="24"/>
              </w:rPr>
            </w:pPr>
            <w:r>
              <w:rPr>
                <w:sz w:val="24"/>
              </w:rPr>
              <w:t>CEN</w:t>
            </w:r>
          </w:p>
        </w:tc>
        <w:tc>
          <w:tcPr>
            <w:tcW w:w="2835" w:type="dxa"/>
          </w:tcPr>
          <w:p>
            <w:pPr>
              <w:pStyle w:val="TableParagraph"/>
              <w:rPr>
                <w:sz w:val="24"/>
              </w:rPr>
            </w:pPr>
            <w:r>
              <w:rPr>
                <w:sz w:val="24"/>
              </w:rPr>
              <w:t>De 25 a 28 de novembro</w:t>
            </w:r>
          </w:p>
          <w:p>
            <w:pPr>
              <w:pStyle w:val="TableParagraph"/>
              <w:spacing w:line="273" w:lineRule="exact"/>
              <w:rPr>
                <w:sz w:val="24"/>
              </w:rPr>
            </w:pPr>
            <w:r>
              <w:rPr>
                <w:sz w:val="24"/>
              </w:rPr>
              <w:t>de 2014</w:t>
            </w:r>
          </w:p>
        </w:tc>
      </w:tr>
      <w:tr>
        <w:trPr>
          <w:trHeight w:val="880" w:hRule="atLeast"/>
        </w:trPr>
        <w:tc>
          <w:tcPr>
            <w:tcW w:w="4928" w:type="dxa"/>
          </w:tcPr>
          <w:p>
            <w:pPr>
              <w:pStyle w:val="TableParagraph"/>
              <w:spacing w:line="240" w:lineRule="auto" w:before="1"/>
              <w:rPr>
                <w:sz w:val="24"/>
              </w:rPr>
            </w:pPr>
            <w:r>
              <w:rPr>
                <w:sz w:val="24"/>
              </w:rPr>
              <w:t>Divulgação do resultado da eleição pós-</w:t>
            </w:r>
          </w:p>
          <w:p>
            <w:pPr>
              <w:pStyle w:val="TableParagraph"/>
              <w:spacing w:line="290" w:lineRule="atLeast" w:before="1"/>
              <w:ind w:right="611"/>
              <w:rPr>
                <w:sz w:val="24"/>
              </w:rPr>
            </w:pPr>
            <w:r>
              <w:rPr>
                <w:sz w:val="24"/>
              </w:rPr>
              <w:t>julgamento de recursos (envio pela CEN de decisão para a CE-UF ou CE-IE)</w:t>
            </w:r>
          </w:p>
        </w:tc>
        <w:tc>
          <w:tcPr>
            <w:tcW w:w="1419" w:type="dxa"/>
          </w:tcPr>
          <w:p>
            <w:pPr>
              <w:pStyle w:val="TableParagraph"/>
              <w:spacing w:line="240" w:lineRule="auto" w:before="1"/>
              <w:rPr>
                <w:sz w:val="24"/>
              </w:rPr>
            </w:pPr>
            <w:r>
              <w:rPr>
                <w:sz w:val="24"/>
              </w:rPr>
              <w:t>CEN</w:t>
            </w:r>
          </w:p>
        </w:tc>
        <w:tc>
          <w:tcPr>
            <w:tcW w:w="2835" w:type="dxa"/>
          </w:tcPr>
          <w:p>
            <w:pPr>
              <w:pStyle w:val="TableParagraph"/>
              <w:spacing w:line="240" w:lineRule="auto" w:before="1"/>
              <w:rPr>
                <w:sz w:val="24"/>
              </w:rPr>
            </w:pPr>
            <w:r>
              <w:rPr>
                <w:sz w:val="24"/>
              </w:rPr>
              <w:t>28 de novembro de 2014</w:t>
            </w:r>
          </w:p>
        </w:tc>
      </w:tr>
      <w:tr>
        <w:trPr>
          <w:trHeight w:val="585" w:hRule="atLeast"/>
        </w:trPr>
        <w:tc>
          <w:tcPr>
            <w:tcW w:w="4928" w:type="dxa"/>
          </w:tcPr>
          <w:p>
            <w:pPr>
              <w:pStyle w:val="TableParagraph"/>
              <w:rPr>
                <w:sz w:val="24"/>
              </w:rPr>
            </w:pPr>
            <w:r>
              <w:rPr>
                <w:sz w:val="24"/>
              </w:rPr>
              <w:t>Envio dos relatórios conclusivos das eleições</w:t>
            </w:r>
          </w:p>
          <w:p>
            <w:pPr>
              <w:pStyle w:val="TableParagraph"/>
              <w:spacing w:line="273" w:lineRule="exact"/>
              <w:rPr>
                <w:sz w:val="24"/>
              </w:rPr>
            </w:pPr>
            <w:r>
              <w:rPr>
                <w:sz w:val="24"/>
              </w:rPr>
              <w:t>para a CEN</w:t>
            </w:r>
          </w:p>
        </w:tc>
        <w:tc>
          <w:tcPr>
            <w:tcW w:w="1419" w:type="dxa"/>
          </w:tcPr>
          <w:p>
            <w:pPr>
              <w:pStyle w:val="TableParagraph"/>
              <w:rPr>
                <w:sz w:val="24"/>
              </w:rPr>
            </w:pPr>
            <w:r>
              <w:rPr>
                <w:sz w:val="24"/>
              </w:rPr>
              <w:t>CE-UF e</w:t>
            </w:r>
          </w:p>
          <w:p>
            <w:pPr>
              <w:pStyle w:val="TableParagraph"/>
              <w:spacing w:line="273" w:lineRule="exact"/>
              <w:rPr>
                <w:sz w:val="24"/>
              </w:rPr>
            </w:pPr>
            <w:r>
              <w:rPr>
                <w:sz w:val="24"/>
              </w:rPr>
              <w:t>CE-IE</w:t>
            </w:r>
          </w:p>
        </w:tc>
        <w:tc>
          <w:tcPr>
            <w:tcW w:w="2835" w:type="dxa"/>
          </w:tcPr>
          <w:p>
            <w:pPr>
              <w:pStyle w:val="TableParagraph"/>
              <w:rPr>
                <w:sz w:val="24"/>
              </w:rPr>
            </w:pPr>
            <w:r>
              <w:rPr>
                <w:sz w:val="24"/>
              </w:rPr>
              <w:t>1° de dezembro de 2014</w:t>
            </w:r>
          </w:p>
        </w:tc>
      </w:tr>
      <w:tr>
        <w:trPr>
          <w:trHeight w:val="585" w:hRule="atLeast"/>
        </w:trPr>
        <w:tc>
          <w:tcPr>
            <w:tcW w:w="4928" w:type="dxa"/>
          </w:tcPr>
          <w:p>
            <w:pPr>
              <w:pStyle w:val="TableParagraph"/>
              <w:rPr>
                <w:sz w:val="24"/>
              </w:rPr>
            </w:pPr>
            <w:r>
              <w:rPr>
                <w:sz w:val="24"/>
              </w:rPr>
              <w:t>Encaminhar relatórios conclusivos das eleições</w:t>
            </w:r>
          </w:p>
          <w:p>
            <w:pPr>
              <w:pStyle w:val="TableParagraph"/>
              <w:spacing w:line="273" w:lineRule="exact"/>
              <w:rPr>
                <w:sz w:val="24"/>
              </w:rPr>
            </w:pPr>
            <w:r>
              <w:rPr>
                <w:sz w:val="24"/>
              </w:rPr>
              <w:t>para conhecimento do Plenário do CAU/BR</w:t>
            </w:r>
          </w:p>
        </w:tc>
        <w:tc>
          <w:tcPr>
            <w:tcW w:w="1419" w:type="dxa"/>
          </w:tcPr>
          <w:p>
            <w:pPr>
              <w:pStyle w:val="TableParagraph"/>
              <w:rPr>
                <w:sz w:val="24"/>
              </w:rPr>
            </w:pPr>
            <w:r>
              <w:rPr>
                <w:sz w:val="24"/>
              </w:rPr>
              <w:t>CEN</w:t>
            </w:r>
          </w:p>
        </w:tc>
        <w:tc>
          <w:tcPr>
            <w:tcW w:w="2835" w:type="dxa"/>
          </w:tcPr>
          <w:p>
            <w:pPr>
              <w:pStyle w:val="TableParagraph"/>
              <w:rPr>
                <w:sz w:val="24"/>
              </w:rPr>
            </w:pPr>
            <w:r>
              <w:rPr>
                <w:sz w:val="24"/>
              </w:rPr>
              <w:t>2 de dezembro de 2014</w:t>
            </w:r>
          </w:p>
        </w:tc>
      </w:tr>
      <w:tr>
        <w:trPr>
          <w:trHeight w:val="880" w:hRule="atLeast"/>
        </w:trPr>
        <w:tc>
          <w:tcPr>
            <w:tcW w:w="4928" w:type="dxa"/>
          </w:tcPr>
          <w:p>
            <w:pPr>
              <w:pStyle w:val="TableParagraph"/>
              <w:spacing w:line="290" w:lineRule="atLeast" w:before="1"/>
              <w:ind w:right="443" w:firstLine="55"/>
              <w:rPr>
                <w:sz w:val="24"/>
              </w:rPr>
            </w:pPr>
            <w:r>
              <w:rPr>
                <w:sz w:val="24"/>
              </w:rPr>
              <w:t>Conhecimento do resultado das eleições </w:t>
            </w:r>
            <w:r>
              <w:rPr>
                <w:color w:val="1F487C"/>
                <w:sz w:val="24"/>
                <w:u w:val="single" w:color="1F487C"/>
              </w:rPr>
              <w:t>e</w:t>
            </w:r>
            <w:r>
              <w:rPr>
                <w:color w:val="1F487C"/>
                <w:sz w:val="24"/>
              </w:rPr>
              <w:t> </w:t>
            </w:r>
            <w:r>
              <w:rPr>
                <w:color w:val="1F487C"/>
                <w:sz w:val="24"/>
                <w:u w:val="single" w:color="1F487C"/>
              </w:rPr>
              <w:t>conhecimento do julgamento dos resultados</w:t>
            </w:r>
            <w:r>
              <w:rPr>
                <w:color w:val="1F487C"/>
                <w:sz w:val="24"/>
              </w:rPr>
              <w:t> </w:t>
            </w:r>
            <w:r>
              <w:rPr>
                <w:color w:val="1F487C"/>
                <w:sz w:val="24"/>
                <w:u w:val="single" w:color="1F487C"/>
              </w:rPr>
              <w:t>dos recursos pós-votação (casos omissos)</w:t>
            </w:r>
          </w:p>
        </w:tc>
        <w:tc>
          <w:tcPr>
            <w:tcW w:w="1419" w:type="dxa"/>
          </w:tcPr>
          <w:p>
            <w:pPr>
              <w:pStyle w:val="TableParagraph"/>
              <w:spacing w:line="240" w:lineRule="auto" w:before="1"/>
              <w:rPr>
                <w:sz w:val="24"/>
              </w:rPr>
            </w:pPr>
            <w:r>
              <w:rPr>
                <w:sz w:val="24"/>
              </w:rPr>
              <w:t>CAU/BR</w:t>
            </w:r>
          </w:p>
        </w:tc>
        <w:tc>
          <w:tcPr>
            <w:tcW w:w="2835" w:type="dxa"/>
          </w:tcPr>
          <w:p>
            <w:pPr>
              <w:pStyle w:val="TableParagraph"/>
              <w:spacing w:line="240" w:lineRule="auto" w:before="1"/>
              <w:rPr>
                <w:sz w:val="24"/>
              </w:rPr>
            </w:pPr>
            <w:r>
              <w:rPr>
                <w:sz w:val="24"/>
              </w:rPr>
              <w:t>5 de dezembro de 2014</w:t>
            </w:r>
          </w:p>
        </w:tc>
      </w:tr>
      <w:tr>
        <w:trPr>
          <w:trHeight w:val="585" w:hRule="atLeast"/>
        </w:trPr>
        <w:tc>
          <w:tcPr>
            <w:tcW w:w="4928" w:type="dxa"/>
          </w:tcPr>
          <w:p>
            <w:pPr>
              <w:pStyle w:val="TableParagraph"/>
              <w:rPr>
                <w:sz w:val="24"/>
              </w:rPr>
            </w:pPr>
            <w:r>
              <w:rPr>
                <w:sz w:val="24"/>
              </w:rPr>
              <w:t>Publicação do resultado da eleição no DOU e</w:t>
            </w:r>
          </w:p>
          <w:p>
            <w:pPr>
              <w:pStyle w:val="TableParagraph"/>
              <w:spacing w:line="273" w:lineRule="exact"/>
              <w:rPr>
                <w:sz w:val="24"/>
              </w:rPr>
            </w:pPr>
            <w:r>
              <w:rPr>
                <w:sz w:val="24"/>
              </w:rPr>
              <w:t>nos sítios eletrônicos do CAU/BR e dos CAU/UF</w:t>
            </w:r>
          </w:p>
        </w:tc>
        <w:tc>
          <w:tcPr>
            <w:tcW w:w="1419" w:type="dxa"/>
          </w:tcPr>
          <w:p>
            <w:pPr>
              <w:pStyle w:val="TableParagraph"/>
              <w:rPr>
                <w:sz w:val="24"/>
              </w:rPr>
            </w:pPr>
            <w:r>
              <w:rPr>
                <w:sz w:val="24"/>
              </w:rPr>
              <w:t>CAU/BR</w:t>
            </w:r>
          </w:p>
        </w:tc>
        <w:tc>
          <w:tcPr>
            <w:tcW w:w="2835" w:type="dxa"/>
          </w:tcPr>
          <w:p>
            <w:pPr>
              <w:pStyle w:val="TableParagraph"/>
              <w:rPr>
                <w:sz w:val="24"/>
              </w:rPr>
            </w:pPr>
            <w:r>
              <w:rPr>
                <w:sz w:val="24"/>
              </w:rPr>
              <w:t>10 de dezembro de 2014</w:t>
            </w:r>
          </w:p>
        </w:tc>
      </w:tr>
      <w:tr>
        <w:trPr>
          <w:trHeight w:val="585" w:hRule="atLeast"/>
        </w:trPr>
        <w:tc>
          <w:tcPr>
            <w:tcW w:w="4928" w:type="dxa"/>
          </w:tcPr>
          <w:p>
            <w:pPr>
              <w:pStyle w:val="TableParagraph"/>
              <w:rPr>
                <w:sz w:val="24"/>
              </w:rPr>
            </w:pPr>
            <w:r>
              <w:rPr>
                <w:sz w:val="24"/>
              </w:rPr>
              <w:t>Diplomação dos eleitos </w:t>
            </w:r>
            <w:r>
              <w:rPr>
                <w:color w:val="1F487C"/>
                <w:sz w:val="24"/>
                <w:u w:val="single" w:color="1F487C"/>
              </w:rPr>
              <w:t>Conselheiros Federais</w:t>
            </w:r>
          </w:p>
          <w:p>
            <w:pPr>
              <w:pStyle w:val="TableParagraph"/>
              <w:spacing w:line="273" w:lineRule="exact"/>
              <w:rPr>
                <w:sz w:val="24"/>
              </w:rPr>
            </w:pPr>
            <w:r>
              <w:rPr>
                <w:color w:val="1F487C"/>
                <w:sz w:val="24"/>
                <w:u w:val="single" w:color="1F487C"/>
              </w:rPr>
              <w:t>Titulares e Suplentes</w:t>
            </w:r>
          </w:p>
        </w:tc>
        <w:tc>
          <w:tcPr>
            <w:tcW w:w="1419" w:type="dxa"/>
          </w:tcPr>
          <w:p>
            <w:pPr>
              <w:pStyle w:val="TableParagraph"/>
              <w:rPr>
                <w:sz w:val="24"/>
              </w:rPr>
            </w:pPr>
            <w:r>
              <w:rPr>
                <w:sz w:val="24"/>
              </w:rPr>
              <w:t>CE-UF</w:t>
            </w:r>
          </w:p>
        </w:tc>
        <w:tc>
          <w:tcPr>
            <w:tcW w:w="2835" w:type="dxa"/>
          </w:tcPr>
          <w:p>
            <w:pPr>
              <w:pStyle w:val="TableParagraph"/>
              <w:rPr>
                <w:sz w:val="24"/>
              </w:rPr>
            </w:pPr>
            <w:r>
              <w:rPr>
                <w:sz w:val="24"/>
              </w:rPr>
              <w:t>De 10 a 12 de dezembro</w:t>
            </w:r>
          </w:p>
          <w:p>
            <w:pPr>
              <w:pStyle w:val="TableParagraph"/>
              <w:spacing w:line="273" w:lineRule="exact"/>
              <w:rPr>
                <w:sz w:val="24"/>
              </w:rPr>
            </w:pPr>
            <w:r>
              <w:rPr>
                <w:sz w:val="24"/>
              </w:rPr>
              <w:t>de 2014</w:t>
            </w:r>
          </w:p>
        </w:tc>
      </w:tr>
      <w:tr>
        <w:trPr>
          <w:trHeight w:val="587" w:hRule="atLeast"/>
        </w:trPr>
        <w:tc>
          <w:tcPr>
            <w:tcW w:w="4928" w:type="dxa"/>
          </w:tcPr>
          <w:p>
            <w:pPr>
              <w:pStyle w:val="TableParagraph"/>
              <w:spacing w:line="293" w:lineRule="exact"/>
              <w:rPr>
                <w:sz w:val="24"/>
              </w:rPr>
            </w:pPr>
            <w:r>
              <w:rPr>
                <w:color w:val="1F487C"/>
                <w:sz w:val="24"/>
                <w:u w:val="single" w:color="1F487C"/>
              </w:rPr>
              <w:t>Diplomação dos eleitos Conselheiros Estaduais</w:t>
            </w:r>
          </w:p>
          <w:p>
            <w:pPr>
              <w:pStyle w:val="TableParagraph"/>
              <w:spacing w:line="273" w:lineRule="exact" w:before="2"/>
              <w:rPr>
                <w:sz w:val="24"/>
              </w:rPr>
            </w:pPr>
            <w:r>
              <w:rPr>
                <w:color w:val="1F487C"/>
                <w:sz w:val="24"/>
                <w:u w:val="single" w:color="1F487C"/>
              </w:rPr>
              <w:t>Titulares e Suplentes</w:t>
            </w:r>
          </w:p>
        </w:tc>
        <w:tc>
          <w:tcPr>
            <w:tcW w:w="1419" w:type="dxa"/>
          </w:tcPr>
          <w:p>
            <w:pPr>
              <w:pStyle w:val="TableParagraph"/>
              <w:spacing w:line="293" w:lineRule="exact"/>
              <w:rPr>
                <w:sz w:val="24"/>
              </w:rPr>
            </w:pPr>
            <w:r>
              <w:rPr>
                <w:color w:val="1F487C"/>
                <w:sz w:val="24"/>
                <w:u w:val="single" w:color="1F487C"/>
              </w:rPr>
              <w:t>CE-UF</w:t>
            </w:r>
          </w:p>
        </w:tc>
        <w:tc>
          <w:tcPr>
            <w:tcW w:w="2835" w:type="dxa"/>
          </w:tcPr>
          <w:p>
            <w:pPr>
              <w:pStyle w:val="TableParagraph"/>
              <w:spacing w:line="293" w:lineRule="exact"/>
              <w:rPr>
                <w:sz w:val="24"/>
              </w:rPr>
            </w:pPr>
            <w:r>
              <w:rPr>
                <w:color w:val="1F487C"/>
                <w:sz w:val="24"/>
                <w:u w:val="single" w:color="1F487C"/>
              </w:rPr>
              <w:t>Até 20 de dezembro de</w:t>
            </w:r>
          </w:p>
          <w:p>
            <w:pPr>
              <w:pStyle w:val="TableParagraph"/>
              <w:spacing w:line="273" w:lineRule="exact" w:before="2"/>
              <w:rPr>
                <w:sz w:val="24"/>
              </w:rPr>
            </w:pPr>
            <w:r>
              <w:rPr>
                <w:color w:val="1F487C"/>
                <w:sz w:val="24"/>
                <w:u w:val="single" w:color="1F487C"/>
              </w:rPr>
              <w:t>2014</w:t>
            </w:r>
          </w:p>
        </w:tc>
      </w:tr>
      <w:tr>
        <w:trPr>
          <w:trHeight w:val="585" w:hRule="atLeast"/>
        </w:trPr>
        <w:tc>
          <w:tcPr>
            <w:tcW w:w="4928" w:type="dxa"/>
          </w:tcPr>
          <w:p>
            <w:pPr>
              <w:pStyle w:val="TableParagraph"/>
              <w:rPr>
                <w:sz w:val="24"/>
              </w:rPr>
            </w:pPr>
            <w:r>
              <w:rPr>
                <w:sz w:val="24"/>
              </w:rPr>
              <w:t>Diplomação dos eleitos</w:t>
            </w:r>
          </w:p>
        </w:tc>
        <w:tc>
          <w:tcPr>
            <w:tcW w:w="1419" w:type="dxa"/>
          </w:tcPr>
          <w:p>
            <w:pPr>
              <w:pStyle w:val="TableParagraph"/>
              <w:rPr>
                <w:sz w:val="24"/>
              </w:rPr>
            </w:pPr>
            <w:r>
              <w:rPr>
                <w:sz w:val="24"/>
              </w:rPr>
              <w:t>CE-IE</w:t>
            </w:r>
          </w:p>
        </w:tc>
        <w:tc>
          <w:tcPr>
            <w:tcW w:w="2835" w:type="dxa"/>
          </w:tcPr>
          <w:p>
            <w:pPr>
              <w:pStyle w:val="TableParagraph"/>
              <w:rPr>
                <w:sz w:val="24"/>
              </w:rPr>
            </w:pPr>
            <w:r>
              <w:rPr>
                <w:color w:val="1F487C"/>
                <w:sz w:val="24"/>
                <w:u w:val="single" w:color="1F487C"/>
              </w:rPr>
              <w:t>8 a</w:t>
            </w:r>
            <w:r>
              <w:rPr>
                <w:color w:val="1F487C"/>
                <w:sz w:val="24"/>
              </w:rPr>
              <w:t> </w:t>
            </w:r>
            <w:r>
              <w:rPr>
                <w:sz w:val="24"/>
              </w:rPr>
              <w:t>15 de dezembro de</w:t>
            </w:r>
          </w:p>
          <w:p>
            <w:pPr>
              <w:pStyle w:val="TableParagraph"/>
              <w:spacing w:line="273" w:lineRule="exact"/>
              <w:rPr>
                <w:sz w:val="24"/>
              </w:rPr>
            </w:pPr>
            <w:r>
              <w:rPr>
                <w:sz w:val="24"/>
              </w:rPr>
              <w:t>2014</w:t>
            </w:r>
          </w:p>
        </w:tc>
      </w:tr>
      <w:tr>
        <w:trPr>
          <w:trHeight w:val="292" w:hRule="atLeast"/>
        </w:trPr>
        <w:tc>
          <w:tcPr>
            <w:tcW w:w="4928" w:type="dxa"/>
          </w:tcPr>
          <w:p>
            <w:pPr>
              <w:pStyle w:val="TableParagraph"/>
              <w:spacing w:line="272" w:lineRule="exact"/>
              <w:rPr>
                <w:sz w:val="24"/>
              </w:rPr>
            </w:pPr>
            <w:r>
              <w:rPr>
                <w:sz w:val="24"/>
              </w:rPr>
              <w:t>Posse dos Eleitos para o CAU/BR</w:t>
            </w:r>
          </w:p>
        </w:tc>
        <w:tc>
          <w:tcPr>
            <w:tcW w:w="1419" w:type="dxa"/>
          </w:tcPr>
          <w:p>
            <w:pPr>
              <w:pStyle w:val="TableParagraph"/>
              <w:spacing w:line="272" w:lineRule="exact"/>
              <w:rPr>
                <w:sz w:val="24"/>
              </w:rPr>
            </w:pPr>
            <w:r>
              <w:rPr>
                <w:sz w:val="24"/>
              </w:rPr>
              <w:t>CAU/BR</w:t>
            </w:r>
          </w:p>
        </w:tc>
        <w:tc>
          <w:tcPr>
            <w:tcW w:w="2835" w:type="dxa"/>
          </w:tcPr>
          <w:p>
            <w:pPr>
              <w:pStyle w:val="TableParagraph"/>
              <w:spacing w:line="272" w:lineRule="exact"/>
              <w:rPr>
                <w:sz w:val="24"/>
              </w:rPr>
            </w:pPr>
            <w:r>
              <w:rPr>
                <w:sz w:val="24"/>
              </w:rPr>
              <w:t>15 de dezembro de 2014</w:t>
            </w:r>
          </w:p>
        </w:tc>
      </w:tr>
      <w:tr>
        <w:trPr>
          <w:trHeight w:val="880" w:hRule="atLeast"/>
        </w:trPr>
        <w:tc>
          <w:tcPr>
            <w:tcW w:w="4928" w:type="dxa"/>
          </w:tcPr>
          <w:p>
            <w:pPr>
              <w:pStyle w:val="TableParagraph"/>
              <w:rPr>
                <w:sz w:val="24"/>
              </w:rPr>
            </w:pPr>
            <w:r>
              <w:rPr>
                <w:sz w:val="24"/>
              </w:rPr>
              <w:t>Posse dos Eleitos para os CAU/UF</w:t>
            </w:r>
          </w:p>
        </w:tc>
        <w:tc>
          <w:tcPr>
            <w:tcW w:w="1419" w:type="dxa"/>
          </w:tcPr>
          <w:p>
            <w:pPr>
              <w:pStyle w:val="TableParagraph"/>
              <w:rPr>
                <w:sz w:val="24"/>
              </w:rPr>
            </w:pPr>
            <w:r>
              <w:rPr>
                <w:sz w:val="24"/>
              </w:rPr>
              <w:t>CAU/UF</w:t>
            </w:r>
          </w:p>
        </w:tc>
        <w:tc>
          <w:tcPr>
            <w:tcW w:w="2835" w:type="dxa"/>
          </w:tcPr>
          <w:p>
            <w:pPr>
              <w:pStyle w:val="TableParagraph"/>
              <w:spacing w:line="240" w:lineRule="auto"/>
              <w:ind w:right="264"/>
              <w:rPr>
                <w:sz w:val="24"/>
              </w:rPr>
            </w:pPr>
            <w:r>
              <w:rPr>
                <w:sz w:val="24"/>
              </w:rPr>
              <w:t>A ser estipulada em cada CAU/UF </w:t>
            </w:r>
            <w:r>
              <w:rPr>
                <w:color w:val="1F487C"/>
                <w:sz w:val="24"/>
                <w:u w:val="single" w:color="1F487C"/>
              </w:rPr>
              <w:t>até 20 de</w:t>
            </w:r>
          </w:p>
          <w:p>
            <w:pPr>
              <w:pStyle w:val="TableParagraph"/>
              <w:spacing w:line="275" w:lineRule="exact"/>
              <w:rPr>
                <w:sz w:val="24"/>
              </w:rPr>
            </w:pPr>
            <w:r>
              <w:rPr>
                <w:color w:val="1F487C"/>
                <w:sz w:val="24"/>
                <w:u w:val="single" w:color="1F487C"/>
              </w:rPr>
              <w:t>dezembro de 2014</w:t>
            </w:r>
          </w:p>
        </w:tc>
      </w:tr>
    </w:tbl>
    <w:p>
      <w:pPr>
        <w:pStyle w:val="BodyText"/>
        <w:ind w:left="1540" w:right="1132"/>
        <w:jc w:val="both"/>
      </w:pPr>
      <w:r>
        <w:rPr/>
        <w:drawing>
          <wp:anchor distT="0" distB="0" distL="0" distR="0" allowOverlap="1" layoutInCell="1" locked="0" behindDoc="1" simplePos="0" relativeHeight="268419647">
            <wp:simplePos x="0" y="0"/>
            <wp:positionH relativeFrom="page">
              <wp:posOffset>78739</wp:posOffset>
            </wp:positionH>
            <wp:positionV relativeFrom="page">
              <wp:posOffset>366545</wp:posOffset>
            </wp:positionV>
            <wp:extent cx="7481824" cy="9536279"/>
            <wp:effectExtent l="0" t="0" r="0" b="0"/>
            <wp:wrapNone/>
            <wp:docPr id="7" name="image1.jpeg" descr=""/>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7481824" cy="9536279"/>
                    </a:xfrm>
                    <a:prstGeom prst="rect">
                      <a:avLst/>
                    </a:prstGeom>
                  </pic:spPr>
                </pic:pic>
              </a:graphicData>
            </a:graphic>
          </wp:anchor>
        </w:drawing>
      </w:r>
      <w:r>
        <w:rPr/>
        <w:t>* A resolução que aprovar o Regulamento Eleitoral será, obrigatoriamente, publicada no DOU. O Regulamento Eleitoral, que é parte da Resolução, poderá ser publicado apenas nos sítios eletrônicos do CAU/BR e dos CAU/UF, a depender das normas da Imprensa Nacional para essas publicações.</w:t>
      </w:r>
    </w:p>
    <w:sectPr>
      <w:pgSz w:w="11910" w:h="16840"/>
      <w:pgMar w:header="0" w:footer="758" w:top="1560" w:bottom="940" w:left="2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01.5pt;margin-top:789.03949pt;width:420.7pt;height:24.65pt;mso-position-horizontal-relative:page;mso-position-vertical-relative:page;z-index:-15952" type="#_x0000_t202" filled="false" stroked="false">
          <v:textbox inset="0,0,0,0">
            <w:txbxContent>
              <w:p>
                <w:pPr>
                  <w:spacing w:before="12"/>
                  <w:ind w:left="838" w:right="3" w:hanging="819"/>
                  <w:jc w:val="left"/>
                  <w:rPr>
                    <w:rFonts w:ascii="Arial" w:hAnsi="Arial"/>
                    <w:sz w:val="20"/>
                  </w:rPr>
                </w:pPr>
                <w:r>
                  <w:rPr>
                    <w:rFonts w:ascii="Arial" w:hAnsi="Arial"/>
                    <w:color w:val="234060"/>
                    <w:sz w:val="20"/>
                  </w:rPr>
                  <w:t>SCS Quadra 2, Bloco C, Entrada 22, Edifício Serra Dourada, Salas 401/409 – CEP 70300-902 Brasília, Distrito Federal | </w:t>
                </w:r>
                <w:hyperlink r:id="rId1">
                  <w:r>
                    <w:rPr>
                      <w:rFonts w:ascii="Arial" w:hAnsi="Arial"/>
                      <w:color w:val="234060"/>
                      <w:sz w:val="20"/>
                    </w:rPr>
                    <w:t>www.caubr.gov.br </w:t>
                  </w:r>
                </w:hyperlink>
                <w:r>
                  <w:rPr>
                    <w:rFonts w:ascii="Arial" w:hAnsi="Arial"/>
                    <w:color w:val="234060"/>
                    <w:sz w:val="20"/>
                  </w:rPr>
                  <w:t>– </w:t>
                </w:r>
                <w:hyperlink r:id="rId2">
                  <w:r>
                    <w:rPr>
                      <w:rFonts w:ascii="Arial" w:hAnsi="Arial"/>
                      <w:color w:val="234060"/>
                      <w:sz w:val="20"/>
                    </w:rPr>
                    <w:t>atendimento@caubr.gov.br</w:t>
                  </w:r>
                </w:hyperlink>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br" w:eastAsia="pt-br" w:bidi="pt-br"/>
    </w:rPr>
  </w:style>
  <w:style w:styleId="BodyText" w:type="paragraph">
    <w:name w:val="Body Text"/>
    <w:basedOn w:val="Normal"/>
    <w:uiPriority w:val="1"/>
    <w:qFormat/>
    <w:pPr/>
    <w:rPr>
      <w:rFonts w:ascii="Calibri" w:hAnsi="Calibri" w:eastAsia="Calibri" w:cs="Calibri"/>
      <w:sz w:val="24"/>
      <w:szCs w:val="24"/>
      <w:lang w:val="pt-br" w:eastAsia="pt-br" w:bidi="pt-br"/>
    </w:rPr>
  </w:style>
  <w:style w:styleId="Heading1" w:type="paragraph">
    <w:name w:val="Heading 1"/>
    <w:basedOn w:val="Normal"/>
    <w:uiPriority w:val="1"/>
    <w:qFormat/>
    <w:pPr>
      <w:ind w:left="2157"/>
      <w:outlineLvl w:val="1"/>
    </w:pPr>
    <w:rPr>
      <w:rFonts w:ascii="Calibri" w:hAnsi="Calibri" w:eastAsia="Calibri" w:cs="Calibri"/>
      <w:b/>
      <w:bCs/>
      <w:sz w:val="24"/>
      <w:szCs w:val="24"/>
      <w:lang w:val="pt-br" w:eastAsia="pt-br" w:bidi="pt-br"/>
    </w:rPr>
  </w:style>
  <w:style w:styleId="ListParagraph" w:type="paragraph">
    <w:name w:val="List Paragraph"/>
    <w:basedOn w:val="Normal"/>
    <w:uiPriority w:val="1"/>
    <w:qFormat/>
    <w:pPr/>
    <w:rPr>
      <w:lang w:val="pt-br" w:eastAsia="pt-br" w:bidi="pt-br"/>
    </w:rPr>
  </w:style>
  <w:style w:styleId="TableParagraph" w:type="paragraph">
    <w:name w:val="Table Paragraph"/>
    <w:basedOn w:val="Normal"/>
    <w:uiPriority w:val="1"/>
    <w:qFormat/>
    <w:pPr>
      <w:spacing w:line="292" w:lineRule="exact"/>
      <w:ind w:left="107"/>
    </w:pPr>
    <w:rPr>
      <w:rFonts w:ascii="Calibri" w:hAnsi="Calibri" w:eastAsia="Calibri" w:cs="Calibri"/>
      <w:lang w:val="pt-br" w:eastAsia="pt-br" w:bidi="pt-b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www.caubr.gov.b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ubr.gov.br/" TargetMode="External"/><Relationship Id="rId2" Type="http://schemas.openxmlformats.org/officeDocument/2006/relationships/hyperlink" Target="mailto:atendimento@caubr.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dcterms:created xsi:type="dcterms:W3CDTF">2019-04-25T14:51:36Z</dcterms:created>
  <dcterms:modified xsi:type="dcterms:W3CDTF">2019-04-25T14:51:36Z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2014-12-24T00:00:00Z</vt:filetime>
  </property>
  <property fmtid="{D5CDD505-2E9C-101B-9397-08002B2CF9AE}" pid="3" name="Creator">
    <vt:lpwstr>Microsoft® Word 2010</vt:lpwstr>
  </property>
  <property fmtid="{D5CDD505-2E9C-101B-9397-08002B2CF9AE}" pid="4" name="LastSaved">
    <vt:filetime>2019-04-25T00:00:00Z</vt:filetime>
  </property>
</Properties>
</file>