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2218"/>
        <w:jc w:val="left"/>
      </w:pPr>
      <w:r>
        <w:rPr/>
        <w:drawing>
          <wp:anchor distT="0" distB="0" distL="0" distR="0" allowOverlap="1" layoutInCell="1" locked="0" behindDoc="1" simplePos="0" relativeHeight="26842538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94, DE 7 DE NOVEMBRO DE 2014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08" w:hanging="5"/>
        <w:jc w:val="both"/>
      </w:pPr>
      <w:r>
        <w:rPr/>
        <w:t>Regulamenta a concessão de apoio institucional pelo Conselho de Arquitetura e Urbanismo do Brasil (CAU/BR), caracteriza as suas modalidades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0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36, realizada no dias 6 e 7 de novembro de 2014;</w:t>
      </w:r>
    </w:p>
    <w:p>
      <w:pPr>
        <w:pStyle w:val="BodyText"/>
      </w:pPr>
    </w:p>
    <w:p>
      <w:pPr>
        <w:pStyle w:val="Heading1"/>
        <w:ind w:left="102"/>
        <w:jc w:val="both"/>
      </w:pPr>
      <w:r>
        <w:rPr/>
        <w:t>RESOLVE: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460" w:right="3453" w:firstLine="616"/>
        <w:jc w:val="left"/>
        <w:rPr>
          <w:b/>
          <w:sz w:val="24"/>
        </w:rPr>
      </w:pPr>
      <w:r>
        <w:rPr>
          <w:b/>
          <w:sz w:val="24"/>
        </w:rPr>
        <w:t>CAPÍTULO I OBJETIVO E CONCEITOS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112"/>
        <w:jc w:val="both"/>
      </w:pPr>
      <w:r>
        <w:rPr/>
        <w:t>Art. 1° Esta Resolução disciplina os procedimentos para apresentação, análise e deliberação sobre a concessão de apoio institucional pelo Conselho de Arquitetura e Urbanismo do Brasil (CAU/BR) a projetos de terceiros.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Art. 2° No âmbito do CAU/BR ficam assim entendidos os seguintes termos: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patrocínio: é o apoio financeiro concedido a projetos de responsabilidade de terceiros, que contribuam para promover a produção e a difusão do conhecimento, estimular o desenvolvimento e a consolidação do ensino e do exercício profissional bem como consolidar a imagem dos Conselhos de Arquitetura e Urbanismo e o seu compromisso com o fortalecimento da Arquitetura e</w:t>
      </w:r>
      <w:r>
        <w:rPr>
          <w:spacing w:val="-6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proposta: é o documento apresentado pelo proponente ao CAU/BR, contendo informações suficientes para avaliação da relevância da proposta e da conveniência de concessão de</w:t>
      </w:r>
      <w:r>
        <w:rPr>
          <w:spacing w:val="1"/>
          <w:sz w:val="24"/>
        </w:rPr>
        <w:t> </w:t>
      </w:r>
      <w:r>
        <w:rPr>
          <w:sz w:val="24"/>
        </w:rPr>
        <w:t>apoio;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projeto: é a descrição detalhada das ações que serão realizadas com início e término definidos, e que, para efeito de concessão de apoio pelo CAU/BR, obedece às exigências e orientações desta</w:t>
      </w:r>
      <w:r>
        <w:rPr>
          <w:spacing w:val="-4"/>
          <w:sz w:val="24"/>
        </w:rPr>
        <w:t> </w:t>
      </w:r>
      <w:r>
        <w:rPr>
          <w:sz w:val="24"/>
        </w:rPr>
        <w:t>Resolução;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contrapartida: é o benefício oferecido pelo proponente ao CAU/BR em decorrência do apoio</w:t>
      </w:r>
      <w:r>
        <w:rPr>
          <w:spacing w:val="-2"/>
          <w:sz w:val="24"/>
        </w:rPr>
        <w:t> </w:t>
      </w:r>
      <w:r>
        <w:rPr>
          <w:sz w:val="24"/>
        </w:rPr>
        <w:t>concedido;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retorno institucional: é o resultado decorrente do apoio concedido, que contribua para o desenvolvimento da Arquitetura e Urbanismo e para a promoção da imagem dos Conselhos de Arquitetura e Urbanismo perante seu público de</w:t>
      </w:r>
      <w:r>
        <w:rPr>
          <w:spacing w:val="-3"/>
          <w:sz w:val="24"/>
        </w:rPr>
        <w:t> </w:t>
      </w:r>
      <w:r>
        <w:rPr>
          <w:sz w:val="24"/>
        </w:rPr>
        <w:t>interesse.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958" w:top="1520" w:bottom="1140" w:left="1600" w:right="1020"/>
        </w:sectPr>
      </w:pPr>
    </w:p>
    <w:p>
      <w:pPr>
        <w:pStyle w:val="BodyText"/>
        <w:spacing w:before="40"/>
        <w:ind w:left="102" w:right="115"/>
        <w:jc w:val="both"/>
      </w:pPr>
      <w:r>
        <w:rPr/>
        <w:drawing>
          <wp:anchor distT="0" distB="0" distL="0" distR="0" allowOverlap="1" layoutInCell="1" locked="0" behindDoc="1" simplePos="0" relativeHeight="26842540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3° A concessão de apoio pelo CAU/BR será admitida exclusivamente para as proposta e projetos que estejam em conformidade com a Lei n° 12.378, de 31 de dezembro de 2010, e com o Regimento Geral do CAU/BR.</w:t>
      </w:r>
    </w:p>
    <w:p>
      <w:pPr>
        <w:pStyle w:val="BodyText"/>
        <w:spacing w:before="2"/>
      </w:pPr>
    </w:p>
    <w:p>
      <w:pPr>
        <w:pStyle w:val="Heading1"/>
        <w:ind w:right="2586"/>
      </w:pPr>
      <w:r>
        <w:rPr/>
        <w:t>CAPÍTULO II</w:t>
      </w:r>
    </w:p>
    <w:p>
      <w:pPr>
        <w:spacing w:before="0"/>
        <w:ind w:left="2485" w:right="0" w:firstLine="0"/>
        <w:jc w:val="left"/>
        <w:rPr>
          <w:b/>
          <w:sz w:val="24"/>
        </w:rPr>
      </w:pPr>
      <w:r>
        <w:rPr>
          <w:b/>
          <w:sz w:val="24"/>
        </w:rPr>
        <w:t>ABRANGÊNCIA E MODALIDADES DO APOIO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480" w:lineRule="auto"/>
        <w:ind w:left="102" w:right="1133"/>
      </w:pPr>
      <w:r>
        <w:rPr/>
        <w:t>Art. 4° A concessão de apoio pelo CAU/BR deve observar as seguintes orientações: I - poderão ser apoiados os projetos: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92" w:lineRule="exact" w:before="0" w:after="0"/>
        <w:ind w:left="344" w:right="0" w:hanging="242"/>
        <w:jc w:val="left"/>
        <w:rPr>
          <w:sz w:val="24"/>
        </w:rPr>
      </w:pPr>
      <w:r>
        <w:rPr>
          <w:sz w:val="24"/>
        </w:rPr>
        <w:t>que tenham relevância para o seu</w:t>
      </w:r>
      <w:r>
        <w:rPr>
          <w:spacing w:val="-4"/>
          <w:sz w:val="24"/>
        </w:rPr>
        <w:t> </w:t>
      </w:r>
      <w:r>
        <w:rPr>
          <w:sz w:val="24"/>
        </w:rPr>
        <w:t>público-alvo;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1" w:after="0"/>
        <w:ind w:left="102" w:right="108" w:firstLine="0"/>
        <w:jc w:val="left"/>
        <w:rPr>
          <w:sz w:val="24"/>
        </w:rPr>
      </w:pPr>
      <w:r>
        <w:rPr>
          <w:sz w:val="24"/>
        </w:rPr>
        <w:t>de âmbito regional, nacional ou internacional, que disseminem informações e promovam o conhecimento e o fortalecimento da Arquitetura e</w:t>
      </w:r>
      <w:r>
        <w:rPr>
          <w:spacing w:val="-6"/>
          <w:sz w:val="24"/>
        </w:rPr>
        <w:t> </w:t>
      </w:r>
      <w:r>
        <w:rPr>
          <w:sz w:val="24"/>
        </w:rPr>
        <w:t>Urbanismo;</w:t>
      </w:r>
    </w:p>
    <w:p>
      <w:pPr>
        <w:pStyle w:val="BodyText"/>
      </w:pPr>
    </w:p>
    <w:p>
      <w:pPr>
        <w:pStyle w:val="BodyText"/>
        <w:ind w:left="102"/>
      </w:pPr>
      <w:r>
        <w:rPr/>
        <w:t>II - não poderão ser apoiados os projetos: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42"/>
        <w:jc w:val="left"/>
        <w:rPr>
          <w:sz w:val="24"/>
        </w:rPr>
      </w:pPr>
      <w:r>
        <w:rPr>
          <w:sz w:val="24"/>
        </w:rPr>
        <w:t>em desacordo com a missão institucional e finalidade do</w:t>
      </w:r>
      <w:r>
        <w:rPr>
          <w:spacing w:val="-9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0" w:after="0"/>
        <w:ind w:left="356" w:right="0" w:hanging="254"/>
        <w:jc w:val="left"/>
        <w:rPr>
          <w:sz w:val="24"/>
        </w:rPr>
      </w:pPr>
      <w:r>
        <w:rPr>
          <w:sz w:val="24"/>
        </w:rPr>
        <w:t>que não evidenciem benefícios para a Arquitetura e</w:t>
      </w:r>
      <w:r>
        <w:rPr>
          <w:spacing w:val="-10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40" w:lineRule="auto" w:before="1" w:after="0"/>
        <w:ind w:left="102" w:right="115" w:firstLine="0"/>
        <w:jc w:val="left"/>
        <w:rPr>
          <w:sz w:val="24"/>
        </w:rPr>
      </w:pPr>
      <w:r>
        <w:rPr>
          <w:sz w:val="24"/>
        </w:rPr>
        <w:t>cujo proponente tenha prestação de contas de apoio anterior não aprovada, ou inconclusa, ou esteja inadimplente perante o CAU/BR, qualquer que seja a</w:t>
      </w:r>
      <w:r>
        <w:rPr>
          <w:spacing w:val="-19"/>
          <w:sz w:val="24"/>
        </w:rPr>
        <w:t> </w:t>
      </w:r>
      <w:r>
        <w:rPr>
          <w:sz w:val="24"/>
        </w:rPr>
        <w:t>motivação;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0" w:after="0"/>
        <w:ind w:left="356" w:right="0" w:hanging="254"/>
        <w:jc w:val="left"/>
        <w:rPr>
          <w:sz w:val="24"/>
        </w:rPr>
      </w:pPr>
      <w:r>
        <w:rPr>
          <w:sz w:val="24"/>
        </w:rPr>
        <w:t>cujo proponente seja pessoa</w:t>
      </w:r>
      <w:r>
        <w:rPr>
          <w:spacing w:val="-5"/>
          <w:sz w:val="24"/>
        </w:rPr>
        <w:t> </w:t>
      </w:r>
      <w:r>
        <w:rPr>
          <w:sz w:val="24"/>
        </w:rPr>
        <w:t>física;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0" w:after="0"/>
        <w:ind w:left="349" w:right="0" w:hanging="247"/>
        <w:jc w:val="left"/>
        <w:rPr>
          <w:sz w:val="24"/>
        </w:rPr>
      </w:pPr>
      <w:r>
        <w:rPr>
          <w:sz w:val="24"/>
        </w:rPr>
        <w:t>realizado, organizado ou coordenado pelo próprio CAU/BR ou por</w:t>
      </w:r>
      <w:r>
        <w:rPr>
          <w:spacing w:val="-10"/>
          <w:sz w:val="24"/>
        </w:rPr>
        <w:t> </w:t>
      </w:r>
      <w:r>
        <w:rPr>
          <w:sz w:val="24"/>
        </w:rPr>
        <w:t>CAU/UF.</w:t>
      </w:r>
    </w:p>
    <w:p>
      <w:pPr>
        <w:pStyle w:val="BodyText"/>
      </w:pPr>
    </w:p>
    <w:p>
      <w:pPr>
        <w:pStyle w:val="BodyText"/>
        <w:ind w:left="102"/>
      </w:pPr>
      <w:r>
        <w:rPr/>
        <w:t>Parágrafo único. Serão considerados projetos regionais aqueles que envolvam, no mínimo, três Unidades da Federação.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Art. 5° O CAU/BR publicará anualmente edital de chamada pública para apresentação de projetos de apoio e publicará a relação das propostas aprovadas.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61"/>
      </w:pPr>
      <w:r>
        <w:rPr/>
        <w:t>Art. 6° O CAU/BR poderá apoiar projetos relevantes para o desenvolvimento da Arquitetura e Urbanismo assim classificados nas seguintes</w:t>
      </w:r>
      <w:r>
        <w:rPr>
          <w:spacing w:val="-3"/>
        </w:rPr>
        <w:t> </w:t>
      </w:r>
      <w:r>
        <w:rPr/>
        <w:t>modalidades: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  <w:rPr>
          <w:sz w:val="24"/>
        </w:rPr>
      </w:pPr>
      <w:r>
        <w:rPr>
          <w:sz w:val="24"/>
        </w:rPr>
        <w:t>- Modalidade Patrocínio</w:t>
      </w:r>
      <w:r>
        <w:rPr>
          <w:spacing w:val="2"/>
          <w:sz w:val="24"/>
        </w:rPr>
        <w:t> </w:t>
      </w:r>
      <w:r>
        <w:rPr>
          <w:sz w:val="24"/>
        </w:rPr>
        <w:t>Cultural: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1" w:after="0"/>
        <w:ind w:left="102" w:right="111" w:firstLine="0"/>
        <w:jc w:val="left"/>
        <w:rPr>
          <w:sz w:val="24"/>
        </w:rPr>
      </w:pPr>
      <w:r>
        <w:rPr>
          <w:sz w:val="24"/>
        </w:rPr>
        <w:t>eventos: feiras, encontros profissionais, palestras, cursos, conferências, seminários, congressos, premiações e atividades</w:t>
      </w:r>
      <w:r>
        <w:rPr>
          <w:spacing w:val="-9"/>
          <w:sz w:val="24"/>
        </w:rPr>
        <w:t> </w:t>
      </w:r>
      <w:r>
        <w:rPr>
          <w:sz w:val="24"/>
        </w:rPr>
        <w:t>afins;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56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publicações: livros, outras publicações e mídias cujos conteúdos colaborem para fomentar a Arquitetura e o Urbanismo e disseminar informações relevantes para o</w:t>
      </w:r>
      <w:r>
        <w:rPr>
          <w:spacing w:val="-11"/>
          <w:sz w:val="24"/>
        </w:rPr>
        <w:t> </w:t>
      </w:r>
      <w:r>
        <w:rPr>
          <w:sz w:val="24"/>
        </w:rPr>
        <w:t>segmento;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ListParagraph"/>
        <w:numPr>
          <w:ilvl w:val="0"/>
          <w:numId w:val="5"/>
        </w:numPr>
        <w:tabs>
          <w:tab w:pos="330" w:val="left" w:leader="none"/>
        </w:tabs>
        <w:spacing w:line="240" w:lineRule="auto" w:before="40" w:after="0"/>
        <w:ind w:left="329" w:right="0" w:hanging="227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43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produções: audiovisuais e</w:t>
      </w:r>
      <w:r>
        <w:rPr>
          <w:spacing w:val="1"/>
          <w:sz w:val="24"/>
        </w:rPr>
        <w:t> </w:t>
      </w:r>
      <w:r>
        <w:rPr>
          <w:sz w:val="24"/>
        </w:rPr>
        <w:t>exposições;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- Modalidade de Apoio à Assistência Técnica para Habitação de Interesse Social: apoio a ser concedido às atividades desenvolvidas e/ou coordenadas por arquitetos e urbanistas, em acordo com os princípios da Lei n° 11.888, de 24 de dezembro de</w:t>
      </w:r>
      <w:r>
        <w:rPr>
          <w:spacing w:val="-10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Art. 7° O CAU/BR poderá apoiar projetos de terceiros que contemplem pelo menos um dos seguintes objetivos: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07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promova a produção de conhecimento que oriente o exercício profissional e o seu aperfeiçoamento,</w:t>
      </w:r>
      <w:r>
        <w:rPr>
          <w:spacing w:val="-3"/>
          <w:sz w:val="24"/>
        </w:rPr>
        <w:t> </w:t>
      </w:r>
      <w:r>
        <w:rPr>
          <w:sz w:val="24"/>
        </w:rPr>
        <w:t>prioritariamente;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61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promovam o desenvolvimento e o fortalecimento do ensino e do exercício profissional da Arquitetura e</w:t>
      </w:r>
      <w:r>
        <w:rPr>
          <w:spacing w:val="-2"/>
          <w:sz w:val="24"/>
        </w:rPr>
        <w:t> </w:t>
      </w:r>
      <w:r>
        <w:rPr>
          <w:sz w:val="24"/>
        </w:rPr>
        <w:t>Urbanismo;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30" w:val="left" w:leader="none"/>
        </w:tabs>
        <w:spacing w:line="240" w:lineRule="auto" w:before="0" w:after="0"/>
        <w:ind w:left="329" w:right="0" w:hanging="227"/>
        <w:jc w:val="left"/>
        <w:rPr>
          <w:sz w:val="24"/>
        </w:rPr>
      </w:pPr>
      <w:r>
        <w:rPr>
          <w:sz w:val="24"/>
        </w:rPr>
        <w:t>potencializem a conquista e ampliação do campo de atuação</w:t>
      </w:r>
      <w:r>
        <w:rPr>
          <w:spacing w:val="-13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90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promovam a produção e disseminação de material técnico-profissional de interesse da Arquitetura e</w:t>
      </w:r>
      <w:r>
        <w:rPr>
          <w:spacing w:val="-1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0" w:after="0"/>
        <w:ind w:left="349" w:right="0" w:hanging="247"/>
        <w:jc w:val="left"/>
        <w:rPr>
          <w:sz w:val="24"/>
        </w:rPr>
      </w:pPr>
      <w:r>
        <w:rPr>
          <w:sz w:val="24"/>
        </w:rPr>
        <w:t>promovam a articulação e o fortalecimento das entidades de Arquitetura e</w:t>
      </w:r>
      <w:r>
        <w:rPr>
          <w:spacing w:val="-21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  <w:rPr>
          <w:sz w:val="24"/>
        </w:rPr>
      </w:pPr>
      <w:r>
        <w:rPr>
          <w:sz w:val="24"/>
        </w:rPr>
        <w:t>ampliem a visibilidade institucional e fortaleçam a imagem do</w:t>
      </w:r>
      <w:r>
        <w:rPr>
          <w:spacing w:val="-8"/>
          <w:sz w:val="24"/>
        </w:rPr>
        <w:t> </w:t>
      </w:r>
      <w:r>
        <w:rPr>
          <w:sz w:val="24"/>
        </w:rPr>
        <w:t>CAU;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1" w:after="0"/>
        <w:ind w:left="102" w:right="114" w:firstLine="0"/>
        <w:jc w:val="left"/>
        <w:rPr>
          <w:sz w:val="24"/>
        </w:rPr>
      </w:pPr>
      <w:r>
        <w:rPr>
          <w:sz w:val="24"/>
        </w:rPr>
        <w:t>sensibilizem, informem, eduquem e difundam conhecimentos e/ou troca de experiências com vista ao desenvolvimento, modernização e fortalecimento da Arquitetura e</w:t>
      </w:r>
      <w:r>
        <w:rPr>
          <w:spacing w:val="-23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promovam a produção de conhecimento na área de Assistência Técnica para Habitação de Interesse Social (ATHIS) que oriente o exercício profissional e o seu aperfeiçoamento, prioritariamente;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290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informem, eduquem e difundam os conhecimentos e/ou a troca de experiências com vista à Assistência Técnica para Habitação de Interesse Social</w:t>
      </w:r>
      <w:r>
        <w:rPr>
          <w:spacing w:val="-4"/>
          <w:sz w:val="24"/>
        </w:rPr>
        <w:t> </w:t>
      </w:r>
      <w:r>
        <w:rPr>
          <w:sz w:val="24"/>
        </w:rPr>
        <w:t>(ATHIS).</w:t>
      </w:r>
    </w:p>
    <w:p>
      <w:pPr>
        <w:pStyle w:val="BodyText"/>
      </w:pPr>
    </w:p>
    <w:p>
      <w:pPr>
        <w:pStyle w:val="BodyText"/>
        <w:ind w:left="102"/>
      </w:pPr>
      <w:r>
        <w:rPr/>
        <w:t>Art. 8° Os projetos em que haja solicitação de apoio deverão obedecer às orientações expressas nesta Resolução e deverão conter: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 w:before="1"/>
        <w:ind w:left="102" w:right="6017"/>
      </w:pPr>
      <w:r>
        <w:rPr/>
        <w:t>I - apresentação do proponente; II - apresentação do projeto;</w:t>
      </w:r>
    </w:p>
    <w:p>
      <w:pPr>
        <w:pStyle w:val="BodyText"/>
        <w:spacing w:line="480" w:lineRule="auto"/>
        <w:ind w:left="102" w:right="5151"/>
      </w:pPr>
      <w:r>
        <w:rPr/>
        <w:t>III - objetivos do evento, projeto ou ação; IV - público-alvo;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92" w:lineRule="exact" w:before="0" w:after="0"/>
        <w:ind w:left="294" w:right="0" w:hanging="192"/>
        <w:jc w:val="both"/>
        <w:rPr>
          <w:sz w:val="24"/>
        </w:rPr>
      </w:pPr>
      <w:r>
        <w:rPr>
          <w:sz w:val="24"/>
        </w:rPr>
        <w:t>- abrangência</w:t>
      </w:r>
      <w:r>
        <w:rPr>
          <w:spacing w:val="-4"/>
          <w:sz w:val="24"/>
        </w:rPr>
        <w:t> </w:t>
      </w:r>
      <w:r>
        <w:rPr>
          <w:sz w:val="24"/>
        </w:rPr>
        <w:t>geográfica;</w:t>
      </w:r>
    </w:p>
    <w:p>
      <w:pPr>
        <w:spacing w:after="0" w:line="292" w:lineRule="exact"/>
        <w:jc w:val="both"/>
        <w:rPr>
          <w:sz w:val="24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480" w:lineRule="auto" w:before="40" w:after="0"/>
        <w:ind w:left="102" w:right="107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45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contribuições do evento ou ação para o segmento da Arquitetura e</w:t>
      </w:r>
      <w:r>
        <w:rPr>
          <w:spacing w:val="-32"/>
          <w:sz w:val="24"/>
        </w:rPr>
        <w:t> </w:t>
      </w:r>
      <w:r>
        <w:rPr>
          <w:sz w:val="24"/>
        </w:rPr>
        <w:t>Urbanismo; VII - históricos de apoios anteriores concedidos pelo</w:t>
      </w:r>
      <w:r>
        <w:rPr>
          <w:spacing w:val="-8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line="480" w:lineRule="auto" w:before="2"/>
        <w:ind w:left="102" w:right="3943"/>
      </w:pPr>
      <w:r>
        <w:rPr/>
        <w:t>VIII - programação ou roteiro definitivo ou provisório; IX - valor solicitado;</w:t>
      </w:r>
    </w:p>
    <w:p>
      <w:pPr>
        <w:pStyle w:val="BodyText"/>
        <w:spacing w:line="480" w:lineRule="auto"/>
        <w:ind w:left="102" w:right="2688"/>
      </w:pPr>
      <w:r>
        <w:rPr/>
        <w:t>X - estimativas de custos gerais para realização do evento ou ação; XI - plano de divulgação;</w:t>
      </w:r>
    </w:p>
    <w:p>
      <w:pPr>
        <w:pStyle w:val="ListParagraph"/>
        <w:numPr>
          <w:ilvl w:val="0"/>
          <w:numId w:val="8"/>
        </w:numPr>
        <w:tabs>
          <w:tab w:pos="402" w:val="left" w:leader="none"/>
        </w:tabs>
        <w:spacing w:line="292" w:lineRule="exact" w:before="0" w:after="0"/>
        <w:ind w:left="402" w:right="0" w:hanging="300"/>
        <w:jc w:val="left"/>
        <w:rPr>
          <w:sz w:val="24"/>
        </w:rPr>
      </w:pPr>
      <w:r>
        <w:rPr>
          <w:sz w:val="24"/>
        </w:rPr>
        <w:t>- contrapartidas ou proposta de retorno</w:t>
      </w:r>
      <w:r>
        <w:rPr>
          <w:spacing w:val="-3"/>
          <w:sz w:val="24"/>
        </w:rPr>
        <w:t> </w:t>
      </w:r>
      <w:r>
        <w:rPr>
          <w:sz w:val="24"/>
        </w:rPr>
        <w:t>institucional;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06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- dados bancários da empresa, entidade ou instituição proponente para depósito do apoio</w:t>
      </w:r>
      <w:r>
        <w:rPr>
          <w:spacing w:val="-2"/>
          <w:sz w:val="24"/>
        </w:rPr>
        <w:t> </w:t>
      </w:r>
      <w:r>
        <w:rPr>
          <w:sz w:val="24"/>
        </w:rPr>
        <w:t>solicitado;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480" w:lineRule="auto" w:before="0" w:after="0"/>
        <w:ind w:left="102" w:right="3842" w:firstLine="0"/>
        <w:jc w:val="left"/>
        <w:rPr>
          <w:sz w:val="24"/>
        </w:rPr>
      </w:pPr>
      <w:r>
        <w:rPr>
          <w:sz w:val="24"/>
        </w:rPr>
        <w:t>- potenciais parceiros e/ou parcerias confirmadas; XV - identificação do ou dos responsáveis pelo</w:t>
      </w:r>
      <w:r>
        <w:rPr>
          <w:spacing w:val="-26"/>
          <w:sz w:val="24"/>
        </w:rPr>
        <w:t> </w:t>
      </w:r>
      <w:r>
        <w:rPr>
          <w:sz w:val="24"/>
        </w:rPr>
        <w:t>projeto;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- layouts ou artes finais das peças gráficas e eletrônicas de divulgação do evento ou ação, com suas características técnicas e com a proposta de aplicação da logomarca do</w:t>
      </w:r>
      <w:r>
        <w:rPr>
          <w:spacing w:val="-21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39" w:val="left" w:leader="none"/>
        </w:tabs>
        <w:spacing w:line="240" w:lineRule="auto" w:before="0" w:after="0"/>
        <w:ind w:left="538" w:right="0" w:hanging="436"/>
        <w:jc w:val="left"/>
        <w:rPr>
          <w:sz w:val="24"/>
        </w:rPr>
      </w:pPr>
      <w:r>
        <w:rPr>
          <w:sz w:val="24"/>
        </w:rPr>
        <w:t>- produtos gerados com a ação e seus</w:t>
      </w:r>
      <w:r>
        <w:rPr>
          <w:spacing w:val="-5"/>
          <w:sz w:val="24"/>
        </w:rPr>
        <w:t> </w:t>
      </w:r>
      <w:r>
        <w:rPr>
          <w:sz w:val="24"/>
        </w:rPr>
        <w:t>desdobramentos.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11"/>
        <w:jc w:val="both"/>
      </w:pPr>
      <w:r>
        <w:rPr/>
        <w:t>Art. 9° As propostas que contemplarem espaço para auditório ou área de exposição para montagem de estande do CAU/BR deverão ser enviadas contendo, além das informações solicitadas no item anterior, os seguintes documentos: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18" w:val="left" w:leader="none"/>
        </w:tabs>
        <w:spacing w:line="240" w:lineRule="auto" w:before="1" w:after="0"/>
        <w:ind w:left="217" w:right="0" w:hanging="115"/>
        <w:jc w:val="left"/>
        <w:rPr>
          <w:sz w:val="24"/>
        </w:rPr>
      </w:pPr>
      <w:r>
        <w:rPr>
          <w:sz w:val="24"/>
        </w:rPr>
        <w:t>- planta geral do local do evento, se</w:t>
      </w:r>
      <w:r>
        <w:rPr>
          <w:spacing w:val="-6"/>
          <w:sz w:val="24"/>
        </w:rPr>
        <w:t> </w:t>
      </w:r>
      <w:r>
        <w:rPr>
          <w:sz w:val="24"/>
        </w:rPr>
        <w:t>houver;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1" w:after="0"/>
        <w:ind w:left="102" w:right="117" w:firstLine="0"/>
        <w:jc w:val="left"/>
        <w:rPr>
          <w:sz w:val="24"/>
        </w:rPr>
      </w:pPr>
      <w:r>
        <w:rPr>
          <w:sz w:val="24"/>
        </w:rPr>
        <w:t>- planta do pavilhão de exposição, com a localização do espaço destinado ao CAU/BR e a indicação dos expositores ao</w:t>
      </w:r>
      <w:r>
        <w:rPr>
          <w:spacing w:val="-3"/>
          <w:sz w:val="24"/>
        </w:rPr>
        <w:t> </w:t>
      </w:r>
      <w:r>
        <w:rPr>
          <w:sz w:val="24"/>
        </w:rPr>
        <w:t>entorno;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38" w:val="left" w:leader="none"/>
        </w:tabs>
        <w:spacing w:line="240" w:lineRule="auto" w:before="0" w:after="0"/>
        <w:ind w:left="337" w:right="0" w:hanging="235"/>
        <w:jc w:val="left"/>
        <w:rPr>
          <w:sz w:val="24"/>
        </w:rPr>
      </w:pPr>
      <w:r>
        <w:rPr>
          <w:sz w:val="24"/>
        </w:rPr>
        <w:t>- planta do estande a ser ocupado pelo</w:t>
      </w:r>
      <w:r>
        <w:rPr>
          <w:spacing w:val="-5"/>
          <w:sz w:val="24"/>
        </w:rPr>
        <w:t> </w:t>
      </w:r>
      <w:r>
        <w:rPr>
          <w:sz w:val="24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55" w:val="left" w:leader="none"/>
        </w:tabs>
        <w:spacing w:line="240" w:lineRule="auto" w:before="0" w:after="0"/>
        <w:ind w:left="354" w:right="0" w:hanging="252"/>
        <w:jc w:val="left"/>
        <w:rPr>
          <w:sz w:val="24"/>
        </w:rPr>
      </w:pPr>
      <w:r>
        <w:rPr>
          <w:sz w:val="24"/>
        </w:rPr>
        <w:t>- descritivo da montagem e infraestrutura que será disponibilizada ao</w:t>
      </w:r>
      <w:r>
        <w:rPr>
          <w:spacing w:val="-21"/>
          <w:sz w:val="24"/>
        </w:rPr>
        <w:t> </w:t>
      </w:r>
      <w:r>
        <w:rPr>
          <w:sz w:val="24"/>
        </w:rPr>
        <w:t>patrocinador.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Art. 10. A análise técnica dos projetos com solicitação de patrocínio será realizada pelo Conselho Diretor do CAU/BR com apoio técnico das comissões afins aos respectivos  projetos.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61"/>
      </w:pPr>
      <w:r>
        <w:rPr/>
        <w:t>Parágrafo único. No caso de ações da modalidade II do art. 6°, o apoio técnico ficará a cargo da Comissão de Política Profissional.</w:t>
      </w:r>
    </w:p>
    <w:p>
      <w:pPr>
        <w:spacing w:after="0"/>
        <w:sectPr>
          <w:pgSz w:w="11910" w:h="16840"/>
          <w:pgMar w:header="0" w:footer="958" w:top="1520" w:bottom="1140" w:left="1600" w:right="1020"/>
        </w:sectPr>
      </w:pPr>
    </w:p>
    <w:p>
      <w:pPr>
        <w:pStyle w:val="BodyText"/>
        <w:spacing w:before="40"/>
        <w:ind w:left="102"/>
      </w:pPr>
      <w:r>
        <w:rPr/>
        <w:drawing>
          <wp:anchor distT="0" distB="0" distL="0" distR="0" allowOverlap="1" layoutInCell="1" locked="0" behindDoc="1" simplePos="0" relativeHeight="26842547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11. O CAU/BR somente analisará projetos cujos proponentes apresentem declaração de habilitação jurídica e de regularidade fiscal.</w:t>
      </w:r>
    </w:p>
    <w:p>
      <w:pPr>
        <w:pStyle w:val="BodyText"/>
        <w:spacing w:before="2"/>
      </w:pPr>
    </w:p>
    <w:p>
      <w:pPr>
        <w:pStyle w:val="BodyText"/>
        <w:ind w:left="102" w:right="112"/>
        <w:jc w:val="both"/>
      </w:pPr>
      <w:r>
        <w:rPr/>
        <w:t>Parágrafo único. Os proponentes previamente cadastrados, cuja documentação se encontrar com prazos válidos até a realização do evento, ficam dispensados da apresentação da documentação de regularidade prevista neste</w:t>
      </w:r>
      <w:r>
        <w:rPr>
          <w:spacing w:val="-8"/>
        </w:rPr>
        <w:t> </w:t>
      </w:r>
      <w:r>
        <w:rPr/>
        <w:t>artigo.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right="2589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spacing w:before="0"/>
        <w:ind w:left="2580" w:right="2588" w:firstLine="0"/>
        <w:jc w:val="center"/>
        <w:rPr>
          <w:b/>
          <w:sz w:val="24"/>
        </w:rPr>
      </w:pPr>
      <w:r>
        <w:rPr>
          <w:b/>
          <w:sz w:val="24"/>
        </w:rPr>
        <w:t>DAS CONTRAPARTIDAS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2" w:right="161"/>
      </w:pPr>
      <w:r>
        <w:rPr/>
        <w:t>Art. 12. As contrapartidas oferecidas pelos apoiados sustentarão a decisão do CAU/BR quanto ao valor do investimento.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2"/>
        <w:jc w:val="both"/>
      </w:pPr>
      <w:r>
        <w:rPr/>
        <w:t>Art. 13. Para a concessão do apoio o CAU/BR analisará as propostas de retorno institucional baseando-se na relevância das contrapartidas oferecidas e nos potenciais benefícios diretos e/ou indiretos para a Arquitetura e Urbanismo, tais como:</w:t>
      </w:r>
    </w:p>
    <w:p>
      <w:pPr>
        <w:pStyle w:val="BodyText"/>
        <w:spacing w:before="2"/>
      </w:pPr>
    </w:p>
    <w:p>
      <w:pPr>
        <w:pStyle w:val="BodyText"/>
        <w:spacing w:before="1"/>
        <w:ind w:left="102"/>
        <w:jc w:val="both"/>
      </w:pPr>
      <w:r>
        <w:rPr/>
        <w:t>I - em eventos, cursos e seminários: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45" w:val="left" w:leader="none"/>
        </w:tabs>
        <w:spacing w:line="240" w:lineRule="auto" w:before="0" w:after="0"/>
        <w:ind w:left="344" w:right="0" w:hanging="242"/>
        <w:jc w:val="both"/>
        <w:rPr>
          <w:sz w:val="24"/>
        </w:rPr>
      </w:pPr>
      <w:r>
        <w:rPr>
          <w:sz w:val="24"/>
        </w:rPr>
        <w:t>cessão de espaço para exposição de empreendimentos de Arquitetura e</w:t>
      </w:r>
      <w:r>
        <w:rPr>
          <w:spacing w:val="-19"/>
          <w:sz w:val="24"/>
        </w:rPr>
        <w:t> </w:t>
      </w:r>
      <w:r>
        <w:rPr>
          <w:sz w:val="24"/>
        </w:rPr>
        <w:t>Urbanismo;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56" w:val="left" w:leader="none"/>
        </w:tabs>
        <w:spacing w:line="240" w:lineRule="auto" w:before="0" w:after="0"/>
        <w:ind w:left="356" w:right="0" w:hanging="254"/>
        <w:jc w:val="both"/>
        <w:rPr>
          <w:sz w:val="24"/>
        </w:rPr>
      </w:pPr>
      <w:r>
        <w:rPr>
          <w:sz w:val="24"/>
        </w:rPr>
        <w:t>desconto ou gratuidade para participação de arquitetos e</w:t>
      </w:r>
      <w:r>
        <w:rPr>
          <w:spacing w:val="-10"/>
          <w:sz w:val="24"/>
        </w:rPr>
        <w:t> </w:t>
      </w:r>
      <w:r>
        <w:rPr>
          <w:sz w:val="24"/>
        </w:rPr>
        <w:t>urbanistas;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30" w:val="left" w:leader="none"/>
        </w:tabs>
        <w:spacing w:line="240" w:lineRule="auto" w:before="0" w:after="0"/>
        <w:ind w:left="329" w:right="0" w:hanging="227"/>
        <w:jc w:val="both"/>
        <w:rPr>
          <w:sz w:val="24"/>
        </w:rPr>
      </w:pPr>
      <w:r>
        <w:rPr>
          <w:sz w:val="24"/>
        </w:rPr>
        <w:t>realização de palestras sobre temas de interesse da Arquitetura e</w:t>
      </w:r>
      <w:r>
        <w:rPr>
          <w:spacing w:val="-12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95" w:val="left" w:leader="none"/>
        </w:tabs>
        <w:spacing w:line="240" w:lineRule="auto" w:before="1" w:after="0"/>
        <w:ind w:left="102" w:right="116" w:firstLine="0"/>
        <w:jc w:val="left"/>
        <w:rPr>
          <w:sz w:val="24"/>
        </w:rPr>
      </w:pPr>
      <w:r>
        <w:rPr>
          <w:sz w:val="24"/>
        </w:rPr>
        <w:t>cessão de espaço para o CAU/BR realizar palestras incluindo a mobilização do público participante;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0" w:lineRule="auto" w:before="0" w:after="0"/>
        <w:ind w:left="349" w:right="0" w:hanging="247"/>
        <w:jc w:val="left"/>
        <w:rPr>
          <w:sz w:val="24"/>
        </w:rPr>
      </w:pPr>
      <w:r>
        <w:rPr>
          <w:sz w:val="24"/>
        </w:rPr>
        <w:t>cessão de espaço para o CAU/BR realizar rodadas de negócios, com</w:t>
      </w:r>
      <w:r>
        <w:rPr>
          <w:spacing w:val="-17"/>
          <w:sz w:val="24"/>
        </w:rPr>
        <w:t> </w:t>
      </w:r>
      <w:r>
        <w:rPr>
          <w:sz w:val="24"/>
        </w:rPr>
        <w:t>infraestrutura;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04" w:val="left" w:leader="none"/>
        </w:tabs>
        <w:spacing w:line="240" w:lineRule="auto" w:before="1" w:after="0"/>
        <w:ind w:left="303" w:right="0" w:hanging="201"/>
        <w:jc w:val="left"/>
        <w:rPr>
          <w:sz w:val="24"/>
        </w:rPr>
      </w:pPr>
      <w:r>
        <w:rPr>
          <w:sz w:val="24"/>
        </w:rPr>
        <w:t>cessão de espaço para exposição em estande institucional, com</w:t>
      </w:r>
      <w:r>
        <w:rPr>
          <w:spacing w:val="-6"/>
          <w:sz w:val="24"/>
        </w:rPr>
        <w:t> </w:t>
      </w:r>
      <w:r>
        <w:rPr>
          <w:sz w:val="24"/>
        </w:rPr>
        <w:t>infraestrutura;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352" w:val="left" w:leader="none"/>
        </w:tabs>
        <w:spacing w:line="240" w:lineRule="auto" w:before="1" w:after="0"/>
        <w:ind w:left="102" w:right="113" w:firstLine="0"/>
        <w:jc w:val="left"/>
        <w:rPr>
          <w:sz w:val="24"/>
        </w:rPr>
      </w:pPr>
      <w:r>
        <w:rPr>
          <w:sz w:val="24"/>
        </w:rPr>
        <w:t>cessão de espaço para veiculação de vídeos do CAU/BR na abertura do evento, intervalos e/ou na abertura de cada</w:t>
      </w:r>
      <w:r>
        <w:rPr>
          <w:spacing w:val="-4"/>
          <w:sz w:val="24"/>
        </w:rPr>
        <w:t> </w:t>
      </w:r>
      <w:r>
        <w:rPr>
          <w:sz w:val="24"/>
        </w:rPr>
        <w:t>sessão;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57" w:val="left" w:leader="none"/>
        </w:tabs>
        <w:spacing w:line="240" w:lineRule="auto" w:before="0" w:after="0"/>
        <w:ind w:left="356" w:right="0" w:hanging="254"/>
        <w:jc w:val="left"/>
        <w:rPr>
          <w:sz w:val="24"/>
        </w:rPr>
      </w:pPr>
      <w:r>
        <w:rPr>
          <w:sz w:val="24"/>
        </w:rPr>
        <w:t>aplicação da marca CAU/BR nas peças de divulgação do evento ou</w:t>
      </w:r>
      <w:r>
        <w:rPr>
          <w:spacing w:val="-12"/>
          <w:sz w:val="24"/>
        </w:rPr>
        <w:t> </w:t>
      </w:r>
      <w:r>
        <w:rPr>
          <w:sz w:val="24"/>
        </w:rPr>
        <w:t>ação;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23" w:val="left" w:leader="none"/>
        </w:tabs>
        <w:spacing w:line="240" w:lineRule="auto" w:before="0" w:after="0"/>
        <w:ind w:left="102" w:right="111" w:firstLine="0"/>
        <w:jc w:val="left"/>
        <w:rPr>
          <w:sz w:val="24"/>
        </w:rPr>
      </w:pPr>
      <w:r>
        <w:rPr>
          <w:sz w:val="24"/>
        </w:rPr>
        <w:t>exposição da marca CAU/BR nos anúncios em jornal, televisão, rádio, revista, internet, outdoor, busdoor e outras</w:t>
      </w:r>
      <w:r>
        <w:rPr>
          <w:spacing w:val="-4"/>
          <w:sz w:val="24"/>
        </w:rPr>
        <w:t> </w:t>
      </w:r>
      <w:r>
        <w:rPr>
          <w:sz w:val="24"/>
        </w:rPr>
        <w:t>mídias;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92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aplicação da marca CAU/BR nas peças de comunicação visual do evento (banners, cartazes e congêneres);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62" w:val="left" w:leader="none"/>
        </w:tabs>
        <w:spacing w:line="240" w:lineRule="auto" w:before="0" w:after="0"/>
        <w:ind w:left="102" w:right="107" w:firstLine="0"/>
        <w:jc w:val="left"/>
        <w:rPr>
          <w:sz w:val="24"/>
        </w:rPr>
      </w:pPr>
      <w:r>
        <w:rPr>
          <w:sz w:val="24"/>
        </w:rPr>
        <w:t>exposição da marca CAU/BR no sítio eletrônico (site) do evento e/ou no sítio eletrônico (site) do</w:t>
      </w:r>
      <w:r>
        <w:rPr>
          <w:spacing w:val="-3"/>
          <w:sz w:val="24"/>
        </w:rPr>
        <w:t> </w:t>
      </w:r>
      <w:r>
        <w:rPr>
          <w:sz w:val="24"/>
        </w:rPr>
        <w:t>proponente;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ListParagraph"/>
        <w:numPr>
          <w:ilvl w:val="0"/>
          <w:numId w:val="11"/>
        </w:numPr>
        <w:tabs>
          <w:tab w:pos="285" w:val="left" w:leader="none"/>
        </w:tabs>
        <w:spacing w:line="240" w:lineRule="auto" w:before="40" w:after="0"/>
        <w:ind w:left="284" w:right="0" w:hanging="18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citação do CAU/BR na divulgação do evento ou ação para a</w:t>
      </w:r>
      <w:r>
        <w:rPr>
          <w:spacing w:val="-10"/>
          <w:sz w:val="24"/>
        </w:rPr>
        <w:t> </w:t>
      </w:r>
      <w:r>
        <w:rPr>
          <w:sz w:val="24"/>
        </w:rPr>
        <w:t>imprensa;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22" w:val="left" w:leader="none"/>
        </w:tabs>
        <w:spacing w:line="240" w:lineRule="auto" w:before="0" w:after="0"/>
        <w:ind w:left="421" w:right="0" w:hanging="319"/>
        <w:jc w:val="left"/>
        <w:rPr>
          <w:sz w:val="24"/>
        </w:rPr>
      </w:pPr>
      <w:r>
        <w:rPr>
          <w:sz w:val="24"/>
        </w:rPr>
        <w:t>cessão de cotas de inscrições e/ou</w:t>
      </w:r>
      <w:r>
        <w:rPr>
          <w:spacing w:val="-5"/>
          <w:sz w:val="24"/>
        </w:rPr>
        <w:t> </w:t>
      </w:r>
      <w:r>
        <w:rPr>
          <w:sz w:val="24"/>
        </w:rPr>
        <w:t>credenciais;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0" w:after="0"/>
        <w:ind w:left="102" w:right="113" w:firstLine="0"/>
        <w:jc w:val="left"/>
        <w:rPr>
          <w:sz w:val="24"/>
        </w:rPr>
      </w:pPr>
      <w:r>
        <w:rPr>
          <w:sz w:val="24"/>
        </w:rPr>
        <w:t>cessão do mailing dos participantes no evento patrocinado, em arquivo digital e com autorização de uso conforme interesse do</w:t>
      </w:r>
      <w:r>
        <w:rPr>
          <w:spacing w:val="-5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conteúdos que colaborem para fomentar e disseminar informações de interesse da Arquitetura e</w:t>
      </w:r>
      <w:r>
        <w:rPr>
          <w:spacing w:val="-2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57" w:val="left" w:leader="none"/>
        </w:tabs>
        <w:spacing w:line="480" w:lineRule="auto" w:before="1" w:after="0"/>
        <w:ind w:left="102" w:right="1358" w:firstLine="0"/>
        <w:jc w:val="left"/>
        <w:rPr>
          <w:sz w:val="24"/>
        </w:rPr>
      </w:pPr>
      <w:r>
        <w:rPr>
          <w:sz w:val="24"/>
        </w:rPr>
        <w:t>outras formas de contrapartida, que deverão ser discriminadas em cada</w:t>
      </w:r>
      <w:r>
        <w:rPr>
          <w:spacing w:val="-31"/>
          <w:sz w:val="24"/>
        </w:rPr>
        <w:t> </w:t>
      </w:r>
      <w:r>
        <w:rPr>
          <w:sz w:val="24"/>
        </w:rPr>
        <w:t>item; II - em publicações, incluindo as oriundas de ações de</w:t>
      </w:r>
      <w:r>
        <w:rPr>
          <w:spacing w:val="-4"/>
          <w:sz w:val="24"/>
        </w:rPr>
        <w:t> </w:t>
      </w:r>
      <w:r>
        <w:rPr>
          <w:sz w:val="24"/>
        </w:rPr>
        <w:t>ATHIS:</w:t>
      </w:r>
    </w:p>
    <w:p>
      <w:pPr>
        <w:pStyle w:val="ListParagraph"/>
        <w:numPr>
          <w:ilvl w:val="0"/>
          <w:numId w:val="12"/>
        </w:numPr>
        <w:tabs>
          <w:tab w:pos="345" w:val="left" w:leader="none"/>
        </w:tabs>
        <w:spacing w:line="240" w:lineRule="auto" w:before="0" w:after="0"/>
        <w:ind w:left="344" w:right="0" w:hanging="242"/>
        <w:jc w:val="left"/>
        <w:rPr>
          <w:sz w:val="24"/>
        </w:rPr>
      </w:pPr>
      <w:r>
        <w:rPr>
          <w:sz w:val="24"/>
        </w:rPr>
        <w:t>conteúdo editorial relevante para a Arquitetura e</w:t>
      </w:r>
      <w:r>
        <w:rPr>
          <w:spacing w:val="-4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2" w:lineRule="auto" w:before="0" w:after="0"/>
        <w:ind w:left="102" w:right="116" w:firstLine="0"/>
        <w:jc w:val="left"/>
        <w:rPr>
          <w:sz w:val="24"/>
        </w:rPr>
      </w:pPr>
      <w:r>
        <w:rPr>
          <w:sz w:val="24"/>
        </w:rPr>
        <w:t>acessibilidade de arquitetos e urbanistas ao conteúdo editado, incluindo descontos ou gratuidade;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30" w:val="left" w:leader="none"/>
        </w:tabs>
        <w:spacing w:line="240" w:lineRule="auto" w:before="1" w:after="0"/>
        <w:ind w:left="329" w:right="0" w:hanging="227"/>
        <w:jc w:val="left"/>
        <w:rPr>
          <w:sz w:val="24"/>
        </w:rPr>
      </w:pPr>
      <w:r>
        <w:rPr>
          <w:sz w:val="24"/>
        </w:rPr>
        <w:t>cessão de espaço em livro para veiculação de texto do</w:t>
      </w:r>
      <w:r>
        <w:rPr>
          <w:spacing w:val="-4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56" w:val="left" w:leader="none"/>
        </w:tabs>
        <w:spacing w:line="240" w:lineRule="auto" w:before="0" w:after="0"/>
        <w:ind w:left="356" w:right="0" w:hanging="254"/>
        <w:jc w:val="left"/>
        <w:rPr>
          <w:sz w:val="24"/>
        </w:rPr>
      </w:pPr>
      <w:r>
        <w:rPr>
          <w:sz w:val="24"/>
        </w:rPr>
        <w:t>exposição da marca</w:t>
      </w:r>
      <w:r>
        <w:rPr>
          <w:spacing w:val="-4"/>
          <w:sz w:val="24"/>
        </w:rPr>
        <w:t> </w:t>
      </w:r>
      <w:r>
        <w:rPr>
          <w:sz w:val="24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50" w:val="left" w:leader="none"/>
        </w:tabs>
        <w:spacing w:line="240" w:lineRule="auto" w:before="0" w:after="0"/>
        <w:ind w:left="349" w:right="0" w:hanging="247"/>
        <w:jc w:val="left"/>
        <w:rPr>
          <w:sz w:val="24"/>
        </w:rPr>
      </w:pPr>
      <w:r>
        <w:rPr>
          <w:sz w:val="24"/>
        </w:rPr>
        <w:t>cessão de cotas para o</w:t>
      </w:r>
      <w:r>
        <w:rPr>
          <w:spacing w:val="-7"/>
          <w:sz w:val="24"/>
        </w:rPr>
        <w:t> </w:t>
      </w:r>
      <w:r>
        <w:rPr>
          <w:sz w:val="24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35" w:val="left" w:leader="none"/>
        </w:tabs>
        <w:spacing w:line="240" w:lineRule="auto" w:before="0" w:after="0"/>
        <w:ind w:left="102" w:right="109" w:firstLine="0"/>
        <w:jc w:val="left"/>
        <w:rPr>
          <w:sz w:val="24"/>
        </w:rPr>
      </w:pPr>
      <w:r>
        <w:rPr>
          <w:sz w:val="24"/>
        </w:rPr>
        <w:t>autorização, dos autores ou de quem de direito, para download, da publicação no sítio eletrônico (site) do</w:t>
      </w:r>
      <w:r>
        <w:rPr>
          <w:spacing w:val="-2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42" w:val="left" w:leader="none"/>
        </w:tabs>
        <w:spacing w:line="240" w:lineRule="auto" w:before="0" w:after="0"/>
        <w:ind w:left="341" w:right="0" w:hanging="239"/>
        <w:jc w:val="left"/>
        <w:rPr>
          <w:sz w:val="24"/>
        </w:rPr>
      </w:pPr>
      <w:r>
        <w:rPr>
          <w:sz w:val="24"/>
        </w:rPr>
        <w:t>cessão de espaço para participação do CAU/BR na solenidade de</w:t>
      </w:r>
      <w:r>
        <w:rPr>
          <w:spacing w:val="-15"/>
          <w:sz w:val="24"/>
        </w:rPr>
        <w:t> </w:t>
      </w:r>
      <w:r>
        <w:rPr>
          <w:sz w:val="24"/>
        </w:rPr>
        <w:t>lançamento;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56" w:val="left" w:leader="none"/>
        </w:tabs>
        <w:spacing w:line="240" w:lineRule="auto" w:before="0" w:after="0"/>
        <w:ind w:left="356" w:right="0" w:hanging="254"/>
        <w:jc w:val="left"/>
        <w:rPr>
          <w:sz w:val="24"/>
        </w:rPr>
      </w:pPr>
      <w:r>
        <w:rPr>
          <w:sz w:val="24"/>
        </w:rPr>
        <w:t>tiragem e estratégia de</w:t>
      </w:r>
      <w:r>
        <w:rPr>
          <w:spacing w:val="-3"/>
          <w:sz w:val="24"/>
        </w:rPr>
        <w:t> </w:t>
      </w:r>
      <w:r>
        <w:rPr>
          <w:sz w:val="24"/>
        </w:rPr>
        <w:t>distribuição;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285" w:val="left" w:leader="none"/>
        </w:tabs>
        <w:spacing w:line="480" w:lineRule="auto" w:before="0" w:after="0"/>
        <w:ind w:left="102" w:right="1426" w:firstLine="0"/>
        <w:jc w:val="left"/>
        <w:rPr>
          <w:sz w:val="24"/>
        </w:rPr>
      </w:pPr>
      <w:r>
        <w:rPr>
          <w:sz w:val="24"/>
        </w:rPr>
        <w:t>outras formas de contrapartida, que deverão ser discriminadas em cada item; III - em ações</w:t>
      </w:r>
      <w:r>
        <w:rPr>
          <w:spacing w:val="2"/>
          <w:sz w:val="24"/>
        </w:rPr>
        <w:t> </w:t>
      </w:r>
      <w:r>
        <w:rPr>
          <w:sz w:val="24"/>
        </w:rPr>
        <w:t>diversas:</w:t>
      </w:r>
    </w:p>
    <w:p>
      <w:pPr>
        <w:pStyle w:val="ListParagraph"/>
        <w:numPr>
          <w:ilvl w:val="0"/>
          <w:numId w:val="13"/>
        </w:numPr>
        <w:tabs>
          <w:tab w:pos="345" w:val="left" w:leader="none"/>
        </w:tabs>
        <w:spacing w:line="292" w:lineRule="exact" w:before="0" w:after="0"/>
        <w:ind w:left="344" w:right="0" w:hanging="242"/>
        <w:jc w:val="left"/>
        <w:rPr>
          <w:sz w:val="24"/>
        </w:rPr>
      </w:pPr>
      <w:r>
        <w:rPr>
          <w:sz w:val="24"/>
        </w:rPr>
        <w:t>conteúdo editorial relevante para a Arquitetura e</w:t>
      </w:r>
      <w:r>
        <w:rPr>
          <w:spacing w:val="-4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56" w:val="left" w:leader="none"/>
        </w:tabs>
        <w:spacing w:line="240" w:lineRule="auto" w:before="1" w:after="0"/>
        <w:ind w:left="356" w:right="0" w:hanging="254"/>
        <w:jc w:val="left"/>
        <w:rPr>
          <w:sz w:val="24"/>
        </w:rPr>
      </w:pPr>
      <w:r>
        <w:rPr>
          <w:sz w:val="24"/>
        </w:rPr>
        <w:t>acesso de arquitetos e urbanistas às atividades do</w:t>
      </w:r>
      <w:r>
        <w:rPr>
          <w:spacing w:val="-6"/>
          <w:sz w:val="24"/>
        </w:rPr>
        <w:t> </w:t>
      </w:r>
      <w:r>
        <w:rPr>
          <w:sz w:val="24"/>
        </w:rPr>
        <w:t>projeto;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30" w:val="left" w:leader="none"/>
        </w:tabs>
        <w:spacing w:line="240" w:lineRule="auto" w:before="0" w:after="0"/>
        <w:ind w:left="329" w:right="0" w:hanging="227"/>
        <w:jc w:val="left"/>
        <w:rPr>
          <w:sz w:val="24"/>
        </w:rPr>
      </w:pPr>
      <w:r>
        <w:rPr>
          <w:sz w:val="24"/>
        </w:rPr>
        <w:t>outras formas de contrapartida, que deverão ser discriminadas em cada</w:t>
      </w:r>
      <w:r>
        <w:rPr>
          <w:spacing w:val="-10"/>
          <w:sz w:val="24"/>
        </w:rPr>
        <w:t> </w:t>
      </w:r>
      <w:r>
        <w:rPr>
          <w:sz w:val="24"/>
        </w:rPr>
        <w:t>item.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</w:pPr>
      <w:r>
        <w:rPr/>
        <w:t>Parágrafo único. No âmbito dos acordos de apoio aplicar-se-ão, ainda, as seguintes disposições:</w:t>
      </w:r>
    </w:p>
    <w:p>
      <w:pPr>
        <w:spacing w:after="0"/>
        <w:sectPr>
          <w:pgSz w:w="11910" w:h="16840"/>
          <w:pgMar w:header="0" w:footer="958" w:top="1520" w:bottom="1140" w:left="1600" w:right="1020"/>
        </w:sectPr>
      </w:pPr>
    </w:p>
    <w:p>
      <w:pPr>
        <w:pStyle w:val="ListParagraph"/>
        <w:numPr>
          <w:ilvl w:val="0"/>
          <w:numId w:val="14"/>
        </w:numPr>
        <w:tabs>
          <w:tab w:pos="244" w:val="left" w:leader="none"/>
        </w:tabs>
        <w:spacing w:line="240" w:lineRule="auto" w:before="40" w:after="0"/>
        <w:ind w:left="102" w:right="109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52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o proponente deverá comprovar, junto ao CAU/BR, a realização do objeto apoiado e o cumprimento de todas as contrapartidas</w:t>
      </w:r>
      <w:r>
        <w:rPr>
          <w:spacing w:val="-6"/>
          <w:sz w:val="24"/>
        </w:rPr>
        <w:t> </w:t>
      </w:r>
      <w:r>
        <w:rPr>
          <w:sz w:val="24"/>
        </w:rPr>
        <w:t>pactuadas;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278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- a assessoria de comunicação ou o setor correspondente do CAU/BR fiscalizará os projetos apoiados, avaliando a efetividade da</w:t>
      </w:r>
      <w:r>
        <w:rPr>
          <w:spacing w:val="-5"/>
          <w:sz w:val="24"/>
        </w:rPr>
        <w:t> </w:t>
      </w:r>
      <w:r>
        <w:rPr>
          <w:sz w:val="24"/>
        </w:rPr>
        <w:t>contrapartida;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83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- a prestação de contas do proponente, contemplando o mencionado nos itens I e II anteriores, além de fotos e material de divulgação, deverá ser entregue, também, em arquivo</w:t>
      </w:r>
      <w:r>
        <w:rPr>
          <w:spacing w:val="-3"/>
          <w:sz w:val="24"/>
        </w:rPr>
        <w:t> </w:t>
      </w:r>
      <w:r>
        <w:rPr>
          <w:sz w:val="24"/>
        </w:rPr>
        <w:t>digital;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412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- a Comissão de Política Profissional do CAU/BR ficará responsável pela fiscalização, diretamente ou por meio de consultoria, avaliando as etapas de materialização do projeto quando no âmbito da modalidade II do art.</w:t>
      </w:r>
      <w:r>
        <w:rPr>
          <w:spacing w:val="-12"/>
          <w:sz w:val="24"/>
        </w:rPr>
        <w:t> </w:t>
      </w:r>
      <w:r>
        <w:rPr>
          <w:sz w:val="24"/>
        </w:rPr>
        <w:t>6°.</w:t>
      </w:r>
    </w:p>
    <w:p>
      <w:pPr>
        <w:pStyle w:val="BodyText"/>
      </w:pPr>
    </w:p>
    <w:p>
      <w:pPr>
        <w:pStyle w:val="Heading1"/>
        <w:ind w:right="2590"/>
      </w:pPr>
      <w:r>
        <w:rPr/>
        <w:t>CAPÍTULO IV</w:t>
      </w:r>
    </w:p>
    <w:p>
      <w:pPr>
        <w:spacing w:before="0"/>
        <w:ind w:left="2580" w:right="2589" w:firstLine="0"/>
        <w:jc w:val="center"/>
        <w:rPr>
          <w:b/>
          <w:sz w:val="24"/>
        </w:rPr>
      </w:pPr>
      <w:r>
        <w:rPr>
          <w:b/>
          <w:sz w:val="24"/>
        </w:rPr>
        <w:t>DA FORMALIZAÇÃO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09"/>
        <w:jc w:val="both"/>
      </w:pPr>
      <w:r>
        <w:rPr/>
        <w:t>Art. 14. A formalização da concessão do apoio obedecerá ao fluxo de processo inerente a cada modalidade e ocorrerá com a assinatura do instrumento jurídico estabelecido pelo CAU/BR.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13"/>
        <w:jc w:val="both"/>
      </w:pPr>
      <w:r>
        <w:rPr/>
        <w:t>Art. 15. A relação jurídica somente será formalizada após a entrega, no prazo estabelecido, dos seguintes documentos: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95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- ato constitutivo, contrato social ou estatuto social com as alterações, se houver, devidamente registrados nos órgãos</w:t>
      </w:r>
      <w:r>
        <w:rPr>
          <w:spacing w:val="-4"/>
          <w:sz w:val="24"/>
        </w:rPr>
        <w:t> </w:t>
      </w:r>
      <w:r>
        <w:rPr>
          <w:sz w:val="24"/>
        </w:rPr>
        <w:t>competentes;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09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ata de eleição e/ou ato de designação das pessoas habilitadas a representar a pessoa jurídica, se for o</w:t>
      </w:r>
      <w:r>
        <w:rPr>
          <w:spacing w:val="-1"/>
          <w:sz w:val="24"/>
        </w:rPr>
        <w:t> </w:t>
      </w:r>
      <w:r>
        <w:rPr>
          <w:sz w:val="24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38" w:val="left" w:leader="none"/>
        </w:tabs>
        <w:spacing w:line="240" w:lineRule="auto" w:before="0" w:after="0"/>
        <w:ind w:left="337" w:right="0" w:hanging="235"/>
        <w:jc w:val="left"/>
        <w:rPr>
          <w:sz w:val="24"/>
        </w:rPr>
      </w:pPr>
      <w:r>
        <w:rPr>
          <w:sz w:val="24"/>
        </w:rPr>
        <w:t>- prova de inscrição no Cadastro Nacional de Pessoa</w:t>
      </w:r>
      <w:r>
        <w:rPr>
          <w:spacing w:val="-13"/>
          <w:sz w:val="24"/>
        </w:rPr>
        <w:t> </w:t>
      </w:r>
      <w:r>
        <w:rPr>
          <w:sz w:val="24"/>
        </w:rPr>
        <w:t>Jurídica;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355" w:val="left" w:leader="none"/>
        </w:tabs>
        <w:spacing w:line="240" w:lineRule="auto" w:before="0" w:after="0"/>
        <w:ind w:left="354" w:right="0" w:hanging="252"/>
        <w:jc w:val="left"/>
        <w:rPr>
          <w:sz w:val="24"/>
        </w:rPr>
      </w:pPr>
      <w:r>
        <w:rPr>
          <w:sz w:val="24"/>
        </w:rPr>
        <w:t>- prova de inscrição nos cadastros estadual e municipal de contribuintes, se</w:t>
      </w:r>
      <w:r>
        <w:rPr>
          <w:spacing w:val="-22"/>
          <w:sz w:val="24"/>
        </w:rPr>
        <w:t> </w:t>
      </w:r>
      <w:r>
        <w:rPr>
          <w:sz w:val="24"/>
        </w:rPr>
        <w:t>houver;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07" w:val="left" w:leader="none"/>
        </w:tabs>
        <w:spacing w:line="240" w:lineRule="auto" w:before="1" w:after="0"/>
        <w:ind w:left="102" w:right="113" w:firstLine="0"/>
        <w:jc w:val="both"/>
        <w:rPr>
          <w:sz w:val="24"/>
        </w:rPr>
      </w:pPr>
      <w:r>
        <w:rPr>
          <w:sz w:val="24"/>
        </w:rPr>
        <w:t>- carteira de identidade e prova de inscrição no Cadastro de Pessoas Físicas do Ministério da Fazenda (CPF/MF) dos representantes legais da pessoa</w:t>
      </w:r>
      <w:r>
        <w:rPr>
          <w:spacing w:val="-8"/>
          <w:sz w:val="24"/>
        </w:rPr>
        <w:t> </w:t>
      </w:r>
      <w:r>
        <w:rPr>
          <w:sz w:val="24"/>
        </w:rPr>
        <w:t>jurídica;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55" w:val="left" w:leader="none"/>
        </w:tabs>
        <w:spacing w:line="240" w:lineRule="auto" w:before="0" w:after="0"/>
        <w:ind w:left="354" w:right="0" w:hanging="252"/>
        <w:jc w:val="left"/>
        <w:rPr>
          <w:sz w:val="24"/>
        </w:rPr>
      </w:pPr>
      <w:r>
        <w:rPr>
          <w:sz w:val="24"/>
        </w:rPr>
        <w:t>- provas de regularidade fiscal,</w:t>
      </w:r>
      <w:r>
        <w:rPr>
          <w:spacing w:val="-6"/>
          <w:sz w:val="24"/>
        </w:rPr>
        <w:t> </w:t>
      </w:r>
      <w:r>
        <w:rPr>
          <w:sz w:val="24"/>
        </w:rPr>
        <w:t>sendo: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83" w:val="left" w:leader="none"/>
        </w:tabs>
        <w:spacing w:line="240" w:lineRule="auto" w:before="1" w:after="0"/>
        <w:ind w:left="102" w:right="114" w:firstLine="0"/>
        <w:jc w:val="both"/>
        <w:rPr>
          <w:sz w:val="24"/>
        </w:rPr>
      </w:pPr>
      <w:r>
        <w:rPr>
          <w:sz w:val="24"/>
        </w:rPr>
        <w:t>certidão conjunta negativa de débitos relativos a tributos e contribuições federais e a dívida ativa da União, expedida pelo órgão da Receita Federal do</w:t>
      </w:r>
      <w:r>
        <w:rPr>
          <w:spacing w:val="-17"/>
          <w:sz w:val="24"/>
        </w:rPr>
        <w:t> </w:t>
      </w:r>
      <w:r>
        <w:rPr>
          <w:sz w:val="24"/>
        </w:rPr>
        <w:t>Brasil;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78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certidão negativa de débitos relativos às contribuições previdenciárias e às de terceiros, expedida pelo órgão da Receita Federal do</w:t>
      </w:r>
      <w:r>
        <w:rPr>
          <w:spacing w:val="-11"/>
          <w:sz w:val="24"/>
        </w:rPr>
        <w:t> </w:t>
      </w:r>
      <w:r>
        <w:rPr>
          <w:sz w:val="24"/>
        </w:rPr>
        <w:t>Brasil;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ListParagraph"/>
        <w:numPr>
          <w:ilvl w:val="0"/>
          <w:numId w:val="16"/>
        </w:numPr>
        <w:tabs>
          <w:tab w:pos="350" w:val="left" w:leader="none"/>
        </w:tabs>
        <w:spacing w:line="240" w:lineRule="auto" w:before="40" w:after="0"/>
        <w:ind w:left="102" w:right="115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55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certificado de regularidade para com o Fundo de Garantia por Tempo de Serviço (FGTS), expedido pela Caixa Econômica</w:t>
      </w:r>
      <w:r>
        <w:rPr>
          <w:spacing w:val="-3"/>
          <w:sz w:val="24"/>
        </w:rPr>
        <w:t> </w:t>
      </w:r>
      <w:r>
        <w:rPr>
          <w:sz w:val="24"/>
        </w:rPr>
        <w:t>Federal;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368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certidões negativas de tributos estaduais ou distrital e municipais, ou, em se tratando de contribuinte isento, cópia do documento de isenção, emitidos pelo órgão competente do Estado ou Distrito Federal e do Município, ou declaração assinada pelo representante</w:t>
      </w:r>
      <w:r>
        <w:rPr>
          <w:spacing w:val="-24"/>
          <w:sz w:val="24"/>
        </w:rPr>
        <w:t> </w:t>
      </w:r>
      <w:r>
        <w:rPr>
          <w:sz w:val="24"/>
        </w:rPr>
        <w:t>legal.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</w:pPr>
      <w:r>
        <w:rPr/>
        <w:t>§ 1° As certidões extraídas da Internet deverão estar acompanhadas de suas respectivas certificações, que serão obtidas no mesmo sítio eletrônico (site).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61"/>
      </w:pPr>
      <w:r>
        <w:rPr/>
        <w:t>§ 2° A comprovação da regularidade fiscal poderá ser substituída pela consulta ao Sistema  de Cadastro Unificado de Fornecedores (SICAF) do governo</w:t>
      </w:r>
      <w:r>
        <w:rPr>
          <w:spacing w:val="-7"/>
        </w:rPr>
        <w:t> </w:t>
      </w:r>
      <w:r>
        <w:rPr/>
        <w:t>federal.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/>
        <w:t>Art. 16. A análise da documentação de proponentes estrangeiros, para eventos a serem realizados no exterior, considerarão as peculiaridades de cada</w:t>
      </w:r>
      <w:r>
        <w:rPr>
          <w:spacing w:val="-8"/>
        </w:rPr>
        <w:t> </w:t>
      </w:r>
      <w:r>
        <w:rPr/>
        <w:t>país.</w:t>
      </w:r>
    </w:p>
    <w:p>
      <w:pPr>
        <w:pStyle w:val="BodyText"/>
      </w:pPr>
    </w:p>
    <w:p>
      <w:pPr>
        <w:pStyle w:val="Heading1"/>
        <w:spacing w:line="242" w:lineRule="auto"/>
        <w:ind w:left="3484" w:right="3479" w:firstLine="554"/>
        <w:jc w:val="left"/>
      </w:pPr>
      <w:r>
        <w:rPr/>
        <w:t>CAPÍTULO V REPASSE DE RECURSOS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1"/>
        <w:ind w:left="102"/>
      </w:pPr>
      <w:r>
        <w:rPr/>
        <w:t>Art. 17. A liberação dos recursos de apoio estará condicionada: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0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- ao cumprimento das cláusulas estipuladas no instrumento jurídico firmado entre o CAU/BR e o</w:t>
      </w:r>
      <w:r>
        <w:rPr>
          <w:spacing w:val="1"/>
          <w:sz w:val="24"/>
        </w:rPr>
        <w:t> </w:t>
      </w:r>
      <w:r>
        <w:rPr>
          <w:sz w:val="24"/>
        </w:rPr>
        <w:t>apoiado;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278" w:val="left" w:leader="none"/>
        </w:tabs>
        <w:spacing w:line="240" w:lineRule="auto" w:before="0" w:after="0"/>
        <w:ind w:left="277" w:right="0" w:hanging="175"/>
        <w:jc w:val="left"/>
        <w:rPr>
          <w:sz w:val="24"/>
        </w:rPr>
      </w:pPr>
      <w:r>
        <w:rPr>
          <w:sz w:val="24"/>
        </w:rPr>
        <w:t>- à validade das certidões e documentos de regularidade</w:t>
      </w:r>
      <w:r>
        <w:rPr>
          <w:spacing w:val="-2"/>
          <w:sz w:val="24"/>
        </w:rPr>
        <w:t> </w:t>
      </w:r>
      <w:r>
        <w:rPr>
          <w:sz w:val="24"/>
        </w:rPr>
        <w:t>apresentados.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Art. 18. A falta de comprovação de qualquer item estabelecido como contrapartida ou a alocação de contrapartida em montante aquém do estabelecido do instrumento jurídico implicará redução proporcional da participação do CAU/BR, ficando o apoiado obrigado a restituir o valor excedente.</w:t>
      </w:r>
    </w:p>
    <w:p>
      <w:pPr>
        <w:pStyle w:val="BodyText"/>
        <w:spacing w:before="2"/>
      </w:pPr>
    </w:p>
    <w:p>
      <w:pPr>
        <w:pStyle w:val="Heading1"/>
        <w:ind w:left="3625" w:right="3631" w:hanging="4"/>
      </w:pPr>
      <w:r>
        <w:rPr/>
        <w:t>CAPÍTULO VI DISPOSIÇÕES FINAIS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/>
      </w:pPr>
      <w:r>
        <w:rPr/>
        <w:t>Art. 19. A alocação de recursos pelo CAU/BR ficará limitada aos seguintes montantes: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218" w:val="left" w:leader="none"/>
        </w:tabs>
        <w:spacing w:line="240" w:lineRule="auto" w:before="0" w:after="0"/>
        <w:ind w:left="217" w:right="0" w:hanging="115"/>
        <w:jc w:val="left"/>
        <w:rPr>
          <w:sz w:val="24"/>
        </w:rPr>
      </w:pPr>
      <w:r>
        <w:rPr>
          <w:sz w:val="24"/>
        </w:rPr>
        <w:t>- até R$ 20.000,00 (vinte mil reais), para projetos e ações de âmbito municipal ou</w:t>
      </w:r>
      <w:r>
        <w:rPr>
          <w:spacing w:val="-23"/>
          <w:sz w:val="24"/>
        </w:rPr>
        <w:t> </w:t>
      </w:r>
      <w:r>
        <w:rPr>
          <w:sz w:val="24"/>
        </w:rPr>
        <w:t>estadual;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297" w:val="left" w:leader="none"/>
        </w:tabs>
        <w:spacing w:line="240" w:lineRule="auto" w:before="0" w:after="0"/>
        <w:ind w:left="102" w:right="119" w:firstLine="0"/>
        <w:jc w:val="left"/>
        <w:rPr>
          <w:sz w:val="24"/>
        </w:rPr>
      </w:pPr>
      <w:r>
        <w:rPr>
          <w:sz w:val="24"/>
        </w:rPr>
        <w:t>- até R$ 35.000,00 (trinta e cinco mil reais), para projetos e ações de âmbito regional ou nacional;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38" w:val="left" w:leader="none"/>
        </w:tabs>
        <w:spacing w:line="240" w:lineRule="auto" w:before="0" w:after="0"/>
        <w:ind w:left="337" w:right="0" w:hanging="235"/>
        <w:jc w:val="left"/>
        <w:rPr>
          <w:sz w:val="24"/>
        </w:rPr>
      </w:pPr>
      <w:r>
        <w:rPr>
          <w:sz w:val="24"/>
        </w:rPr>
        <w:t>- até R$ 50.000,00 (cinquenta mil reais), para projetos e ações de âmbito</w:t>
      </w:r>
      <w:r>
        <w:rPr>
          <w:spacing w:val="-17"/>
          <w:sz w:val="24"/>
        </w:rPr>
        <w:t> </w:t>
      </w:r>
      <w:r>
        <w:rPr>
          <w:sz w:val="24"/>
        </w:rPr>
        <w:t>internacional;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383" w:val="left" w:leader="none"/>
        </w:tabs>
        <w:spacing w:line="240" w:lineRule="auto" w:before="0" w:after="0"/>
        <w:ind w:left="102" w:right="112" w:firstLine="0"/>
        <w:jc w:val="left"/>
        <w:rPr>
          <w:sz w:val="24"/>
        </w:rPr>
      </w:pPr>
      <w:r>
        <w:rPr>
          <w:sz w:val="24"/>
        </w:rPr>
        <w:t>- até R$ 150.000,00 (cento e cinquenta mil reais), para projetos e ações de Assistência Técnica de Habitações com Interesse Social</w:t>
      </w:r>
      <w:r>
        <w:rPr>
          <w:spacing w:val="4"/>
          <w:sz w:val="24"/>
        </w:rPr>
        <w:t> </w:t>
      </w:r>
      <w:r>
        <w:rPr>
          <w:sz w:val="24"/>
        </w:rPr>
        <w:t>(ATHIS).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BodyText"/>
        <w:spacing w:line="480" w:lineRule="auto" w:before="40"/>
        <w:ind w:left="102" w:right="339"/>
      </w:pPr>
      <w:r>
        <w:rPr/>
        <w:drawing>
          <wp:anchor distT="0" distB="0" distL="0" distR="0" allowOverlap="1" layoutInCell="1" locked="0" behindDoc="1" simplePos="0" relativeHeight="26842557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Parágrafo Único . As participações do CAU/BR ficarão, ainda, sujeitas aos seguintes limites: I - não poderão ultrapassar 5% (cinco por cento) da receita anual do CAU/BR.</w:t>
      </w:r>
    </w:p>
    <w:p>
      <w:pPr>
        <w:pStyle w:val="BodyText"/>
        <w:spacing w:before="2"/>
        <w:ind w:left="102" w:right="105"/>
        <w:jc w:val="both"/>
      </w:pPr>
      <w:r>
        <w:rPr/>
        <w:t>II - não poderão ser superiores a 50% (cinquenta por cento) do orçamento global da ação ou evento, conforme o plano de trabalho ou projeto apresentado, na modalidade I, e de 80% (oitenta por cento), no caso da modalidade II do art. 6°.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07"/>
        <w:jc w:val="both"/>
      </w:pPr>
      <w:r>
        <w:rPr/>
        <w:t>Art. 20. Sem prejuízo da guarda documental a cargo do CAU/BR, os apoiados ficarão responsáveis pela guarda dos documentos originais referentes aos apoios concedidos, só podendo eliminá-los depois de decorrido o período de 5 (cinco) anos após a aprovação da prestação de contas.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Art. 21. Para o apoio aos eventos e ações de que trata esta Resolução serão adotados os modelos propostos pela Comissão de Política Profissional do CAU/BR e aprovados por Deliberação Plenária do CAU/BR.</w:t>
      </w:r>
    </w:p>
    <w:p>
      <w:pPr>
        <w:pStyle w:val="BodyText"/>
        <w:spacing w:before="2"/>
      </w:pPr>
    </w:p>
    <w:p>
      <w:pPr>
        <w:pStyle w:val="BodyText"/>
        <w:ind w:left="102" w:right="110"/>
        <w:jc w:val="both"/>
      </w:pPr>
      <w:r>
        <w:rPr/>
        <w:t>Art. 22. Os projetos especiais, assim entendidos aqueles de caráter nacional ou internacional que ultrapassarem os valores estipulados nesta Resolução, poderão obter o apoio do CAU/BR nos seguintes</w:t>
      </w:r>
      <w:r>
        <w:rPr>
          <w:spacing w:val="-3"/>
        </w:rPr>
        <w:t> </w:t>
      </w:r>
      <w:r>
        <w:rPr/>
        <w:t>casos: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18" w:val="left" w:leader="none"/>
        </w:tabs>
        <w:spacing w:line="240" w:lineRule="auto" w:before="0" w:after="0"/>
        <w:ind w:left="217" w:right="0" w:hanging="115"/>
        <w:jc w:val="both"/>
        <w:rPr>
          <w:sz w:val="24"/>
        </w:rPr>
      </w:pPr>
      <w:r>
        <w:rPr>
          <w:sz w:val="24"/>
        </w:rPr>
        <w:t>- cujo objeto se inclua em uma das modalidades previstas no art.</w:t>
      </w:r>
      <w:r>
        <w:rPr>
          <w:spacing w:val="-16"/>
          <w:sz w:val="24"/>
        </w:rPr>
        <w:t> </w:t>
      </w:r>
      <w:r>
        <w:rPr>
          <w:sz w:val="24"/>
        </w:rPr>
        <w:t>6°;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352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- aprovação prévia de escopo e orçamento pelos setores técnicos competentes do CAU/BR;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338" w:val="left" w:leader="none"/>
        </w:tabs>
        <w:spacing w:line="240" w:lineRule="auto" w:before="0" w:after="0"/>
        <w:ind w:left="337" w:right="0" w:hanging="235"/>
        <w:jc w:val="both"/>
        <w:rPr>
          <w:sz w:val="24"/>
        </w:rPr>
      </w:pPr>
      <w:r>
        <w:rPr>
          <w:sz w:val="24"/>
        </w:rPr>
        <w:t>- aprovação pelo plenário do</w:t>
      </w:r>
      <w:r>
        <w:rPr>
          <w:spacing w:val="3"/>
          <w:sz w:val="24"/>
        </w:rPr>
        <w:t> </w:t>
      </w:r>
      <w:r>
        <w:rPr>
          <w:sz w:val="24"/>
        </w:rPr>
        <w:t>CAU/BR.</w:t>
      </w:r>
    </w:p>
    <w:p>
      <w:pPr>
        <w:pStyle w:val="BodyText"/>
      </w:pPr>
    </w:p>
    <w:p>
      <w:pPr>
        <w:pStyle w:val="BodyText"/>
        <w:spacing w:line="480" w:lineRule="auto"/>
        <w:ind w:left="102" w:right="2164"/>
      </w:pPr>
      <w:r>
        <w:rPr/>
        <w:t>Art. 23. Fica revogada a Resolução CAU/BR n° 23, de 4 de maio de 2012. Art. 24. Esta Resolução entra em vigor na data de sua publicação.</w:t>
      </w:r>
    </w:p>
    <w:p>
      <w:pPr>
        <w:pStyle w:val="BodyText"/>
        <w:spacing w:before="2"/>
        <w:ind w:left="2580" w:right="2588"/>
        <w:jc w:val="center"/>
      </w:pPr>
      <w:r>
        <w:rPr/>
        <w:t>Brasília, 7 de novembro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right="2591"/>
      </w:pPr>
      <w:r>
        <w:rPr/>
        <w:t>HAROLDO PINHEIRO VILLAR DE QUEIROZ</w:t>
      </w:r>
    </w:p>
    <w:p>
      <w:pPr>
        <w:spacing w:before="0"/>
        <w:ind w:left="2580" w:right="2590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sz w:val="22"/>
        </w:rPr>
        <w:t>(Publicada no Diário Oficial da União, Edição n° 234, Seção 1, de 3 de dezembro de 2014)</w:t>
      </w:r>
    </w:p>
    <w:sectPr>
      <w:pgSz w:w="11910" w:h="16840"/>
      <w:pgMar w:header="0" w:footer="958" w:top="152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3.03949pt;width:420.7pt;height:30.65pt;mso-position-horizontal-relative:page;mso-position-vertical-relative:page;z-index:-10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8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6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9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6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3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9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6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3" w:hanging="116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6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9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6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3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9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6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3" w:hanging="116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02" w:hanging="178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7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78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2" w:hanging="281"/>
        <w:jc w:val="left"/>
      </w:pPr>
      <w:rPr>
        <w:rFonts w:hint="default" w:ascii="Calibri" w:hAnsi="Calibri" w:eastAsia="Calibri" w:cs="Calibri"/>
        <w:spacing w:val="-16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28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28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28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28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28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28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281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102" w:hanging="192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9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9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9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9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9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9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9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92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02" w:hanging="1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42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8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2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7" w:hanging="242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8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2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7" w:hanging="242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8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2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7" w:hanging="242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6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9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6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3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9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6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3" w:hanging="116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6"/>
      <w:numFmt w:val="upperRoman"/>
      <w:lvlText w:val="%1"/>
      <w:lvlJc w:val="left"/>
      <w:pPr>
        <w:ind w:left="102" w:hanging="377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37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37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37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37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37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37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37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377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2"/>
      <w:numFmt w:val="upperRoman"/>
      <w:lvlText w:val="%1"/>
      <w:lvlJc w:val="left"/>
      <w:pPr>
        <w:ind w:left="402" w:hanging="30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88" w:hanging="30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77" w:hanging="30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5" w:hanging="30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4" w:hanging="30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43" w:hanging="30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1" w:hanging="30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0" w:hanging="30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09" w:hanging="300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5"/>
      <w:numFmt w:val="upperRoman"/>
      <w:lvlText w:val="%1"/>
      <w:lvlJc w:val="left"/>
      <w:pPr>
        <w:ind w:left="294" w:hanging="19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98" w:hanging="19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19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95" w:hanging="19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4" w:hanging="19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93" w:hanging="19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9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0" w:hanging="19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89" w:hanging="192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" w:hanging="305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30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30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30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30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30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30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30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305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329"/>
        <w:jc w:val="left"/>
      </w:pPr>
      <w:rPr>
        <w:rFonts w:hint="default" w:ascii="Calibri" w:hAnsi="Calibri" w:eastAsia="Calibri" w:cs="Calibri"/>
        <w:spacing w:val="-2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32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32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32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32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32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32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32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329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6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9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6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3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9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6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3" w:hanging="11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8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2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7" w:hanging="24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8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2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7" w:hanging="2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67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26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26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26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26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26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26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26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267"/>
      </w:pPr>
      <w:rPr>
        <w:rFonts w:hint="default"/>
        <w:lang w:val="pt-br" w:eastAsia="pt-br" w:bidi="pt-br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8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2019-04-25T14:51:47Z</dcterms:created>
  <dcterms:modified xsi:type="dcterms:W3CDTF">2019-04-25T14:51:47Z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