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7"/>
        <w:ind w:left="2204"/>
      </w:pPr>
      <w:r>
        <w:rPr/>
        <w:t>RESOLUÇÃO N° 92, DE 10 DE OUTUBRO DE 2014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spacing w:before="0"/>
        <w:ind w:left="120"/>
      </w:pPr>
      <w:r>
        <w:rPr>
          <w:color w:val="365F91"/>
        </w:rPr>
        <w:t>Alterada pela Resolução nº 126, de 15 de dezembro de 2016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0"/>
        <w:ind w:left="4657" w:right="682"/>
        <w:jc w:val="both"/>
      </w:pPr>
      <w:r>
        <w:rPr>
          <w:strike/>
        </w:rPr>
        <w:t>Regulamenta o compartilhamento, entre o CAU/BR</w:t>
      </w:r>
      <w:r>
        <w:rPr>
          <w:strike w:val="0"/>
        </w:rPr>
        <w:t> </w:t>
      </w:r>
      <w:r>
        <w:rPr>
          <w:strike/>
        </w:rPr>
        <w:t>e os CAU/UF, da gestão, manutenção, evolução e</w:t>
      </w:r>
      <w:r>
        <w:rPr>
          <w:strike w:val="0"/>
        </w:rPr>
        <w:t> </w:t>
      </w:r>
      <w:r>
        <w:rPr>
          <w:strike/>
        </w:rPr>
        <w:t>despesas relativas ao Centro de Serviços</w:t>
      </w:r>
      <w:r>
        <w:rPr>
          <w:strike w:val="0"/>
        </w:rPr>
        <w:t> </w:t>
      </w:r>
      <w:r>
        <w:rPr>
          <w:strike/>
        </w:rPr>
        <w:t>Compartilhados do Conselho de Arquitetura e</w:t>
      </w:r>
      <w:r>
        <w:rPr>
          <w:strike w:val="0"/>
        </w:rPr>
        <w:t> </w:t>
      </w:r>
      <w:r>
        <w:rPr>
          <w:strike/>
        </w:rPr>
        <w:t>Urbanismo (CSC-CAU), e dá outras</w:t>
      </w:r>
      <w:r>
        <w:rPr>
          <w:strike/>
          <w:spacing w:val="-7"/>
        </w:rPr>
        <w:t> </w:t>
      </w:r>
      <w:r>
        <w:rPr>
          <w:strike/>
        </w:rPr>
        <w:t>providências.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1"/>
        <w:ind w:left="120"/>
      </w:pPr>
      <w:r>
        <w:rPr>
          <w:strike/>
        </w:rPr>
        <w:t>O CONSELHO DE ARQUITETURA E URBANISMO DO BRASIL (CAU/BR), no uso das</w:t>
      </w:r>
    </w:p>
    <w:p>
      <w:pPr>
        <w:pStyle w:val="BodyText"/>
        <w:spacing w:before="2"/>
        <w:ind w:left="120" w:right="686"/>
        <w:jc w:val="both"/>
      </w:pPr>
      <w:r>
        <w:rPr>
          <w:strike/>
        </w:rPr>
        <w:t>competências previstas no art. 28 da Lei n° 12.378, de 31 de dezembro de 2010, e nos artigos 2°, 3° e 9°</w:t>
      </w:r>
      <w:r>
        <w:rPr>
          <w:strike w:val="0"/>
        </w:rPr>
        <w:t> </w:t>
      </w:r>
      <w:r>
        <w:rPr>
          <w:strike/>
        </w:rPr>
        <w:t>do Regimento Geral aprovado pela Resolução CAU/BR n° 33, de 6 de setembro de 2012, e de acordo</w:t>
      </w:r>
      <w:r>
        <w:rPr>
          <w:strike w:val="0"/>
        </w:rPr>
        <w:t> </w:t>
      </w:r>
      <w:r>
        <w:rPr>
          <w:strike/>
        </w:rPr>
        <w:t>com a deliberação adotada na 11ª Reunião Plenária Ampliada do CAU/BR, realizada no dia 10 de</w:t>
      </w:r>
      <w:r>
        <w:rPr>
          <w:strike w:val="0"/>
        </w:rPr>
        <w:t> </w:t>
      </w:r>
      <w:r>
        <w:rPr>
          <w:strike/>
        </w:rPr>
        <w:t>outubro de 2014;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20" w:right="740"/>
      </w:pPr>
      <w:r>
        <w:rPr>
          <w:strike/>
        </w:rPr>
        <w:t>Considerando as competências estabelecidas no art. 24 e nos §§ 1° e 2° do art. 34 da Lei n° 12.378, de</w:t>
      </w:r>
      <w:r>
        <w:rPr>
          <w:strike w:val="0"/>
        </w:rPr>
        <w:t> </w:t>
      </w:r>
      <w:r>
        <w:rPr>
          <w:strike/>
        </w:rPr>
        <w:t>31 de dezembro de 2010;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20" w:right="680"/>
        <w:jc w:val="both"/>
      </w:pPr>
      <w:r>
        <w:rPr>
          <w:strike/>
        </w:rPr>
        <w:t>Considerando a exigência de atendimento unificado aos arquitetos e urbanistas de todo o País, que se</w:t>
      </w:r>
      <w:r>
        <w:rPr>
          <w:strike w:val="0"/>
        </w:rPr>
        <w:t> </w:t>
      </w:r>
      <w:r>
        <w:rPr>
          <w:strike/>
        </w:rPr>
        <w:t>reflita no exercício profissional em todo o território nacional conforme determina o parágrafo único do</w:t>
      </w:r>
      <w:r>
        <w:rPr>
          <w:strike w:val="0"/>
        </w:rPr>
        <w:t> </w:t>
      </w:r>
      <w:r>
        <w:rPr>
          <w:strike/>
        </w:rPr>
        <w:t>art. 5° da Lei n° 12.378, de 31 de dezembro de 2010;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20" w:right="682"/>
        <w:jc w:val="both"/>
      </w:pPr>
      <w:r>
        <w:rPr>
          <w:strike/>
        </w:rPr>
        <w:t>Considerando a necessidade de se buscar formas mais eficientes e econômicas de atendimento às</w:t>
      </w:r>
      <w:r>
        <w:rPr>
          <w:strike w:val="0"/>
        </w:rPr>
        <w:t> </w:t>
      </w:r>
      <w:r>
        <w:rPr>
          <w:strike/>
        </w:rPr>
        <w:t>demandas dos arquitetos e urbanistas pelos CAU/UF, tendo em vista o custeio previsto no art. 60 da Lei</w:t>
      </w:r>
      <w:r>
        <w:rPr>
          <w:strike w:val="0"/>
        </w:rPr>
        <w:t> </w:t>
      </w:r>
      <w:r>
        <w:rPr>
          <w:strike/>
        </w:rPr>
        <w:t>n° 12.378, de 31 de dezembro de 2010, que prevê a instituição do Fundo de Apoio destinado a equilibrar</w:t>
      </w:r>
      <w:r>
        <w:rPr>
          <w:strike w:val="0"/>
        </w:rPr>
        <w:t> </w:t>
      </w:r>
      <w:r>
        <w:rPr>
          <w:strike/>
        </w:rPr>
        <w:t>as receitas e despesas dos CAU/UF que não possuem recursos financeiros suficientes para a manutenção</w:t>
      </w:r>
      <w:r>
        <w:rPr>
          <w:strike w:val="0"/>
        </w:rPr>
        <w:t> </w:t>
      </w:r>
      <w:r>
        <w:rPr>
          <w:strike/>
        </w:rPr>
        <w:t>de suas estruturas;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20" w:right="680"/>
        <w:jc w:val="both"/>
      </w:pPr>
      <w:r>
        <w:rPr>
          <w:strike/>
        </w:rPr>
        <w:t>Considerando as disposições da Resolução CAU/BR n° 60, de 7 de novembro de 2013, que cria o</w:t>
      </w:r>
      <w:r>
        <w:rPr>
          <w:strike w:val="0"/>
        </w:rPr>
        <w:t> </w:t>
      </w:r>
      <w:r>
        <w:rPr>
          <w:strike/>
        </w:rPr>
        <w:t>Centro de Serviços Compartilhados dos Conselhos de Arquitetura e Urbanismo (CSC-CAU),</w:t>
      </w:r>
      <w:r>
        <w:rPr>
          <w:strike w:val="0"/>
        </w:rPr>
        <w:t> </w:t>
      </w:r>
      <w:r>
        <w:rPr>
          <w:strike/>
        </w:rPr>
        <w:t>compreendendo o CAU/BR e os CAU/UF, e institui a Comissão Temporária Gestora, designada, a partir</w:t>
      </w:r>
      <w:r>
        <w:rPr>
          <w:strike w:val="0"/>
        </w:rPr>
        <w:t> </w:t>
      </w:r>
      <w:r>
        <w:rPr>
          <w:strike/>
        </w:rPr>
        <w:t>da Resolução CAU/BR n° 71, de 24 de Janeiro de 2014, por Colegiado de Governança do Centro de</w:t>
      </w:r>
      <w:r>
        <w:rPr>
          <w:strike w:val="0"/>
        </w:rPr>
        <w:t> </w:t>
      </w:r>
      <w:r>
        <w:rPr>
          <w:strike/>
        </w:rPr>
        <w:t>Serviços Compartilhados dos Conselhos de Arquitetura e Urbanismo</w:t>
      </w:r>
      <w:r>
        <w:rPr>
          <w:strike/>
          <w:spacing w:val="-4"/>
        </w:rPr>
        <w:t> </w:t>
      </w:r>
      <w:r>
        <w:rPr>
          <w:strike/>
        </w:rPr>
        <w:t>(CSC-CAU);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20" w:right="681"/>
        <w:jc w:val="both"/>
      </w:pPr>
      <w:r>
        <w:rPr>
          <w:strike/>
        </w:rPr>
        <w:t>Considerando a necessidade de regulamentação do compartilhamento, entre o CAU/BR e os CAU/UF,</w:t>
      </w:r>
      <w:r>
        <w:rPr>
          <w:strike w:val="0"/>
        </w:rPr>
        <w:t> </w:t>
      </w:r>
      <w:r>
        <w:rPr>
          <w:strike/>
        </w:rPr>
        <w:t>da gestão, manutenção, evolução e despesas relativas ao Centro de Serviços Compartilhados dos</w:t>
      </w:r>
      <w:r>
        <w:rPr>
          <w:strike w:val="0"/>
        </w:rPr>
        <w:t> </w:t>
      </w:r>
      <w:r>
        <w:rPr>
          <w:strike/>
        </w:rPr>
        <w:t>Conselhos de Arquitetura e Urbanismo (CSC-CAU) de que trata a Resolução CAU/BR n° 60, de 7 de</w:t>
      </w:r>
      <w:r>
        <w:rPr>
          <w:strike w:val="0"/>
        </w:rPr>
        <w:t> </w:t>
      </w:r>
      <w:r>
        <w:rPr>
          <w:strike/>
        </w:rPr>
        <w:t>novembro de 2013;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120" w:right="679"/>
        <w:jc w:val="both"/>
      </w:pPr>
      <w:r>
        <w:rPr>
          <w:strike/>
        </w:rPr>
        <w:t>Considerando o disposto no § 2° do art. 10 da Resolução CAU/BR n° 71, de 24 de janeiro de 2014, de</w:t>
      </w:r>
      <w:r>
        <w:rPr>
          <w:strike w:val="0"/>
        </w:rPr>
        <w:t> </w:t>
      </w:r>
      <w:r>
        <w:rPr>
          <w:strike/>
        </w:rPr>
        <w:t>que os valores referentes ao custeio da Rede Integrada de Atendimento (RIA) deverão ser incluídos no</w:t>
      </w:r>
      <w:r>
        <w:rPr>
          <w:strike w:val="0"/>
        </w:rPr>
        <w:t> </w:t>
      </w:r>
      <w:r>
        <w:rPr>
          <w:strike/>
        </w:rPr>
        <w:t>Anexo I quando da proposta de revisão pelo CG-CSC nos termos do art. 1° da Resolução CAU/BR n°</w:t>
      </w:r>
      <w:r>
        <w:rPr>
          <w:strike w:val="0"/>
        </w:rPr>
        <w:t> </w:t>
      </w:r>
      <w:r>
        <w:rPr>
          <w:strike/>
        </w:rPr>
        <w:t>77, de 11 de abril de 2014;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before="91"/>
        <w:ind w:left="120" w:right="740"/>
      </w:pPr>
      <w:r>
        <w:rPr>
          <w:strike/>
        </w:rPr>
        <w:t>Considerando a necessidade de consolidação do Centro de Serviços Compartilhados (CSC) prevista no</w:t>
      </w:r>
      <w:r>
        <w:rPr>
          <w:strike w:val="0"/>
        </w:rPr>
        <w:t> </w:t>
      </w:r>
      <w:r>
        <w:rPr>
          <w:strike/>
        </w:rPr>
        <w:t>art. 1° da Resolução CAU/BR n° 77, de 11 de abril de 2014;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1"/>
        <w:ind w:left="120"/>
      </w:pPr>
      <w:r>
        <w:rPr>
          <w:strike/>
        </w:rPr>
        <w:t>Considerando a economia de escala a ser proporcionada pelo CSC, que busca cumprir os princípios</w:t>
      </w:r>
      <w:r>
        <w:rPr>
          <w:strike w:val="0"/>
        </w:rPr>
        <w:t> </w:t>
      </w:r>
      <w:r>
        <w:rPr>
          <w:strike/>
        </w:rPr>
        <w:t>constitucionais da administração pública da eficiência e da economicidade;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50"/>
          <w:pgMar w:header="568" w:footer="1175" w:top="1660" w:bottom="1360" w:left="1440" w:right="440"/>
          <w:pgNumType w:start="1"/>
        </w:sectPr>
      </w:pPr>
    </w:p>
    <w:p>
      <w:pPr>
        <w:pStyle w:val="BodyText"/>
        <w:spacing w:before="182"/>
        <w:ind w:left="120" w:right="682"/>
        <w:jc w:val="both"/>
      </w:pPr>
      <w:r>
        <w:rPr>
          <w:strike/>
        </w:rPr>
        <w:t>Considerando a necessidade de definição de formas de acessos e respectivos compromissos e padrões</w:t>
      </w:r>
      <w:r>
        <w:rPr>
          <w:strike w:val="0"/>
        </w:rPr>
        <w:t> </w:t>
      </w:r>
      <w:r>
        <w:rPr>
          <w:strike/>
        </w:rPr>
        <w:t>nacionais da qualidade de atendimento por meio da Carta de Serviços ao Cidadão prevista no Decreto n°</w:t>
      </w:r>
      <w:r>
        <w:rPr>
          <w:strike w:val="0"/>
        </w:rPr>
        <w:t> </w:t>
      </w:r>
      <w:r>
        <w:rPr>
          <w:strike/>
        </w:rPr>
        <w:t>6.932, de 11 de agosto de 2009;</w:t>
      </w:r>
    </w:p>
    <w:p>
      <w:pPr>
        <w:pStyle w:val="BodyText"/>
        <w:spacing w:before="9"/>
        <w:rPr>
          <w:sz w:val="14"/>
        </w:rPr>
      </w:pPr>
    </w:p>
    <w:p>
      <w:pPr>
        <w:pStyle w:val="Heading1"/>
      </w:pPr>
      <w:r>
        <w:rPr>
          <w:strike/>
        </w:rPr>
        <w:t>RESOLVE:</w:t>
      </w:r>
    </w:p>
    <w:p>
      <w:pPr>
        <w:pStyle w:val="BodyText"/>
        <w:spacing w:before="10"/>
        <w:rPr>
          <w:b/>
          <w:sz w:val="13"/>
        </w:rPr>
      </w:pPr>
    </w:p>
    <w:p>
      <w:pPr>
        <w:pStyle w:val="BodyText"/>
        <w:ind w:left="120" w:right="681"/>
        <w:jc w:val="both"/>
      </w:pPr>
      <w:r>
        <w:rPr>
          <w:strike/>
        </w:rPr>
        <w:t>Art. 1° O compartilhamento, entre o Conselho de Arquitetura e Urbanismo do Brasil (CAU/BR) e os</w:t>
      </w:r>
      <w:r>
        <w:rPr>
          <w:strike w:val="0"/>
        </w:rPr>
        <w:t> </w:t>
      </w:r>
      <w:r>
        <w:rPr>
          <w:strike/>
        </w:rPr>
        <w:t>Conselhos de Arquitetura e Urbanismo dos Estados e do Distrito Federal (CAU/UF), da gestão,</w:t>
      </w:r>
      <w:r>
        <w:rPr>
          <w:strike w:val="0"/>
        </w:rPr>
        <w:t> </w:t>
      </w:r>
      <w:r>
        <w:rPr>
          <w:strike/>
        </w:rPr>
        <w:t>manutenção, evolução e consequentes despesas relativas ao Centro de Serviços Compartilhados do</w:t>
      </w:r>
      <w:r>
        <w:rPr>
          <w:strike w:val="0"/>
        </w:rPr>
        <w:t> </w:t>
      </w:r>
      <w:r>
        <w:rPr>
          <w:strike/>
        </w:rPr>
        <w:t>Conselho de Arquitetura e Urbanismo (CSC-CAU) objeto das Resoluções CAU/BR n° 60, de 7 de</w:t>
      </w:r>
      <w:r>
        <w:rPr>
          <w:strike w:val="0"/>
        </w:rPr>
        <w:t> </w:t>
      </w:r>
      <w:r>
        <w:rPr>
          <w:strike/>
        </w:rPr>
        <w:t>novembro de 2013, n° 71, de 24 de janeiro de 2014, e n° 77, de 11 de abril de 2014, passa a reger-se</w:t>
      </w:r>
      <w:r>
        <w:rPr>
          <w:strike w:val="0"/>
        </w:rPr>
        <w:t> </w:t>
      </w:r>
      <w:r>
        <w:rPr>
          <w:strike/>
        </w:rPr>
        <w:t>pelas disposições desta Resolução.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20" w:right="740"/>
      </w:pPr>
      <w:r>
        <w:rPr>
          <w:strike/>
        </w:rPr>
        <w:t>Art. 2° O Centro de Serviços Compartilhados do Conselho de Arquitetura e Urbanismo (CSC-CAU)</w:t>
      </w:r>
      <w:r>
        <w:rPr>
          <w:strike w:val="0"/>
        </w:rPr>
        <w:t> </w:t>
      </w:r>
      <w:r>
        <w:rPr>
          <w:strike/>
        </w:rPr>
        <w:t>compreende os seguintes serviços compartilhados: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92" w:after="0"/>
        <w:ind w:left="120" w:right="689" w:firstLine="0"/>
        <w:jc w:val="left"/>
        <w:rPr>
          <w:sz w:val="22"/>
        </w:rPr>
      </w:pPr>
      <w:r>
        <w:rPr>
          <w:strike/>
          <w:sz w:val="22"/>
        </w:rPr>
        <w:t>Sistema de Informação e Comunicação dos Conselhos de Arquitetura e Urbanismo (SICCAU) nos módulos: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99" w:val="left" w:leader="none"/>
        </w:tabs>
        <w:spacing w:line="240" w:lineRule="auto" w:before="91" w:after="0"/>
        <w:ind w:left="120" w:right="688" w:firstLine="0"/>
        <w:jc w:val="left"/>
        <w:rPr>
          <w:sz w:val="22"/>
        </w:rPr>
      </w:pPr>
      <w:r>
        <w:rPr>
          <w:strike/>
          <w:sz w:val="22"/>
        </w:rPr>
        <w:t>– Gerencial: Orçamentário, Financeiro e Contábil, Centro de Custo, Patrimônio, Passagens e Diárias, Almoxarifado, Compras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Contratos;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240" w:lineRule="auto" w:before="91" w:after="0"/>
        <w:ind w:left="286" w:right="0" w:hanging="166"/>
        <w:jc w:val="left"/>
        <w:rPr>
          <w:sz w:val="22"/>
        </w:rPr>
      </w:pPr>
      <w:r>
        <w:rPr>
          <w:strike/>
          <w:sz w:val="22"/>
        </w:rPr>
        <w:t>– Corporativo e Ambiente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Profissional;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240" w:lineRule="auto" w:before="91" w:after="0"/>
        <w:ind w:left="286" w:right="0" w:hanging="166"/>
        <w:jc w:val="left"/>
        <w:rPr>
          <w:sz w:val="22"/>
        </w:rPr>
      </w:pPr>
      <w:r>
        <w:rPr>
          <w:strike/>
          <w:sz w:val="22"/>
        </w:rPr>
        <w:t>– Sistema de Informação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Geográfica;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91" w:after="0"/>
        <w:ind w:left="360" w:right="0" w:hanging="240"/>
        <w:jc w:val="left"/>
        <w:rPr>
          <w:sz w:val="22"/>
        </w:rPr>
      </w:pPr>
      <w:r>
        <w:rPr>
          <w:strike/>
          <w:sz w:val="22"/>
        </w:rPr>
        <w:t>Serviço de DATA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CENTER;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49" w:val="left" w:leader="none"/>
        </w:tabs>
        <w:spacing w:line="240" w:lineRule="auto" w:before="92" w:after="0"/>
        <w:ind w:left="348" w:right="0" w:hanging="228"/>
        <w:jc w:val="left"/>
        <w:rPr>
          <w:sz w:val="22"/>
        </w:rPr>
      </w:pPr>
      <w:r>
        <w:rPr>
          <w:strike/>
          <w:sz w:val="22"/>
        </w:rPr>
        <w:t>Rede Integrada de Atendimento (RIA),</w:t>
      </w:r>
      <w:r>
        <w:rPr>
          <w:strike/>
          <w:spacing w:val="-1"/>
          <w:sz w:val="22"/>
        </w:rPr>
        <w:t> </w:t>
      </w:r>
      <w:r>
        <w:rPr>
          <w:strike/>
          <w:sz w:val="22"/>
        </w:rPr>
        <w:t>compreendendo: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87" w:val="left" w:leader="none"/>
        </w:tabs>
        <w:spacing w:line="240" w:lineRule="auto" w:before="91" w:after="0"/>
        <w:ind w:left="286" w:right="0" w:hanging="166"/>
        <w:jc w:val="left"/>
        <w:rPr>
          <w:sz w:val="22"/>
        </w:rPr>
      </w:pPr>
      <w:r>
        <w:rPr>
          <w:strike/>
          <w:sz w:val="22"/>
        </w:rPr>
        <w:t>– Serviço de Tele Atendimento Qualificado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(TAQ);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87" w:val="left" w:leader="none"/>
        </w:tabs>
        <w:spacing w:line="240" w:lineRule="auto" w:before="92" w:after="0"/>
        <w:ind w:left="286" w:right="0" w:hanging="166"/>
        <w:jc w:val="left"/>
        <w:rPr>
          <w:sz w:val="22"/>
        </w:rPr>
      </w:pPr>
      <w:r>
        <w:rPr>
          <w:strike/>
          <w:sz w:val="22"/>
        </w:rPr>
        <w:t>– Serviço Telefônico de Tele Atendimento</w:t>
      </w:r>
      <w:r>
        <w:rPr>
          <w:strike/>
          <w:spacing w:val="-10"/>
          <w:sz w:val="22"/>
        </w:rPr>
        <w:t> </w:t>
      </w:r>
      <w:r>
        <w:rPr>
          <w:strike/>
          <w:sz w:val="22"/>
        </w:rPr>
        <w:t>0800;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87" w:val="left" w:leader="none"/>
        </w:tabs>
        <w:spacing w:line="240" w:lineRule="auto" w:before="92" w:after="0"/>
        <w:ind w:left="286" w:right="0" w:hanging="166"/>
        <w:jc w:val="left"/>
        <w:rPr>
          <w:sz w:val="22"/>
        </w:rPr>
      </w:pPr>
      <w:r>
        <w:rPr>
          <w:strike/>
          <w:sz w:val="22"/>
        </w:rPr>
        <w:t>– Rede Social Corporativa dos Arquitetos 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Urbanistas;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287" w:val="left" w:leader="none"/>
        </w:tabs>
        <w:spacing w:line="240" w:lineRule="auto" w:before="92" w:after="0"/>
        <w:ind w:left="286" w:right="0" w:hanging="166"/>
        <w:jc w:val="left"/>
        <w:rPr>
          <w:sz w:val="22"/>
        </w:rPr>
      </w:pPr>
      <w:r>
        <w:rPr>
          <w:strike/>
          <w:sz w:val="22"/>
        </w:rPr>
        <w:t>– Atendente</w:t>
      </w:r>
      <w:r>
        <w:rPr>
          <w:strike/>
          <w:spacing w:val="-3"/>
          <w:sz w:val="22"/>
        </w:rPr>
        <w:t> </w:t>
      </w:r>
      <w:r>
        <w:rPr>
          <w:strike/>
          <w:sz w:val="22"/>
        </w:rPr>
        <w:t>Virtual;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40" w:lineRule="auto" w:before="92" w:after="0"/>
        <w:ind w:left="386" w:right="0" w:hanging="266"/>
        <w:jc w:val="left"/>
        <w:rPr>
          <w:sz w:val="22"/>
        </w:rPr>
      </w:pPr>
      <w:r>
        <w:rPr>
          <w:strike/>
          <w:sz w:val="22"/>
        </w:rPr>
        <w:t>serviços</w:t>
      </w:r>
      <w:r>
        <w:rPr>
          <w:strike/>
          <w:spacing w:val="25"/>
          <w:sz w:val="22"/>
        </w:rPr>
        <w:t> </w:t>
      </w:r>
      <w:r>
        <w:rPr>
          <w:strike/>
          <w:sz w:val="22"/>
        </w:rPr>
        <w:t>a</w:t>
      </w:r>
      <w:r>
        <w:rPr>
          <w:strike/>
          <w:spacing w:val="26"/>
          <w:sz w:val="22"/>
        </w:rPr>
        <w:t> </w:t>
      </w:r>
      <w:r>
        <w:rPr>
          <w:strike/>
          <w:sz w:val="22"/>
        </w:rPr>
        <w:t>serem</w:t>
      </w:r>
      <w:r>
        <w:rPr>
          <w:strike/>
          <w:spacing w:val="22"/>
          <w:sz w:val="22"/>
        </w:rPr>
        <w:t> </w:t>
      </w:r>
      <w:r>
        <w:rPr>
          <w:strike/>
          <w:sz w:val="22"/>
        </w:rPr>
        <w:t>prestados</w:t>
      </w:r>
      <w:r>
        <w:rPr>
          <w:strike/>
          <w:spacing w:val="26"/>
          <w:sz w:val="22"/>
        </w:rPr>
        <w:t> </w:t>
      </w:r>
      <w:r>
        <w:rPr>
          <w:strike/>
          <w:sz w:val="22"/>
        </w:rPr>
        <w:t>pelo</w:t>
      </w:r>
      <w:r>
        <w:rPr>
          <w:strike/>
          <w:spacing w:val="25"/>
          <w:sz w:val="22"/>
        </w:rPr>
        <w:t> </w:t>
      </w:r>
      <w:r>
        <w:rPr>
          <w:strike/>
          <w:sz w:val="22"/>
        </w:rPr>
        <w:t>pessoal</w:t>
      </w:r>
      <w:r>
        <w:rPr>
          <w:strike/>
          <w:spacing w:val="27"/>
          <w:sz w:val="22"/>
        </w:rPr>
        <w:t> </w:t>
      </w:r>
      <w:r>
        <w:rPr>
          <w:strike/>
          <w:sz w:val="22"/>
        </w:rPr>
        <w:t>alocado</w:t>
      </w:r>
      <w:r>
        <w:rPr>
          <w:strike/>
          <w:spacing w:val="25"/>
          <w:sz w:val="22"/>
        </w:rPr>
        <w:t> </w:t>
      </w:r>
      <w:r>
        <w:rPr>
          <w:strike/>
          <w:sz w:val="22"/>
        </w:rPr>
        <w:t>pelo</w:t>
      </w:r>
      <w:r>
        <w:rPr>
          <w:strike/>
          <w:spacing w:val="26"/>
          <w:sz w:val="22"/>
        </w:rPr>
        <w:t> </w:t>
      </w:r>
      <w:r>
        <w:rPr>
          <w:strike/>
          <w:sz w:val="22"/>
        </w:rPr>
        <w:t>CAU/BR</w:t>
      </w:r>
      <w:r>
        <w:rPr>
          <w:strike/>
          <w:spacing w:val="25"/>
          <w:sz w:val="22"/>
        </w:rPr>
        <w:t> </w:t>
      </w:r>
      <w:r>
        <w:rPr>
          <w:strike/>
          <w:sz w:val="22"/>
        </w:rPr>
        <w:t>na</w:t>
      </w:r>
      <w:r>
        <w:rPr>
          <w:strike/>
          <w:spacing w:val="25"/>
          <w:sz w:val="22"/>
        </w:rPr>
        <w:t> </w:t>
      </w:r>
      <w:r>
        <w:rPr>
          <w:strike/>
          <w:sz w:val="22"/>
        </w:rPr>
        <w:t>gestão</w:t>
      </w:r>
      <w:r>
        <w:rPr>
          <w:strike/>
          <w:spacing w:val="26"/>
          <w:sz w:val="22"/>
        </w:rPr>
        <w:t> </w:t>
      </w:r>
      <w:r>
        <w:rPr>
          <w:strike/>
          <w:sz w:val="22"/>
        </w:rPr>
        <w:t>e</w:t>
      </w:r>
      <w:r>
        <w:rPr>
          <w:strike/>
          <w:spacing w:val="23"/>
          <w:sz w:val="22"/>
        </w:rPr>
        <w:t> </w:t>
      </w:r>
      <w:r>
        <w:rPr>
          <w:strike/>
          <w:sz w:val="22"/>
        </w:rPr>
        <w:t>execução</w:t>
      </w:r>
      <w:r>
        <w:rPr>
          <w:strike/>
          <w:spacing w:val="26"/>
          <w:sz w:val="22"/>
        </w:rPr>
        <w:t> </w:t>
      </w:r>
      <w:r>
        <w:rPr>
          <w:strike/>
          <w:sz w:val="22"/>
        </w:rPr>
        <w:t>dos</w:t>
      </w:r>
      <w:r>
        <w:rPr>
          <w:strike/>
          <w:spacing w:val="25"/>
          <w:sz w:val="22"/>
        </w:rPr>
        <w:t> </w:t>
      </w:r>
      <w:r>
        <w:rPr>
          <w:strike/>
          <w:sz w:val="22"/>
        </w:rPr>
        <w:t>serviços</w:t>
      </w:r>
    </w:p>
    <w:p>
      <w:pPr>
        <w:pStyle w:val="BodyText"/>
        <w:spacing w:before="1"/>
        <w:ind w:left="120" w:right="740"/>
      </w:pPr>
      <w:r>
        <w:rPr>
          <w:strike/>
          <w:spacing w:val="-56"/>
          <w:w w:val="100"/>
        </w:rPr>
        <w:t> </w:t>
      </w:r>
      <w:r>
        <w:rPr>
          <w:strike/>
        </w:rPr>
        <w:t>relacionados nas alíneas “a”, “b” e “c” deste artigo, compreendendo salários e respectivos encargos</w:t>
      </w:r>
      <w:r>
        <w:rPr>
          <w:strike w:val="0"/>
        </w:rPr>
        <w:t> </w:t>
      </w:r>
      <w:r>
        <w:rPr>
          <w:strike/>
        </w:rPr>
        <w:t>trabalhistas e previdenciários;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40" w:lineRule="auto" w:before="92" w:after="0"/>
        <w:ind w:left="120" w:right="681" w:firstLine="0"/>
        <w:jc w:val="left"/>
        <w:rPr>
          <w:sz w:val="22"/>
        </w:rPr>
      </w:pPr>
      <w:r>
        <w:rPr>
          <w:strike/>
          <w:sz w:val="22"/>
        </w:rPr>
        <w:t>funcionamento do Colegiado de Governança do Centro de Serviços Compartilhados (CG-CSC), compreendendo as despesas para tal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fim;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91" w:after="0"/>
        <w:ind w:left="120" w:right="682" w:firstLine="0"/>
        <w:jc w:val="left"/>
        <w:rPr>
          <w:sz w:val="22"/>
        </w:rPr>
      </w:pPr>
      <w:r>
        <w:rPr>
          <w:strike/>
          <w:sz w:val="22"/>
        </w:rPr>
        <w:t>apoio institucional aos CAU/UF na elaboração de Plano Diretor de Tecnologia da Informação, compreendendo as despesas para tal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fim;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</w:tabs>
        <w:spacing w:line="240" w:lineRule="auto" w:before="92" w:after="0"/>
        <w:ind w:left="371" w:right="0" w:hanging="251"/>
        <w:jc w:val="left"/>
        <w:rPr>
          <w:sz w:val="22"/>
        </w:rPr>
      </w:pPr>
      <w:r>
        <w:rPr>
          <w:strike/>
          <w:sz w:val="22"/>
        </w:rPr>
        <w:t>apoio</w:t>
      </w:r>
      <w:r>
        <w:rPr>
          <w:strike/>
          <w:spacing w:val="13"/>
          <w:sz w:val="22"/>
        </w:rPr>
        <w:t> </w:t>
      </w:r>
      <w:r>
        <w:rPr>
          <w:strike/>
          <w:sz w:val="22"/>
        </w:rPr>
        <w:t>institucional</w:t>
      </w:r>
      <w:r>
        <w:rPr>
          <w:strike/>
          <w:spacing w:val="15"/>
          <w:sz w:val="22"/>
        </w:rPr>
        <w:t> </w:t>
      </w:r>
      <w:r>
        <w:rPr>
          <w:strike/>
          <w:sz w:val="22"/>
        </w:rPr>
        <w:t>aos</w:t>
      </w:r>
      <w:r>
        <w:rPr>
          <w:strike/>
          <w:spacing w:val="11"/>
          <w:sz w:val="22"/>
        </w:rPr>
        <w:t> </w:t>
      </w:r>
      <w:r>
        <w:rPr>
          <w:strike/>
          <w:sz w:val="22"/>
        </w:rPr>
        <w:t>CAU/UF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para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assessoria</w:t>
      </w:r>
      <w:r>
        <w:rPr>
          <w:strike/>
          <w:spacing w:val="13"/>
          <w:sz w:val="22"/>
        </w:rPr>
        <w:t> </w:t>
      </w:r>
      <w:r>
        <w:rPr>
          <w:strike/>
          <w:sz w:val="22"/>
        </w:rPr>
        <w:t>técnica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em</w:t>
      </w:r>
      <w:r>
        <w:rPr>
          <w:strike/>
          <w:spacing w:val="11"/>
          <w:sz w:val="22"/>
        </w:rPr>
        <w:t> </w:t>
      </w:r>
      <w:r>
        <w:rPr>
          <w:strike/>
          <w:sz w:val="22"/>
        </w:rPr>
        <w:t>processos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e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treinamento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na</w:t>
      </w:r>
      <w:r>
        <w:rPr>
          <w:strike/>
          <w:spacing w:val="13"/>
          <w:sz w:val="22"/>
        </w:rPr>
        <w:t> </w:t>
      </w:r>
      <w:r>
        <w:rPr>
          <w:strike/>
          <w:sz w:val="22"/>
        </w:rPr>
        <w:t>implantação</w:t>
      </w:r>
    </w:p>
    <w:p>
      <w:pPr>
        <w:pStyle w:val="BodyText"/>
        <w:spacing w:before="1"/>
        <w:ind w:left="120" w:right="740"/>
      </w:pPr>
      <w:r>
        <w:rPr>
          <w:strike/>
          <w:spacing w:val="-56"/>
          <w:w w:val="100"/>
        </w:rPr>
        <w:t> </w:t>
      </w:r>
      <w:r>
        <w:rPr>
          <w:strike/>
        </w:rPr>
        <w:t>do módulo gerencial previsto no item 1 da alínea “a” deste artigo, compreendendo as despesas para tal</w:t>
      </w:r>
      <w:r>
        <w:rPr>
          <w:strike w:val="0"/>
        </w:rPr>
        <w:t> </w:t>
      </w:r>
      <w:r>
        <w:rPr>
          <w:strike/>
        </w:rPr>
        <w:t>fim.</w:t>
      </w:r>
    </w:p>
    <w:p>
      <w:pPr>
        <w:spacing w:after="0"/>
        <w:sectPr>
          <w:pgSz w:w="11900" w:h="16850"/>
          <w:pgMar w:header="568" w:footer="1175" w:top="1660" w:bottom="1520" w:left="1440" w:right="440"/>
        </w:sectPr>
      </w:pPr>
    </w:p>
    <w:p>
      <w:pPr>
        <w:pStyle w:val="BodyText"/>
        <w:spacing w:before="182"/>
        <w:ind w:left="120" w:right="680"/>
        <w:jc w:val="both"/>
      </w:pPr>
      <w:r>
        <w:rPr>
          <w:strike/>
        </w:rPr>
        <w:t>Art. 3° A gestão e manutenção dos serviços compartilhados descritos no art. 2° serão executadas em</w:t>
      </w:r>
      <w:r>
        <w:rPr>
          <w:strike w:val="0"/>
        </w:rPr>
        <w:t> </w:t>
      </w:r>
      <w:r>
        <w:rPr>
          <w:strike/>
        </w:rPr>
        <w:t>conformidade com as regras previstas nesta Resolução e seus anexos, cujas alterações, quando</w:t>
      </w:r>
      <w:r>
        <w:rPr>
          <w:strike w:val="0"/>
        </w:rPr>
        <w:t> </w:t>
      </w:r>
      <w:r>
        <w:rPr>
          <w:strike/>
        </w:rPr>
        <w:t>necessárias, serão submetidas à aprovação pelo CG-CSC, ouvidos os Entes Institucionais do</w:t>
      </w:r>
      <w:r>
        <w:rPr>
          <w:strike w:val="0"/>
        </w:rPr>
        <w:t> </w:t>
      </w:r>
      <w:r>
        <w:rPr>
          <w:strike/>
        </w:rPr>
        <w:t>Compartilhamento.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20" w:right="684"/>
        <w:jc w:val="both"/>
      </w:pPr>
      <w:r>
        <w:rPr>
          <w:strike/>
        </w:rPr>
        <w:t>Art. 4° A evolução dos serviços compartilhados de tecnologia da informação (TI) do Centro de Serviços</w:t>
      </w:r>
      <w:r>
        <w:rPr>
          <w:strike w:val="0"/>
        </w:rPr>
        <w:t> </w:t>
      </w:r>
      <w:r>
        <w:rPr>
          <w:strike/>
        </w:rPr>
        <w:t>Compartilhados dos Conselhos de Arquitetura e Urbanismo (CSC-CAU) atenderá ao que dispuser o</w:t>
      </w:r>
      <w:r>
        <w:rPr>
          <w:strike w:val="0"/>
        </w:rPr>
        <w:t> </w:t>
      </w:r>
      <w:r>
        <w:rPr>
          <w:strike/>
        </w:rPr>
        <w:t>Plano Diretor de Tecnologia da Informação (PDTI) do CAU, tendo como princípio a unicidade e o</w:t>
      </w:r>
      <w:r>
        <w:rPr>
          <w:strike w:val="0"/>
        </w:rPr>
        <w:t> </w:t>
      </w:r>
      <w:r>
        <w:rPr>
          <w:strike/>
        </w:rPr>
        <w:t>atendimento às demandas locais e será submetido ao Colegiado de Governança do Centro de Serviços</w:t>
      </w:r>
      <w:r>
        <w:rPr>
          <w:strike w:val="0"/>
        </w:rPr>
        <w:t> </w:t>
      </w:r>
      <w:r>
        <w:rPr>
          <w:strike/>
        </w:rPr>
        <w:t>Compartilhados (CG-CSC).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1"/>
        <w:ind w:left="120" w:right="682"/>
        <w:jc w:val="both"/>
      </w:pPr>
      <w:r>
        <w:rPr>
          <w:strike/>
        </w:rPr>
        <w:t>§ 1° O Plano Diretor de Tecnologia da Informação (PDTI), a ser elaborado no ano de 2014, deverá</w:t>
      </w:r>
      <w:r>
        <w:rPr>
          <w:strike w:val="0"/>
        </w:rPr>
        <w:t> </w:t>
      </w:r>
      <w:r>
        <w:rPr>
          <w:strike/>
        </w:rPr>
        <w:t>contemplar o compartilhamento dos acessos aos dados de forma automatizada, garantindo a utilização</w:t>
      </w:r>
      <w:r>
        <w:rPr>
          <w:strike w:val="0"/>
        </w:rPr>
        <w:t> </w:t>
      </w:r>
      <w:r>
        <w:rPr>
          <w:strike/>
        </w:rPr>
        <w:t>coletiva das soluções encontradas pelo CAU/BR e pelos CAU/UF, nos termos do </w:t>
      </w:r>
      <w:r>
        <w:rPr>
          <w:i/>
          <w:strike/>
        </w:rPr>
        <w:t>caput </w:t>
      </w:r>
      <w:r>
        <w:rPr>
          <w:strike/>
        </w:rPr>
        <w:t>deste artigo.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20"/>
      </w:pPr>
      <w:r>
        <w:rPr>
          <w:strike/>
        </w:rPr>
        <w:t>Parágrafo único. Para os fins desta Resolução considera-se: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296" w:val="left" w:leader="none"/>
        </w:tabs>
        <w:spacing w:line="240" w:lineRule="auto" w:before="91" w:after="0"/>
        <w:ind w:left="120" w:right="685" w:firstLine="0"/>
        <w:jc w:val="both"/>
        <w:rPr>
          <w:sz w:val="22"/>
        </w:rPr>
      </w:pPr>
      <w:r>
        <w:rPr>
          <w:strike/>
          <w:sz w:val="22"/>
        </w:rPr>
        <w:t>– Colegiado de Governança: o colegiado gestor do Centro de Serviços Compartilhados criado e constituído pela Resolução CAU/BR n° 60, de 7 de novembro de 2013, nos termos do art. 12 da Resolução CAU/BR n° 71, de 24 de janeiro de 2014, tendo direito a voto os membros conselheiros federais e presidentes de CAU/UF na</w:t>
      </w:r>
      <w:r>
        <w:rPr>
          <w:strike/>
          <w:spacing w:val="-4"/>
          <w:sz w:val="22"/>
        </w:rPr>
        <w:t> </w:t>
      </w:r>
      <w:r>
        <w:rPr>
          <w:strike/>
          <w:sz w:val="22"/>
        </w:rPr>
        <w:t>titularidade;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71" w:val="left" w:leader="none"/>
        </w:tabs>
        <w:spacing w:line="240" w:lineRule="auto" w:before="91" w:after="0"/>
        <w:ind w:left="120" w:right="688" w:firstLine="0"/>
        <w:jc w:val="left"/>
        <w:rPr>
          <w:sz w:val="22"/>
        </w:rPr>
      </w:pPr>
      <w:r>
        <w:rPr>
          <w:strike/>
          <w:sz w:val="22"/>
        </w:rPr>
        <w:t>– Entes Institucionais do Compartilhamento: o Conselho de Arquitetura e Urbanismo do Brasil (CAU/BR) e os Conselhos de Arquitetura e Urbanismo dos Estados e do Distrito Federal</w:t>
      </w:r>
      <w:r>
        <w:rPr>
          <w:strike/>
          <w:spacing w:val="-24"/>
          <w:sz w:val="22"/>
        </w:rPr>
        <w:t> </w:t>
      </w:r>
      <w:r>
        <w:rPr>
          <w:strike/>
          <w:sz w:val="22"/>
        </w:rPr>
        <w:t>(CAU/UF).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1"/>
        <w:ind w:left="115" w:right="684" w:firstLine="4"/>
        <w:jc w:val="both"/>
      </w:pPr>
      <w:r>
        <w:rPr/>
        <w:t>Art. 5° Fica criada a Rede Integrada de Atendimento (RIA) no âmbito do CSC-CAU com o objetivo de unificar as informações e oferecer serviço qualificado de atendimento nacional.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0"/>
        <w:ind w:left="120" w:right="682"/>
        <w:jc w:val="both"/>
      </w:pPr>
      <w:r>
        <w:rPr>
          <w:strike/>
        </w:rPr>
        <w:t>Parágrafo único. A definição, gestão, manutenção e evolução dos serviços do </w:t>
      </w:r>
      <w:r>
        <w:rPr>
          <w:i/>
          <w:strike/>
        </w:rPr>
        <w:t>caput </w:t>
      </w:r>
      <w:r>
        <w:rPr>
          <w:strike/>
        </w:rPr>
        <w:t>deste artigo</w:t>
      </w:r>
      <w:r>
        <w:rPr>
          <w:strike w:val="0"/>
        </w:rPr>
        <w:t> </w:t>
      </w:r>
      <w:r>
        <w:rPr>
          <w:strike/>
        </w:rPr>
        <w:t>atenderão ao que dispuser a Rede Integrada de Atendimento (RIA), nos termos a serem examinados e</w:t>
      </w:r>
      <w:r>
        <w:rPr>
          <w:strike w:val="0"/>
        </w:rPr>
        <w:t> </w:t>
      </w:r>
      <w:r>
        <w:rPr>
          <w:strike/>
        </w:rPr>
        <w:t>propostos pelo CG-CSC e aprovados pelos Entes Institucionais do Compartilhamento.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1"/>
        <w:ind w:left="120" w:right="683"/>
        <w:jc w:val="both"/>
      </w:pPr>
      <w:r>
        <w:rPr>
          <w:strike/>
        </w:rPr>
        <w:t>Art. 6° A evolução dos demais serviços compartilhados do Centro de Serviços Compartilhados dos</w:t>
      </w:r>
      <w:r>
        <w:rPr>
          <w:strike w:val="0"/>
        </w:rPr>
        <w:t> </w:t>
      </w:r>
      <w:r>
        <w:rPr>
          <w:strike/>
        </w:rPr>
        <w:t>Conselhos de Arquitetura e Urbanismo (CSC-CAU) atenderá ao que dispuserem os planos de</w:t>
      </w:r>
      <w:r>
        <w:rPr>
          <w:strike w:val="0"/>
        </w:rPr>
        <w:t> </w:t>
      </w:r>
      <w:r>
        <w:rPr>
          <w:strike/>
        </w:rPr>
        <w:t>implantação propostos pelo CG-CSC, ouvidos os Entes Institucionais do Compartilhamento.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20" w:right="740"/>
      </w:pPr>
      <w:r>
        <w:rPr>
          <w:strike/>
        </w:rPr>
        <w:t>Art. 7° O CG-CSC poderá solicitar, a qualquer tempo, assessoramento técnico de especialistas lotados</w:t>
      </w:r>
      <w:r>
        <w:rPr>
          <w:strike w:val="0"/>
        </w:rPr>
        <w:t> </w:t>
      </w:r>
      <w:r>
        <w:rPr>
          <w:strike/>
        </w:rPr>
        <w:t>nos CAU/UF a respeito dos temas de sua atribuição.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20" w:right="740"/>
      </w:pPr>
      <w:r>
        <w:rPr>
          <w:strike/>
        </w:rPr>
        <w:t>§ 1° Os custos do assessoramento a que se refere o </w:t>
      </w:r>
      <w:r>
        <w:rPr>
          <w:i/>
          <w:strike/>
        </w:rPr>
        <w:t>caput </w:t>
      </w:r>
      <w:r>
        <w:rPr>
          <w:strike/>
        </w:rPr>
        <w:t>deste artigo, durante o exercício 2014,</w:t>
      </w:r>
      <w:r>
        <w:rPr>
          <w:strike w:val="0"/>
        </w:rPr>
        <w:t>  </w:t>
      </w:r>
      <w:r>
        <w:rPr>
          <w:strike/>
        </w:rPr>
        <w:t>correrão a cargo dos CAU/UF de origem de cada</w:t>
      </w:r>
      <w:r>
        <w:rPr>
          <w:strike/>
          <w:spacing w:val="-5"/>
        </w:rPr>
        <w:t> </w:t>
      </w:r>
      <w:r>
        <w:rPr>
          <w:strike/>
        </w:rPr>
        <w:t>técnico.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120" w:right="740"/>
      </w:pPr>
      <w:r>
        <w:rPr>
          <w:strike/>
        </w:rPr>
        <w:t>§ 2° Os custos do assessoramento a que se refere o </w:t>
      </w:r>
      <w:r>
        <w:rPr>
          <w:i/>
          <w:strike/>
        </w:rPr>
        <w:t>caput </w:t>
      </w:r>
      <w:r>
        <w:rPr>
          <w:strike/>
        </w:rPr>
        <w:t>deste artigo, partir do exercício 2015, deverão</w:t>
      </w:r>
      <w:r>
        <w:rPr>
          <w:strike w:val="0"/>
        </w:rPr>
        <w:t> </w:t>
      </w:r>
      <w:r>
        <w:rPr>
          <w:strike/>
        </w:rPr>
        <w:t>constar do orçamento anual do CSC-CAU.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20" w:right="682"/>
        <w:jc w:val="both"/>
      </w:pPr>
      <w:r>
        <w:rPr>
          <w:strike/>
        </w:rPr>
        <w:t>Art. 8° Quando houver solicitação de um Ente Institucional do Compartilhamento para ampliação ou</w:t>
      </w:r>
      <w:r>
        <w:rPr>
          <w:strike w:val="0"/>
        </w:rPr>
        <w:t> </w:t>
      </w:r>
      <w:r>
        <w:rPr>
          <w:strike/>
        </w:rPr>
        <w:t>evolução dos serviços compartilhados, com geração de impacto na estrutura dos planos existentes no</w:t>
      </w:r>
      <w:r>
        <w:rPr>
          <w:strike w:val="0"/>
        </w:rPr>
        <w:t> </w:t>
      </w:r>
      <w:r>
        <w:rPr>
          <w:strike/>
        </w:rPr>
        <w:t>Centro de Serviços Compartilhados dos Conselhos de Arquitetura e Urbanismo (CSC-CAU), as</w:t>
      </w:r>
      <w:r>
        <w:rPr>
          <w:strike w:val="0"/>
        </w:rPr>
        <w:t> </w:t>
      </w:r>
      <w:r>
        <w:rPr>
          <w:strike/>
        </w:rPr>
        <w:t>respectivas proposições deverão ser submetidas ao CG-CSC, ouvidos os Entes Institucionais do</w:t>
      </w:r>
      <w:r>
        <w:rPr>
          <w:strike w:val="0"/>
        </w:rPr>
        <w:t> </w:t>
      </w:r>
      <w:r>
        <w:rPr>
          <w:strike/>
        </w:rPr>
        <w:t>Compartilhamento.</w:t>
      </w:r>
    </w:p>
    <w:p>
      <w:pPr>
        <w:spacing w:after="0"/>
        <w:jc w:val="both"/>
        <w:sectPr>
          <w:pgSz w:w="11900" w:h="16850"/>
          <w:pgMar w:header="568" w:footer="1175" w:top="1660" w:bottom="1520" w:left="1440" w:right="440"/>
        </w:sectPr>
      </w:pPr>
    </w:p>
    <w:p>
      <w:pPr>
        <w:pStyle w:val="BodyText"/>
        <w:spacing w:before="182"/>
        <w:ind w:left="120" w:right="683"/>
        <w:jc w:val="both"/>
      </w:pPr>
      <w:r>
        <w:rPr>
          <w:strike/>
        </w:rPr>
        <w:t>Art. 9° O compartilhamento das despesas incorridas na gestão, manutenção e evolução dos serviços</w:t>
      </w:r>
      <w:r>
        <w:rPr>
          <w:strike w:val="0"/>
        </w:rPr>
        <w:t> </w:t>
      </w:r>
      <w:r>
        <w:rPr>
          <w:strike/>
        </w:rPr>
        <w:t>compartilhados do Centro de Serviços Compartilhados dos Conselhos de Arquitetura e Urbanismo</w:t>
      </w:r>
      <w:r>
        <w:rPr>
          <w:strike w:val="0"/>
        </w:rPr>
        <w:t> </w:t>
      </w:r>
      <w:r>
        <w:rPr>
          <w:strike/>
        </w:rPr>
        <w:t>(CSC-CAU) atenderá ao seguinte: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265" w:val="left" w:leader="none"/>
        </w:tabs>
        <w:spacing w:line="252" w:lineRule="exact" w:before="92" w:after="0"/>
        <w:ind w:left="264" w:right="0" w:hanging="144"/>
        <w:jc w:val="left"/>
        <w:rPr>
          <w:sz w:val="22"/>
        </w:rPr>
      </w:pPr>
      <w:r>
        <w:rPr>
          <w:strike/>
          <w:sz w:val="22"/>
        </w:rPr>
        <w:t>–</w:t>
      </w:r>
      <w:r>
        <w:rPr>
          <w:strike/>
          <w:spacing w:val="16"/>
          <w:sz w:val="22"/>
        </w:rPr>
        <w:t> </w:t>
      </w:r>
      <w:r>
        <w:rPr>
          <w:strike/>
          <w:sz w:val="22"/>
        </w:rPr>
        <w:t>caberá</w:t>
      </w:r>
      <w:r>
        <w:rPr>
          <w:strike/>
          <w:spacing w:val="16"/>
          <w:sz w:val="22"/>
        </w:rPr>
        <w:t> </w:t>
      </w:r>
      <w:r>
        <w:rPr>
          <w:strike/>
          <w:sz w:val="22"/>
        </w:rPr>
        <w:t>ao</w:t>
      </w:r>
      <w:r>
        <w:rPr>
          <w:strike/>
          <w:spacing w:val="17"/>
          <w:sz w:val="22"/>
        </w:rPr>
        <w:t> </w:t>
      </w:r>
      <w:r>
        <w:rPr>
          <w:strike/>
          <w:sz w:val="22"/>
        </w:rPr>
        <w:t>CAU/BR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o</w:t>
      </w:r>
      <w:r>
        <w:rPr>
          <w:strike/>
          <w:spacing w:val="16"/>
          <w:sz w:val="22"/>
        </w:rPr>
        <w:t> </w:t>
      </w:r>
      <w:r>
        <w:rPr>
          <w:strike/>
          <w:sz w:val="22"/>
        </w:rPr>
        <w:t>custeio</w:t>
      </w:r>
      <w:r>
        <w:rPr>
          <w:strike/>
          <w:spacing w:val="15"/>
          <w:sz w:val="22"/>
        </w:rPr>
        <w:t> </w:t>
      </w:r>
      <w:r>
        <w:rPr>
          <w:strike/>
          <w:sz w:val="22"/>
        </w:rPr>
        <w:t>de</w:t>
      </w:r>
      <w:r>
        <w:rPr>
          <w:strike/>
          <w:spacing w:val="17"/>
          <w:sz w:val="22"/>
        </w:rPr>
        <w:t> </w:t>
      </w:r>
      <w:r>
        <w:rPr>
          <w:strike/>
          <w:sz w:val="22"/>
        </w:rPr>
        <w:t>20%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(vinte</w:t>
      </w:r>
      <w:r>
        <w:rPr>
          <w:strike/>
          <w:spacing w:val="17"/>
          <w:sz w:val="22"/>
        </w:rPr>
        <w:t> </w:t>
      </w:r>
      <w:r>
        <w:rPr>
          <w:strike/>
          <w:sz w:val="22"/>
        </w:rPr>
        <w:t>por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cento)</w:t>
      </w:r>
      <w:r>
        <w:rPr>
          <w:strike/>
          <w:spacing w:val="17"/>
          <w:sz w:val="22"/>
        </w:rPr>
        <w:t> </w:t>
      </w:r>
      <w:r>
        <w:rPr>
          <w:strike/>
          <w:sz w:val="22"/>
        </w:rPr>
        <w:t>das</w:t>
      </w:r>
      <w:r>
        <w:rPr>
          <w:strike/>
          <w:spacing w:val="14"/>
          <w:sz w:val="22"/>
        </w:rPr>
        <w:t> </w:t>
      </w:r>
      <w:r>
        <w:rPr>
          <w:strike/>
          <w:sz w:val="22"/>
        </w:rPr>
        <w:t>despesas</w:t>
      </w:r>
      <w:r>
        <w:rPr>
          <w:strike/>
          <w:spacing w:val="17"/>
          <w:sz w:val="22"/>
        </w:rPr>
        <w:t> </w:t>
      </w:r>
      <w:r>
        <w:rPr>
          <w:strike/>
          <w:sz w:val="22"/>
        </w:rPr>
        <w:t>com</w:t>
      </w:r>
      <w:r>
        <w:rPr>
          <w:strike/>
          <w:spacing w:val="12"/>
          <w:sz w:val="22"/>
        </w:rPr>
        <w:t> </w:t>
      </w:r>
      <w:r>
        <w:rPr>
          <w:strike/>
          <w:sz w:val="22"/>
        </w:rPr>
        <w:t>os</w:t>
      </w:r>
      <w:r>
        <w:rPr>
          <w:strike/>
          <w:spacing w:val="17"/>
          <w:sz w:val="22"/>
        </w:rPr>
        <w:t> </w:t>
      </w:r>
      <w:r>
        <w:rPr>
          <w:strike/>
          <w:sz w:val="22"/>
        </w:rPr>
        <w:t>serviços</w:t>
      </w:r>
      <w:r>
        <w:rPr>
          <w:strike/>
          <w:spacing w:val="16"/>
          <w:sz w:val="22"/>
        </w:rPr>
        <w:t> </w:t>
      </w:r>
      <w:r>
        <w:rPr>
          <w:strike/>
          <w:sz w:val="22"/>
        </w:rPr>
        <w:t>referidos</w:t>
      </w:r>
      <w:r>
        <w:rPr>
          <w:strike/>
          <w:spacing w:val="17"/>
          <w:sz w:val="22"/>
        </w:rPr>
        <w:t> </w:t>
      </w:r>
      <w:r>
        <w:rPr>
          <w:strike/>
          <w:sz w:val="22"/>
        </w:rPr>
        <w:t>nas</w:t>
      </w:r>
    </w:p>
    <w:p>
      <w:pPr>
        <w:pStyle w:val="BodyText"/>
        <w:spacing w:line="252" w:lineRule="exact" w:before="0"/>
        <w:ind w:left="120"/>
      </w:pPr>
      <w:r>
        <w:rPr>
          <w:strike/>
          <w:spacing w:val="-56"/>
          <w:w w:val="100"/>
        </w:rPr>
        <w:t> </w:t>
      </w:r>
      <w:r>
        <w:rPr>
          <w:strike/>
        </w:rPr>
        <w:t>letras “a”, “b”, “c”, itens 3 e 4, “d”, “e”, “f” e “g” do art. 2° desta Resolução;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5"/>
        </w:numPr>
        <w:tabs>
          <w:tab w:pos="320" w:val="left" w:leader="none"/>
        </w:tabs>
        <w:spacing w:line="240" w:lineRule="auto" w:before="92" w:after="0"/>
        <w:ind w:left="319" w:right="0" w:hanging="199"/>
        <w:jc w:val="left"/>
        <w:rPr>
          <w:sz w:val="22"/>
        </w:rPr>
      </w:pPr>
      <w:r>
        <w:rPr>
          <w:strike/>
          <w:sz w:val="22"/>
        </w:rPr>
        <w:t>– caberá aos</w:t>
      </w:r>
      <w:r>
        <w:rPr>
          <w:strike/>
          <w:spacing w:val="-2"/>
          <w:sz w:val="22"/>
        </w:rPr>
        <w:t> </w:t>
      </w:r>
      <w:r>
        <w:rPr>
          <w:strike/>
          <w:sz w:val="22"/>
        </w:rPr>
        <w:t>CAU/UF: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356" w:val="left" w:leader="none"/>
        </w:tabs>
        <w:spacing w:line="240" w:lineRule="auto" w:before="92" w:after="0"/>
        <w:ind w:left="355" w:right="0" w:hanging="235"/>
        <w:jc w:val="left"/>
        <w:rPr>
          <w:sz w:val="22"/>
        </w:rPr>
      </w:pPr>
      <w:r>
        <w:rPr>
          <w:strike/>
          <w:sz w:val="22"/>
        </w:rPr>
        <w:t>o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custeio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das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despesas,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na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proporção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de</w:t>
      </w:r>
      <w:r>
        <w:rPr>
          <w:strike/>
          <w:spacing w:val="7"/>
          <w:sz w:val="22"/>
        </w:rPr>
        <w:t> </w:t>
      </w:r>
      <w:r>
        <w:rPr>
          <w:strike/>
          <w:sz w:val="22"/>
        </w:rPr>
        <w:t>80%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(oitenta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por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cento),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com</w:t>
      </w:r>
      <w:r>
        <w:rPr>
          <w:strike/>
          <w:spacing w:val="2"/>
          <w:sz w:val="22"/>
        </w:rPr>
        <w:t> </w:t>
      </w:r>
      <w:r>
        <w:rPr>
          <w:strike/>
          <w:sz w:val="22"/>
        </w:rPr>
        <w:t>os</w:t>
      </w:r>
      <w:r>
        <w:rPr>
          <w:strike/>
          <w:spacing w:val="7"/>
          <w:sz w:val="22"/>
        </w:rPr>
        <w:t> </w:t>
      </w:r>
      <w:r>
        <w:rPr>
          <w:strike/>
          <w:sz w:val="22"/>
        </w:rPr>
        <w:t>serviços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referidos</w:t>
      </w:r>
      <w:r>
        <w:rPr>
          <w:strike/>
          <w:spacing w:val="6"/>
          <w:sz w:val="22"/>
        </w:rPr>
        <w:t> </w:t>
      </w:r>
      <w:r>
        <w:rPr>
          <w:strike/>
          <w:sz w:val="22"/>
        </w:rPr>
        <w:t>nas</w:t>
      </w:r>
      <w:r>
        <w:rPr>
          <w:strike/>
          <w:spacing w:val="4"/>
          <w:sz w:val="22"/>
        </w:rPr>
        <w:t> </w:t>
      </w:r>
      <w:r>
        <w:rPr>
          <w:strike/>
          <w:sz w:val="22"/>
        </w:rPr>
        <w:t>letras</w:t>
      </w:r>
    </w:p>
    <w:p>
      <w:pPr>
        <w:pStyle w:val="BodyText"/>
        <w:spacing w:before="1"/>
        <w:ind w:left="120"/>
      </w:pPr>
      <w:r>
        <w:rPr>
          <w:strike/>
          <w:spacing w:val="-56"/>
          <w:w w:val="100"/>
        </w:rPr>
        <w:t> </w:t>
      </w:r>
      <w:r>
        <w:rPr>
          <w:strike/>
        </w:rPr>
        <w:t>“a”, “b”, “c”, itens 3 e 4, “d”, “e”, “f” e “g” do art. 2° desta Resolução;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6"/>
        </w:numPr>
        <w:tabs>
          <w:tab w:pos="408" w:val="left" w:leader="none"/>
        </w:tabs>
        <w:spacing w:line="240" w:lineRule="auto" w:before="92" w:after="0"/>
        <w:ind w:left="120" w:right="681" w:firstLine="0"/>
        <w:jc w:val="both"/>
        <w:rPr>
          <w:sz w:val="22"/>
        </w:rPr>
      </w:pPr>
      <w:r>
        <w:rPr>
          <w:strike/>
          <w:sz w:val="22"/>
        </w:rPr>
        <w:t>o custeio das despesas com os serviços referidos nos itens 1 e 2 da letra “c” do art. 2° desta Resolução, em valores correspondentes e proporcionais ao uso efetivo de cada CAU/UF, sendo que o encontro de contas será feito no primeiro mês do exercício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subsequente.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20" w:right="683"/>
        <w:jc w:val="both"/>
      </w:pPr>
      <w:r>
        <w:rPr>
          <w:strike/>
        </w:rPr>
        <w:t>§ 1° O custeio das despesas de que trata o </w:t>
      </w:r>
      <w:r>
        <w:rPr>
          <w:i/>
          <w:strike/>
        </w:rPr>
        <w:t>caput </w:t>
      </w:r>
      <w:r>
        <w:rPr>
          <w:strike/>
        </w:rPr>
        <w:t>deste artigo será efetivado pelos Entes Institucionais do</w:t>
      </w:r>
      <w:r>
        <w:rPr>
          <w:strike w:val="0"/>
        </w:rPr>
        <w:t> </w:t>
      </w:r>
      <w:r>
        <w:rPr>
          <w:strike/>
        </w:rPr>
        <w:t>CSC, por meio do pagamento mensal de boletos bancários, cada um destes no valor correspondente a</w:t>
      </w:r>
      <w:r>
        <w:rPr>
          <w:strike w:val="0"/>
        </w:rPr>
        <w:t> </w:t>
      </w:r>
      <w:r>
        <w:rPr>
          <w:strike/>
        </w:rPr>
        <w:t>1/12 (um doze avos) do total, a serem emitidos pelo CAU/BR, a partir da apuração do orçamento anual</w:t>
      </w:r>
      <w:r>
        <w:rPr>
          <w:strike w:val="0"/>
        </w:rPr>
        <w:t> </w:t>
      </w:r>
      <w:r>
        <w:rPr>
          <w:strike/>
        </w:rPr>
        <w:t>dos serviços a serem compartilhados pelo CSC.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1"/>
        <w:ind w:left="120" w:right="687"/>
        <w:jc w:val="both"/>
      </w:pPr>
      <w:r>
        <w:rPr>
          <w:strike/>
        </w:rPr>
        <w:t>§ 2° A quitação dos boletos bancários referidos no § 1° antecedente deverá ser realizada por meio de</w:t>
      </w:r>
      <w:r>
        <w:rPr>
          <w:strike w:val="0"/>
        </w:rPr>
        <w:t> </w:t>
      </w:r>
      <w:r>
        <w:rPr>
          <w:strike/>
        </w:rPr>
        <w:t>agendamento eletrônico de todas as parcelas (boletos bancários) pelos Entes Institucionais do CSC com</w:t>
      </w:r>
      <w:r>
        <w:rPr>
          <w:strike w:val="0"/>
        </w:rPr>
        <w:t> </w:t>
      </w:r>
      <w:r>
        <w:rPr>
          <w:strike/>
        </w:rPr>
        <w:t>a instituição financeira.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20" w:right="688"/>
        <w:jc w:val="both"/>
      </w:pPr>
      <w:r>
        <w:rPr>
          <w:strike/>
        </w:rPr>
        <w:t>§ 3° A não quitação da parcela duodecimal na data prevista determinará a atualização do débito pela</w:t>
      </w:r>
      <w:r>
        <w:rPr>
          <w:strike w:val="0"/>
        </w:rPr>
        <w:t> </w:t>
      </w:r>
      <w:r>
        <w:rPr>
          <w:strike/>
        </w:rPr>
        <w:t>Taxa Referencial do Sistema Especial de Liquidação e de Custódia (SELIC) correspondente ao período</w:t>
      </w:r>
      <w:r>
        <w:rPr>
          <w:strike w:val="0"/>
        </w:rPr>
        <w:t> </w:t>
      </w:r>
      <w:r>
        <w:rPr>
          <w:strike/>
        </w:rPr>
        <w:t>do atraso.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ind w:left="120" w:right="686"/>
        <w:jc w:val="both"/>
      </w:pPr>
      <w:r>
        <w:rPr>
          <w:strike/>
        </w:rPr>
        <w:t>Art. 10. Será mantido em segunda conta específica do CSC um fundo de reserva formado por recursos</w:t>
      </w:r>
      <w:r>
        <w:rPr>
          <w:strike w:val="0"/>
        </w:rPr>
        <w:t> </w:t>
      </w:r>
      <w:r>
        <w:rPr>
          <w:strike/>
        </w:rPr>
        <w:t>adicionais necessários para cobrir eventuais contingências no custeio dos serviços gerenciados pelo</w:t>
      </w:r>
      <w:r>
        <w:rPr>
          <w:strike w:val="0"/>
        </w:rPr>
        <w:t> </w:t>
      </w:r>
      <w:r>
        <w:rPr>
          <w:strike/>
        </w:rPr>
        <w:t>CSC.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20" w:right="683"/>
        <w:jc w:val="both"/>
      </w:pPr>
      <w:r>
        <w:rPr>
          <w:strike/>
        </w:rPr>
        <w:t>§ 1° O montante do fundo de reserva de que trata o </w:t>
      </w:r>
      <w:r>
        <w:rPr>
          <w:i/>
          <w:strike/>
        </w:rPr>
        <w:t>caput </w:t>
      </w:r>
      <w:r>
        <w:rPr>
          <w:strike/>
        </w:rPr>
        <w:t>deste artigo será referente a 10% (dez por</w:t>
      </w:r>
      <w:r>
        <w:rPr>
          <w:strike w:val="0"/>
        </w:rPr>
        <w:t> </w:t>
      </w:r>
      <w:r>
        <w:rPr>
          <w:strike/>
        </w:rPr>
        <w:t>cento) do orçamento anual do CSC, a ser arcado pelos Entes Institucionais em conjunto com as parcelas</w:t>
      </w:r>
      <w:r>
        <w:rPr>
          <w:strike w:val="0"/>
        </w:rPr>
        <w:t> </w:t>
      </w:r>
      <w:r>
        <w:rPr>
          <w:strike/>
        </w:rPr>
        <w:t>devidas mensalmente conforme previsto nos §§ 1° e 2° do art. 9°.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before="91"/>
        <w:ind w:left="120" w:right="681"/>
        <w:jc w:val="both"/>
      </w:pPr>
      <w:r>
        <w:rPr>
          <w:strike/>
        </w:rPr>
        <w:t>§ 2° O valor referente ao fundo de reserva a ser cobrado nos orçamentos anuais dos anos subsequentes</w:t>
      </w:r>
      <w:r>
        <w:rPr>
          <w:strike w:val="0"/>
        </w:rPr>
        <w:t> </w:t>
      </w:r>
      <w:r>
        <w:rPr>
          <w:strike/>
        </w:rPr>
        <w:t>deverá ser calculado de modo a manter o fundo de reserva no limite de 10% (dez por cento) do</w:t>
      </w:r>
      <w:r>
        <w:rPr>
          <w:strike w:val="0"/>
        </w:rPr>
        <w:t> </w:t>
      </w:r>
      <w:r>
        <w:rPr>
          <w:strike/>
        </w:rPr>
        <w:t>orçamento anual em curso, de modo a garantir a continuidade dos serviços aos CAU/UF e ao CAU/BR.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20" w:right="685"/>
        <w:jc w:val="both"/>
      </w:pPr>
      <w:r>
        <w:rPr>
          <w:strike/>
        </w:rPr>
        <w:t>§ 3° O valor do teto do fundo de reserva de que trata o § 2° antecedente será acompanhado</w:t>
      </w:r>
      <w:r>
        <w:rPr>
          <w:strike w:val="0"/>
        </w:rPr>
        <w:t> </w:t>
      </w:r>
      <w:r>
        <w:rPr>
          <w:strike/>
        </w:rPr>
        <w:t>quadrimestralmente pelo CG-CSC, que poderá sugerir ajustes em função de seus rendimentos</w:t>
      </w:r>
      <w:r>
        <w:rPr>
          <w:strike w:val="0"/>
        </w:rPr>
        <w:t> </w:t>
      </w:r>
      <w:r>
        <w:rPr>
          <w:strike/>
        </w:rPr>
        <w:t>financeiros e da necessidade de sua utilização.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20" w:right="528"/>
      </w:pPr>
      <w:r>
        <w:rPr>
          <w:strike/>
        </w:rPr>
        <w:t>§ 4° Os recursos referentes ao fundo de reserva de que trata este artigo serão cobrados a partir de janeiro</w:t>
      </w:r>
      <w:r>
        <w:rPr>
          <w:strike w:val="0"/>
        </w:rPr>
        <w:t> </w:t>
      </w:r>
      <w:r>
        <w:rPr>
          <w:strike/>
        </w:rPr>
        <w:t>de 2015.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1"/>
        <w:ind w:left="120"/>
      </w:pPr>
      <w:r>
        <w:rPr>
          <w:strike/>
        </w:rPr>
        <w:t>Art. 11. Na execução do disposto nesta Resolução serão observados os seguintes procedimentos: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306" w:val="left" w:leader="none"/>
        </w:tabs>
        <w:spacing w:line="240" w:lineRule="auto" w:before="92" w:after="0"/>
        <w:ind w:left="120" w:right="684" w:firstLine="0"/>
        <w:jc w:val="left"/>
        <w:rPr>
          <w:sz w:val="22"/>
        </w:rPr>
      </w:pPr>
      <w:r>
        <w:rPr>
          <w:strike/>
          <w:sz w:val="22"/>
        </w:rPr>
        <w:t>– a administração orçamentária e financeira da totalidade dos recursos alocados ao CSC-CAU, incluindo</w:t>
      </w:r>
      <w:r>
        <w:rPr>
          <w:strike/>
          <w:spacing w:val="45"/>
          <w:sz w:val="22"/>
        </w:rPr>
        <w:t> </w:t>
      </w:r>
      <w:r>
        <w:rPr>
          <w:strike/>
          <w:sz w:val="22"/>
        </w:rPr>
        <w:t>os</w:t>
      </w:r>
      <w:r>
        <w:rPr>
          <w:strike/>
          <w:spacing w:val="48"/>
          <w:sz w:val="22"/>
        </w:rPr>
        <w:t> </w:t>
      </w:r>
      <w:r>
        <w:rPr>
          <w:strike/>
          <w:sz w:val="22"/>
        </w:rPr>
        <w:t>aportes</w:t>
      </w:r>
      <w:r>
        <w:rPr>
          <w:strike/>
          <w:spacing w:val="47"/>
          <w:sz w:val="22"/>
        </w:rPr>
        <w:t> </w:t>
      </w:r>
      <w:r>
        <w:rPr>
          <w:strike/>
          <w:sz w:val="22"/>
        </w:rPr>
        <w:t>normais</w:t>
      </w:r>
      <w:r>
        <w:rPr>
          <w:strike/>
          <w:spacing w:val="47"/>
          <w:sz w:val="22"/>
        </w:rPr>
        <w:t> </w:t>
      </w:r>
      <w:r>
        <w:rPr>
          <w:strike/>
          <w:sz w:val="22"/>
        </w:rPr>
        <w:t>e</w:t>
      </w:r>
      <w:r>
        <w:rPr>
          <w:strike/>
          <w:spacing w:val="47"/>
          <w:sz w:val="22"/>
        </w:rPr>
        <w:t> </w:t>
      </w:r>
      <w:r>
        <w:rPr>
          <w:strike/>
          <w:sz w:val="22"/>
        </w:rPr>
        <w:t>as</w:t>
      </w:r>
      <w:r>
        <w:rPr>
          <w:strike/>
          <w:spacing w:val="47"/>
          <w:sz w:val="22"/>
        </w:rPr>
        <w:t> </w:t>
      </w:r>
      <w:r>
        <w:rPr>
          <w:strike/>
          <w:sz w:val="22"/>
        </w:rPr>
        <w:t>parcelas</w:t>
      </w:r>
      <w:r>
        <w:rPr>
          <w:strike/>
          <w:spacing w:val="47"/>
          <w:sz w:val="22"/>
        </w:rPr>
        <w:t> </w:t>
      </w:r>
      <w:r>
        <w:rPr>
          <w:strike/>
          <w:sz w:val="22"/>
        </w:rPr>
        <w:t>destinadas</w:t>
      </w:r>
      <w:r>
        <w:rPr>
          <w:strike/>
          <w:spacing w:val="46"/>
          <w:sz w:val="22"/>
        </w:rPr>
        <w:t> </w:t>
      </w:r>
      <w:r>
        <w:rPr>
          <w:strike/>
          <w:sz w:val="22"/>
        </w:rPr>
        <w:t>ao</w:t>
      </w:r>
      <w:r>
        <w:rPr>
          <w:strike/>
          <w:spacing w:val="47"/>
          <w:sz w:val="22"/>
        </w:rPr>
        <w:t> </w:t>
      </w:r>
      <w:r>
        <w:rPr>
          <w:strike/>
          <w:sz w:val="22"/>
        </w:rPr>
        <w:t>fundo</w:t>
      </w:r>
      <w:r>
        <w:rPr>
          <w:strike/>
          <w:spacing w:val="46"/>
          <w:sz w:val="22"/>
        </w:rPr>
        <w:t> </w:t>
      </w:r>
      <w:r>
        <w:rPr>
          <w:strike/>
          <w:sz w:val="22"/>
        </w:rPr>
        <w:t>de</w:t>
      </w:r>
      <w:r>
        <w:rPr>
          <w:strike/>
          <w:spacing w:val="47"/>
          <w:sz w:val="22"/>
        </w:rPr>
        <w:t> </w:t>
      </w:r>
      <w:r>
        <w:rPr>
          <w:strike/>
          <w:sz w:val="22"/>
        </w:rPr>
        <w:t>reserva</w:t>
      </w:r>
      <w:r>
        <w:rPr>
          <w:strike/>
          <w:spacing w:val="47"/>
          <w:sz w:val="22"/>
        </w:rPr>
        <w:t> </w:t>
      </w:r>
      <w:r>
        <w:rPr>
          <w:strike/>
          <w:sz w:val="22"/>
        </w:rPr>
        <w:t>de</w:t>
      </w:r>
      <w:r>
        <w:rPr>
          <w:strike/>
          <w:spacing w:val="47"/>
          <w:sz w:val="22"/>
        </w:rPr>
        <w:t> </w:t>
      </w:r>
      <w:r>
        <w:rPr>
          <w:strike/>
          <w:sz w:val="22"/>
        </w:rPr>
        <w:t>responsabilidade</w:t>
      </w:r>
      <w:r>
        <w:rPr>
          <w:strike/>
          <w:spacing w:val="47"/>
          <w:sz w:val="22"/>
        </w:rPr>
        <w:t> </w:t>
      </w:r>
      <w:r>
        <w:rPr>
          <w:strike/>
          <w:sz w:val="22"/>
        </w:rPr>
        <w:t>do</w:t>
      </w:r>
    </w:p>
    <w:p>
      <w:pPr>
        <w:spacing w:after="0" w:line="240" w:lineRule="auto"/>
        <w:jc w:val="left"/>
        <w:rPr>
          <w:sz w:val="22"/>
        </w:rPr>
        <w:sectPr>
          <w:pgSz w:w="11900" w:h="16850"/>
          <w:pgMar w:header="568" w:footer="1175" w:top="1660" w:bottom="1520" w:left="1440" w:right="440"/>
        </w:sectPr>
      </w:pPr>
    </w:p>
    <w:p>
      <w:pPr>
        <w:pStyle w:val="BodyText"/>
        <w:spacing w:before="182"/>
        <w:ind w:left="120" w:right="740"/>
      </w:pPr>
      <w:r>
        <w:rPr>
          <w:strike/>
        </w:rPr>
        <w:t>Conselho de Arquitetura e Urbanismo do Brasil (CAU/BR) e dos Conselhos de Arquitetura e</w:t>
      </w:r>
      <w:r>
        <w:rPr>
          <w:strike w:val="0"/>
        </w:rPr>
        <w:t> </w:t>
      </w:r>
      <w:r>
        <w:rPr>
          <w:strike/>
        </w:rPr>
        <w:t>Urbanismo dos Estados e do Distrito Federal (CAU/UF), ficará sob a responsabilidade do</w:t>
      </w:r>
      <w:r>
        <w:rPr>
          <w:strike/>
          <w:spacing w:val="-17"/>
        </w:rPr>
        <w:t> </w:t>
      </w:r>
      <w:r>
        <w:rPr>
          <w:strike/>
        </w:rPr>
        <w:t>CAU/BR;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320" w:val="left" w:leader="none"/>
        </w:tabs>
        <w:spacing w:line="240" w:lineRule="auto" w:before="91" w:after="0"/>
        <w:ind w:left="120" w:right="685" w:firstLine="0"/>
        <w:jc w:val="left"/>
        <w:rPr>
          <w:sz w:val="22"/>
        </w:rPr>
      </w:pPr>
      <w:r>
        <w:rPr>
          <w:strike/>
          <w:sz w:val="22"/>
        </w:rPr>
        <w:t>– as despesas de responsabilidade do CAU/BR serão lançadas à conta dos centros de custos em que os valores estejam alocados, sendo como tal lançados nas contas gerais do</w:t>
      </w:r>
      <w:r>
        <w:rPr>
          <w:strike/>
          <w:spacing w:val="-11"/>
          <w:sz w:val="22"/>
        </w:rPr>
        <w:t> </w:t>
      </w:r>
      <w:r>
        <w:rPr>
          <w:strike/>
          <w:sz w:val="22"/>
        </w:rPr>
        <w:t>CSC-CAU;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419" w:val="left" w:leader="none"/>
        </w:tabs>
        <w:spacing w:line="240" w:lineRule="auto" w:before="91" w:after="0"/>
        <w:ind w:left="120" w:right="682" w:firstLine="0"/>
        <w:jc w:val="left"/>
        <w:rPr>
          <w:sz w:val="22"/>
        </w:rPr>
      </w:pPr>
      <w:r>
        <w:rPr>
          <w:strike/>
          <w:sz w:val="22"/>
        </w:rPr>
        <w:t>– os recursos de que trata o inciso I serão creditados e movimentados em conta corrente bancária específica;</w:t>
      </w: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438" w:val="left" w:leader="none"/>
        </w:tabs>
        <w:spacing w:line="240" w:lineRule="auto" w:before="92" w:after="0"/>
        <w:ind w:left="120" w:right="680" w:firstLine="0"/>
        <w:jc w:val="both"/>
        <w:rPr>
          <w:sz w:val="22"/>
        </w:rPr>
      </w:pPr>
      <w:r>
        <w:rPr>
          <w:strike/>
          <w:sz w:val="22"/>
        </w:rPr>
        <w:t>– os aportes de responsabilidade de cada Ente Institucional do Compartilhamento serão apurados pelo Colegiado de Governança do Centro de Serviços Compartilhados (CG-CSC), respeitados os parâmetros de rateio do compartilhamento nos termos do art.</w:t>
      </w:r>
      <w:r>
        <w:rPr>
          <w:strike/>
          <w:spacing w:val="-8"/>
          <w:sz w:val="22"/>
        </w:rPr>
        <w:t> </w:t>
      </w:r>
      <w:r>
        <w:rPr>
          <w:strike/>
          <w:sz w:val="22"/>
        </w:rPr>
        <w:t>9°;</w:t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337" w:val="left" w:leader="none"/>
        </w:tabs>
        <w:spacing w:line="240" w:lineRule="auto" w:before="92" w:after="0"/>
        <w:ind w:left="120" w:right="682" w:firstLine="0"/>
        <w:jc w:val="left"/>
        <w:rPr>
          <w:sz w:val="22"/>
        </w:rPr>
      </w:pPr>
      <w:r>
        <w:rPr>
          <w:strike/>
          <w:sz w:val="22"/>
        </w:rPr>
        <w:t>– o Colegiado de Governança do Centro de Serviços Compartilhados (CG-CSC) será competente para opinar em todas as questões relacionadas ao</w:t>
      </w:r>
      <w:r>
        <w:rPr>
          <w:strike/>
          <w:spacing w:val="-9"/>
          <w:sz w:val="22"/>
        </w:rPr>
        <w:t> </w:t>
      </w:r>
      <w:r>
        <w:rPr>
          <w:strike/>
          <w:sz w:val="22"/>
        </w:rPr>
        <w:t>compartilhamento;</w:t>
      </w:r>
    </w:p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411" w:val="left" w:leader="none"/>
        </w:tabs>
        <w:spacing w:line="240" w:lineRule="auto" w:before="92" w:after="0"/>
        <w:ind w:left="120" w:right="683" w:firstLine="0"/>
        <w:jc w:val="left"/>
        <w:rPr>
          <w:sz w:val="22"/>
        </w:rPr>
      </w:pPr>
      <w:r>
        <w:rPr>
          <w:strike/>
          <w:sz w:val="22"/>
        </w:rPr>
        <w:t>– o CAU/BR prestará contas quadrimestralmente ao CG-CSC da gestão dos contratos e das despesas realizadas com o</w:t>
      </w:r>
      <w:r>
        <w:rPr>
          <w:strike/>
          <w:spacing w:val="-5"/>
          <w:sz w:val="22"/>
        </w:rPr>
        <w:t> </w:t>
      </w:r>
      <w:r>
        <w:rPr>
          <w:strike/>
          <w:sz w:val="22"/>
        </w:rPr>
        <w:t>CSC-CAU;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7"/>
        </w:numPr>
        <w:tabs>
          <w:tab w:pos="579" w:val="left" w:leader="none"/>
        </w:tabs>
        <w:spacing w:line="240" w:lineRule="auto" w:before="92" w:after="0"/>
        <w:ind w:left="120" w:right="688" w:firstLine="0"/>
        <w:jc w:val="left"/>
        <w:rPr>
          <w:sz w:val="22"/>
        </w:rPr>
      </w:pPr>
      <w:r>
        <w:rPr>
          <w:strike/>
          <w:sz w:val="22"/>
        </w:rPr>
        <w:t>– o CG-CSC apresentará trimestralmente, aos Entes Institucionais do Compartilhamento, indicadores de desempenho do cumprimento de metas e desenvolvimento dos serviços</w:t>
      </w:r>
      <w:r>
        <w:rPr>
          <w:strike/>
          <w:spacing w:val="-13"/>
          <w:sz w:val="22"/>
        </w:rPr>
        <w:t> </w:t>
      </w:r>
      <w:r>
        <w:rPr>
          <w:strike/>
          <w:sz w:val="22"/>
        </w:rPr>
        <w:t>executados.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1"/>
        <w:ind w:left="120"/>
      </w:pPr>
      <w:r>
        <w:rPr>
          <w:strike/>
        </w:rPr>
        <w:t>Art. 12. Os valores referentes ao custeio do CSC-CAU de cada exercício deverão constar das diretrizes</w:t>
      </w:r>
      <w:r>
        <w:rPr>
          <w:strike w:val="0"/>
        </w:rPr>
        <w:t> </w:t>
      </w:r>
      <w:r>
        <w:rPr>
          <w:strike/>
        </w:rPr>
        <w:t>orçamentárias para elaboração do plano de ação e orçamento anual em cada CAU/UF e no CAU/BR.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120" w:right="682"/>
        <w:jc w:val="both"/>
      </w:pPr>
      <w:r>
        <w:rPr>
          <w:strike/>
        </w:rPr>
        <w:t>§ 1° As estimativas dos valores referentes ao custeio do CSC-CAU, para o exercício de 2014, serão</w:t>
      </w:r>
      <w:r>
        <w:rPr>
          <w:strike w:val="0"/>
        </w:rPr>
        <w:t> </w:t>
      </w:r>
      <w:r>
        <w:rPr>
          <w:strike/>
        </w:rPr>
        <w:t>orçamentariamente os que estão discriminados no Anexo I desta Resolução, cujas alterações, quando</w:t>
      </w:r>
      <w:r>
        <w:rPr>
          <w:strike w:val="0"/>
        </w:rPr>
        <w:t> </w:t>
      </w:r>
      <w:r>
        <w:rPr>
          <w:strike/>
        </w:rPr>
        <w:t>necessárias, ficarão dependentes da análise pelo CG-CSC, ouvidos os Entes Institucionais do</w:t>
      </w:r>
      <w:r>
        <w:rPr>
          <w:strike w:val="0"/>
        </w:rPr>
        <w:t> </w:t>
      </w:r>
      <w:r>
        <w:rPr>
          <w:strike/>
        </w:rPr>
        <w:t>Compartilhamento, para encaminhamento à deliberação em Reunião Plenária Ampliada do CAU/BR.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120" w:right="740"/>
      </w:pPr>
      <w:r>
        <w:rPr>
          <w:strike/>
        </w:rPr>
        <w:t>Art. 13. Os recursos a serem alocados pelos CAU/UF Básicos, relativos ao custeio do CSC-CAU,</w:t>
      </w:r>
      <w:r>
        <w:rPr>
          <w:strike w:val="0"/>
        </w:rPr>
        <w:t> </w:t>
      </w:r>
      <w:r>
        <w:rPr>
          <w:strike/>
        </w:rPr>
        <w:t>deverão constar no cálculo do Fundo de Apoio nos termos das normas próprias do CAU/BR.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120"/>
      </w:pPr>
      <w:r>
        <w:rPr>
          <w:strike/>
        </w:rPr>
        <w:t>Art. 14. Esta Resolução entra em vigor na data de sua publicação.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91"/>
        <w:ind w:left="3313"/>
      </w:pPr>
      <w:r>
        <w:rPr>
          <w:strike/>
        </w:rPr>
        <w:t>Brasília, 10 de outubro de 2014.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line="253" w:lineRule="exact"/>
        <w:ind w:left="2372" w:right="2937"/>
        <w:jc w:val="center"/>
      </w:pPr>
      <w:r>
        <w:rPr>
          <w:strike/>
        </w:rPr>
        <w:t>HAROLDO PINHEIRO VILLAR DE QUEIROZ</w:t>
      </w:r>
    </w:p>
    <w:p>
      <w:pPr>
        <w:pStyle w:val="BodyText"/>
        <w:spacing w:before="0"/>
        <w:ind w:left="2372" w:right="2933"/>
        <w:jc w:val="center"/>
      </w:pPr>
      <w:r>
        <w:rPr>
          <w:strike/>
        </w:rPr>
        <w:t>Presidente do CAU/BR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0"/>
        <w:ind w:left="756"/>
      </w:pPr>
      <w:r>
        <w:rPr>
          <w:strike/>
        </w:rPr>
        <w:t>(Publicada no Diário Oficial da União, Edição n° 206, Seção 1, de 24 de outubro de 2014)</w:t>
      </w:r>
    </w:p>
    <w:p>
      <w:pPr>
        <w:spacing w:after="0"/>
        <w:sectPr>
          <w:pgSz w:w="11900" w:h="16850"/>
          <w:pgMar w:header="568" w:footer="1175" w:top="1660" w:bottom="1520" w:left="1440" w:right="440"/>
        </w:sectPr>
      </w:pPr>
    </w:p>
    <w:p>
      <w:pPr>
        <w:pStyle w:val="Heading1"/>
        <w:spacing w:before="187"/>
        <w:ind w:left="2768" w:right="2751" w:hanging="564"/>
      </w:pPr>
      <w:r>
        <w:rPr/>
        <w:pict>
          <v:rect style="position:absolute;margin-left:293.929993pt;margin-top:221.899994pt;width:3.96pt;height:.59999pt;mso-position-horizontal-relative:page;mso-position-vertical-relative:page;z-index:-27688" filled="true" fillcolor="#000000" stroked="false">
            <v:fill type="solid"/>
            <w10:wrap type="none"/>
          </v:rect>
        </w:pict>
      </w:r>
      <w:r>
        <w:rPr>
          <w:strike/>
        </w:rPr>
        <w:t>RESOLUÇÃO N° 92, DE 10 DE OUTUBRO DE 2014</w:t>
      </w:r>
      <w:r>
        <w:rPr>
          <w:strike w:val="0"/>
        </w:rPr>
        <w:t> </w:t>
      </w:r>
      <w:r>
        <w:rPr>
          <w:strike/>
        </w:rPr>
        <w:t>ANEXO I – VALORES POR SERVIÇOS</w:t>
      </w:r>
    </w:p>
    <w:p>
      <w:pPr>
        <w:pStyle w:val="BodyText"/>
        <w:spacing w:before="2"/>
        <w:rPr>
          <w:b/>
          <w:sz w:val="25"/>
        </w:rPr>
      </w:pP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1593"/>
        <w:gridCol w:w="1418"/>
        <w:gridCol w:w="1416"/>
        <w:gridCol w:w="1276"/>
        <w:gridCol w:w="1420"/>
      </w:tblGrid>
      <w:tr>
        <w:trPr>
          <w:trHeight w:val="289" w:hRule="atLeast"/>
        </w:trPr>
        <w:tc>
          <w:tcPr>
            <w:tcW w:w="2566" w:type="dxa"/>
            <w:vMerge w:val="restart"/>
            <w:shd w:val="clear" w:color="auto" w:fill="92CDDC"/>
          </w:tcPr>
          <w:p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64"/>
              <w:jc w:val="left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Serviço</w:t>
            </w:r>
          </w:p>
        </w:tc>
        <w:tc>
          <w:tcPr>
            <w:tcW w:w="1593" w:type="dxa"/>
            <w:vMerge w:val="restart"/>
            <w:shd w:val="clear" w:color="auto" w:fill="92CDDC"/>
          </w:tcPr>
          <w:p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69"/>
              <w:jc w:val="left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Fornecedor</w:t>
            </w:r>
          </w:p>
        </w:tc>
        <w:tc>
          <w:tcPr>
            <w:tcW w:w="1418" w:type="dxa"/>
            <w:vMerge w:val="restart"/>
            <w:shd w:val="clear" w:color="auto" w:fill="92CDDC"/>
          </w:tcPr>
          <w:p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65"/>
              <w:jc w:val="left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Recurso</w:t>
            </w:r>
          </w:p>
        </w:tc>
        <w:tc>
          <w:tcPr>
            <w:tcW w:w="2692" w:type="dxa"/>
            <w:gridSpan w:val="2"/>
            <w:shd w:val="clear" w:color="auto" w:fill="92CDDC"/>
          </w:tcPr>
          <w:p>
            <w:pPr>
              <w:pStyle w:val="TableParagraph"/>
              <w:spacing w:line="264" w:lineRule="exact"/>
              <w:ind w:left="649"/>
              <w:jc w:val="left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Custos Anuais</w:t>
            </w:r>
          </w:p>
        </w:tc>
        <w:tc>
          <w:tcPr>
            <w:tcW w:w="1420" w:type="dxa"/>
            <w:vMerge w:val="restart"/>
            <w:shd w:val="clear" w:color="auto" w:fill="92CDDC"/>
          </w:tcPr>
          <w:p>
            <w:pPr>
              <w:pStyle w:val="TableParagraph"/>
              <w:spacing w:line="270" w:lineRule="atLeast" w:before="144"/>
              <w:ind w:left="69" w:right="707"/>
              <w:jc w:val="both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Custo</w:t>
            </w:r>
            <w:r>
              <w:rPr>
                <w:b/>
                <w:strike w:val="0"/>
                <w:sz w:val="24"/>
              </w:rPr>
              <w:t> </w:t>
            </w:r>
            <w:r>
              <w:rPr>
                <w:b/>
                <w:strike/>
                <w:sz w:val="24"/>
              </w:rPr>
              <w:t>Anual</w:t>
            </w:r>
            <w:r>
              <w:rPr>
                <w:b/>
                <w:strike w:val="0"/>
                <w:sz w:val="24"/>
              </w:rPr>
              <w:t> </w:t>
            </w:r>
            <w:r>
              <w:rPr>
                <w:b/>
                <w:strike/>
                <w:sz w:val="24"/>
              </w:rPr>
              <w:t>Total</w:t>
            </w:r>
          </w:p>
        </w:tc>
      </w:tr>
      <w:tr>
        <w:trPr>
          <w:trHeight w:val="585" w:hRule="atLeast"/>
        </w:trPr>
        <w:tc>
          <w:tcPr>
            <w:tcW w:w="2566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shd w:val="clear" w:color="auto" w:fill="92CDDC"/>
          </w:tcPr>
          <w:p>
            <w:pPr>
              <w:pStyle w:val="TableParagraph"/>
              <w:spacing w:before="139"/>
              <w:ind w:left="217"/>
              <w:jc w:val="left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Aprovado</w:t>
            </w:r>
          </w:p>
        </w:tc>
        <w:tc>
          <w:tcPr>
            <w:tcW w:w="1276" w:type="dxa"/>
            <w:shd w:val="clear" w:color="auto" w:fill="92CDDC"/>
          </w:tcPr>
          <w:p>
            <w:pPr>
              <w:pStyle w:val="TableParagraph"/>
              <w:spacing w:line="249" w:lineRule="auto"/>
              <w:ind w:left="71" w:right="316"/>
              <w:jc w:val="left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Novos</w:t>
            </w:r>
            <w:r>
              <w:rPr>
                <w:b/>
                <w:strike w:val="0"/>
                <w:sz w:val="24"/>
              </w:rPr>
              <w:t> </w:t>
            </w:r>
            <w:r>
              <w:rPr>
                <w:b/>
                <w:strike/>
                <w:sz w:val="24"/>
              </w:rPr>
              <w:t>Serviços</w:t>
            </w: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92CDDC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5" w:hRule="atLeast"/>
        </w:trPr>
        <w:tc>
          <w:tcPr>
            <w:tcW w:w="2566" w:type="dxa"/>
            <w:shd w:val="clear" w:color="auto" w:fill="DAECF3"/>
          </w:tcPr>
          <w:p>
            <w:pPr>
              <w:pStyle w:val="TableParagraph"/>
              <w:spacing w:line="182" w:lineRule="exact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Disponibilização,</w:t>
            </w:r>
          </w:p>
          <w:p>
            <w:pPr>
              <w:pStyle w:val="TableParagraph"/>
              <w:spacing w:before="7"/>
              <w:ind w:left="64" w:right="21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manutenção e evolução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do SICCAU</w:t>
            </w:r>
          </w:p>
          <w:p>
            <w:pPr>
              <w:pStyle w:val="TableParagraph"/>
              <w:ind w:left="64" w:right="147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Corporativo e </w:t>
            </w:r>
            <w:r>
              <w:rPr>
                <w:strike/>
                <w:spacing w:val="-3"/>
                <w:sz w:val="24"/>
              </w:rPr>
              <w:t>Ambiente</w:t>
            </w:r>
            <w:r>
              <w:rPr>
                <w:strike w:val="0"/>
                <w:spacing w:val="-3"/>
                <w:sz w:val="24"/>
              </w:rPr>
              <w:t> </w:t>
            </w:r>
            <w:r>
              <w:rPr>
                <w:strike/>
                <w:sz w:val="24"/>
              </w:rPr>
              <w:t>do Arquiteto e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Urbanista</w:t>
            </w:r>
          </w:p>
        </w:tc>
        <w:tc>
          <w:tcPr>
            <w:tcW w:w="1593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left="6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TECNOTECH</w:t>
            </w:r>
          </w:p>
        </w:tc>
        <w:tc>
          <w:tcPr>
            <w:tcW w:w="1418" w:type="dxa"/>
            <w:shd w:val="clear" w:color="auto" w:fill="DAECF3"/>
          </w:tcPr>
          <w:p>
            <w:pPr>
              <w:pStyle w:val="TableParagraph"/>
              <w:spacing w:before="9"/>
              <w:jc w:val="left"/>
              <w:rPr>
                <w:b/>
                <w:sz w:val="29"/>
              </w:rPr>
            </w:pPr>
          </w:p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ADAPT</w:t>
            </w:r>
          </w:p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Minerva</w:t>
            </w:r>
          </w:p>
        </w:tc>
        <w:tc>
          <w:tcPr>
            <w:tcW w:w="1416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R$ 889.762</w:t>
            </w:r>
          </w:p>
        </w:tc>
        <w:tc>
          <w:tcPr>
            <w:tcW w:w="1276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90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R$ 889.762</w:t>
            </w:r>
          </w:p>
        </w:tc>
      </w:tr>
      <w:tr>
        <w:trPr>
          <w:trHeight w:val="318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1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Manutenção e novas implementações</w:t>
            </w:r>
          </w:p>
        </w:tc>
        <w:tc>
          <w:tcPr>
            <w:tcW w:w="1416" w:type="dxa"/>
          </w:tcPr>
          <w:p>
            <w:pPr>
              <w:pStyle w:val="TableParagraph"/>
              <w:spacing w:before="7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R$ 889.762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R$ 889.762</w:t>
            </w:r>
          </w:p>
        </w:tc>
      </w:tr>
      <w:tr>
        <w:trPr>
          <w:trHeight w:val="1216" w:hRule="atLeast"/>
        </w:trPr>
        <w:tc>
          <w:tcPr>
            <w:tcW w:w="2566" w:type="dxa"/>
            <w:shd w:val="clear" w:color="auto" w:fill="DAECF3"/>
          </w:tcPr>
          <w:p>
            <w:pPr>
              <w:pStyle w:val="TableParagraph"/>
              <w:spacing w:before="14"/>
              <w:ind w:left="64" w:right="21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Disponibilização,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manutenção e evolução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dos sistemas de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geotecnologia</w:t>
            </w:r>
          </w:p>
        </w:tc>
        <w:tc>
          <w:tcPr>
            <w:tcW w:w="1593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54"/>
              <w:ind w:left="6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NOTÓRIUN</w:t>
            </w:r>
          </w:p>
        </w:tc>
        <w:tc>
          <w:tcPr>
            <w:tcW w:w="1418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54"/>
              <w:ind w:left="65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iGeo</w:t>
            </w:r>
          </w:p>
        </w:tc>
        <w:tc>
          <w:tcPr>
            <w:tcW w:w="1416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54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R$ 97.248</w:t>
            </w:r>
          </w:p>
        </w:tc>
        <w:tc>
          <w:tcPr>
            <w:tcW w:w="1276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54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before="154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R$ 97.248</w:t>
            </w:r>
          </w:p>
        </w:tc>
      </w:tr>
      <w:tr>
        <w:trPr>
          <w:trHeight w:val="349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6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Manutenção e novas implementações</w:t>
            </w:r>
          </w:p>
        </w:tc>
        <w:tc>
          <w:tcPr>
            <w:tcW w:w="1416" w:type="dxa"/>
          </w:tcPr>
          <w:p>
            <w:pPr>
              <w:pStyle w:val="TableParagraph"/>
              <w:spacing w:before="21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R$ 97.248</w:t>
            </w:r>
          </w:p>
        </w:tc>
        <w:tc>
          <w:tcPr>
            <w:tcW w:w="1276" w:type="dxa"/>
          </w:tcPr>
          <w:p>
            <w:pPr>
              <w:pStyle w:val="TableParagraph"/>
              <w:spacing w:before="21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1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R$ 97.248</w:t>
            </w:r>
          </w:p>
        </w:tc>
      </w:tr>
      <w:tr>
        <w:trPr>
          <w:trHeight w:val="1530" w:hRule="atLeast"/>
        </w:trPr>
        <w:tc>
          <w:tcPr>
            <w:tcW w:w="2566" w:type="dxa"/>
            <w:shd w:val="clear" w:color="auto" w:fill="DAECF3"/>
          </w:tcPr>
          <w:p>
            <w:pPr>
              <w:pStyle w:val="TableParagraph"/>
              <w:spacing w:before="26"/>
              <w:ind w:left="64" w:right="15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Disponibilização,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manutenção, evolução e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licenças dos sistemas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contábeis e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administrativos</w:t>
            </w:r>
          </w:p>
        </w:tc>
        <w:tc>
          <w:tcPr>
            <w:tcW w:w="1593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IMPLANTA</w:t>
            </w:r>
          </w:p>
        </w:tc>
        <w:tc>
          <w:tcPr>
            <w:tcW w:w="1418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left="65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SIPRO</w:t>
            </w:r>
          </w:p>
        </w:tc>
        <w:tc>
          <w:tcPr>
            <w:tcW w:w="1416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R$ 671.576</w:t>
            </w:r>
          </w:p>
        </w:tc>
        <w:tc>
          <w:tcPr>
            <w:tcW w:w="1276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jc w:val="left"/>
              <w:rPr>
                <w:b/>
                <w:sz w:val="27"/>
              </w:rPr>
            </w:pPr>
          </w:p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R$ 671.576</w:t>
            </w:r>
          </w:p>
        </w:tc>
      </w:tr>
      <w:tr>
        <w:trPr>
          <w:trHeight w:val="314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10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SisCont.net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R$ 267.744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5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R$ 267.744</w:t>
            </w:r>
          </w:p>
        </w:tc>
      </w:tr>
      <w:tr>
        <w:trPr>
          <w:trHeight w:val="311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Centro de Custo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R$ 49.829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R$ 49.829</w:t>
            </w:r>
          </w:p>
        </w:tc>
      </w:tr>
      <w:tr>
        <w:trPr>
          <w:trHeight w:val="308" w:hRule="atLeast"/>
        </w:trPr>
        <w:tc>
          <w:tcPr>
            <w:tcW w:w="5577" w:type="dxa"/>
            <w:gridSpan w:val="3"/>
          </w:tcPr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Patrimônio</w:t>
            </w:r>
          </w:p>
        </w:tc>
        <w:tc>
          <w:tcPr>
            <w:tcW w:w="1416" w:type="dxa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R$ 70.651</w:t>
            </w:r>
          </w:p>
        </w:tc>
        <w:tc>
          <w:tcPr>
            <w:tcW w:w="1276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R$ 70.651</w:t>
            </w:r>
          </w:p>
        </w:tc>
      </w:tr>
      <w:tr>
        <w:trPr>
          <w:trHeight w:val="308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Almoxarifado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R$ 70.651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R$ 70.651</w:t>
            </w:r>
          </w:p>
        </w:tc>
      </w:tr>
      <w:tr>
        <w:trPr>
          <w:trHeight w:val="311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Compras e Contratos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R$ 106.351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R$ 106.351</w:t>
            </w:r>
          </w:p>
        </w:tc>
      </w:tr>
      <w:tr>
        <w:trPr>
          <w:trHeight w:val="313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Passagens e Diárias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R$ 106.351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R$ 106.351</w:t>
            </w:r>
          </w:p>
        </w:tc>
      </w:tr>
      <w:tr>
        <w:trPr>
          <w:trHeight w:val="865" w:hRule="atLeast"/>
        </w:trPr>
        <w:tc>
          <w:tcPr>
            <w:tcW w:w="2566" w:type="dxa"/>
            <w:shd w:val="clear" w:color="auto" w:fill="DAECF3"/>
          </w:tcPr>
          <w:p>
            <w:pPr>
              <w:pStyle w:val="TableParagraph"/>
              <w:spacing w:line="242" w:lineRule="auto"/>
              <w:ind w:left="64" w:right="21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Disponibilização,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gerência e manutenção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do data center</w:t>
            </w:r>
          </w:p>
        </w:tc>
        <w:tc>
          <w:tcPr>
            <w:tcW w:w="1593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OAK</w:t>
            </w:r>
          </w:p>
        </w:tc>
        <w:tc>
          <w:tcPr>
            <w:tcW w:w="1418" w:type="dxa"/>
            <w:shd w:val="clear" w:color="auto" w:fill="DAECF3"/>
          </w:tcPr>
          <w:p>
            <w:pPr>
              <w:pStyle w:val="TableParagraph"/>
              <w:spacing w:line="270" w:lineRule="atLeast" w:before="129"/>
              <w:ind w:left="65" w:right="54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DATA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CENTE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R</w:t>
            </w:r>
          </w:p>
        </w:tc>
        <w:tc>
          <w:tcPr>
            <w:tcW w:w="1416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R$ 754.845</w:t>
            </w:r>
          </w:p>
        </w:tc>
        <w:tc>
          <w:tcPr>
            <w:tcW w:w="1276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  <w:shd w:val="clear" w:color="auto" w:fill="DAECF3"/>
          </w:tcPr>
          <w:p>
            <w:pPr>
              <w:pStyle w:val="TableParagraph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R$ 754.845</w:t>
            </w:r>
          </w:p>
        </w:tc>
      </w:tr>
      <w:tr>
        <w:trPr>
          <w:trHeight w:val="494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line="185" w:lineRule="exact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Servidores Corporativos/SICCAU Corporativo/Sites/</w:t>
            </w:r>
          </w:p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Aplicativos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48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R$ 207.900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48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48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R$ 207.900</w:t>
            </w:r>
          </w:p>
        </w:tc>
      </w:tr>
      <w:tr>
        <w:trPr>
          <w:trHeight w:val="309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3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Servidores de Banco de Dados Corporativo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R$ 83.160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3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R$ 83.160</w:t>
            </w:r>
          </w:p>
        </w:tc>
      </w:tr>
      <w:tr>
        <w:trPr>
          <w:trHeight w:val="311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Servidor Banco de Dados – GEO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R$ 83.160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R$ 83.160</w:t>
            </w:r>
          </w:p>
        </w:tc>
      </w:tr>
      <w:tr>
        <w:trPr>
          <w:trHeight w:val="308" w:hRule="atLeast"/>
        </w:trPr>
        <w:tc>
          <w:tcPr>
            <w:tcW w:w="5577" w:type="dxa"/>
            <w:gridSpan w:val="3"/>
          </w:tcPr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Servidor de Aplicação/Sistema GEO</w:t>
            </w:r>
          </w:p>
        </w:tc>
        <w:tc>
          <w:tcPr>
            <w:tcW w:w="1416" w:type="dxa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R$ 83.160</w:t>
            </w:r>
          </w:p>
        </w:tc>
        <w:tc>
          <w:tcPr>
            <w:tcW w:w="1276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R$ 83.160</w:t>
            </w:r>
          </w:p>
        </w:tc>
      </w:tr>
      <w:tr>
        <w:trPr>
          <w:trHeight w:val="580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line="244" w:lineRule="auto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Servidor de Aplicação/Banco de Dados/Serviços de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GED/Assinatura Digital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7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R$ 166.320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7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37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R$ 166.320</w:t>
            </w:r>
          </w:p>
        </w:tc>
      </w:tr>
      <w:tr>
        <w:trPr>
          <w:trHeight w:val="582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line="235" w:lineRule="auto"/>
              <w:ind w:left="64" w:right="260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Servidor com Serviço de E-mail Corporativo para até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500 usuários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7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R$ 83.790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7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37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R$ 83.790</w:t>
            </w:r>
          </w:p>
        </w:tc>
      </w:tr>
      <w:tr>
        <w:trPr>
          <w:trHeight w:val="309" w:hRule="atLeast"/>
        </w:trPr>
        <w:tc>
          <w:tcPr>
            <w:tcW w:w="5577" w:type="dxa"/>
            <w:gridSpan w:val="3"/>
          </w:tcPr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Servidores de Domínio - Gestão da Rede</w:t>
            </w:r>
          </w:p>
        </w:tc>
        <w:tc>
          <w:tcPr>
            <w:tcW w:w="1416" w:type="dxa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R$ 41.580</w:t>
            </w:r>
          </w:p>
        </w:tc>
        <w:tc>
          <w:tcPr>
            <w:tcW w:w="1276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R$ 41.580</w:t>
            </w:r>
          </w:p>
        </w:tc>
      </w:tr>
      <w:tr>
        <w:trPr>
          <w:trHeight w:val="582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line="244" w:lineRule="auto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Área de Armazenamento em Storage (1TB) para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armazenamento de arquivos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6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R$ 5.775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6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36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R$ 5.775</w:t>
            </w:r>
          </w:p>
        </w:tc>
      </w:tr>
    </w:tbl>
    <w:p>
      <w:pPr>
        <w:spacing w:after="0"/>
        <w:rPr>
          <w:sz w:val="24"/>
        </w:rPr>
        <w:sectPr>
          <w:pgSz w:w="11900" w:h="16850"/>
          <w:pgMar w:header="568" w:footer="1175" w:top="1660" w:bottom="1380" w:left="1440" w:right="440"/>
        </w:sect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1593"/>
        <w:gridCol w:w="1418"/>
        <w:gridCol w:w="1416"/>
        <w:gridCol w:w="1276"/>
        <w:gridCol w:w="1420"/>
      </w:tblGrid>
      <w:tr>
        <w:trPr>
          <w:trHeight w:val="572" w:hRule="atLeast"/>
        </w:trPr>
        <w:tc>
          <w:tcPr>
            <w:tcW w:w="2566" w:type="dxa"/>
            <w:tcBorders>
              <w:top w:val="nil"/>
            </w:tcBorders>
            <w:shd w:val="clear" w:color="auto" w:fill="DAECF3"/>
          </w:tcPr>
          <w:p>
            <w:pPr>
              <w:pStyle w:val="TableParagraph"/>
              <w:spacing w:before="136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Gestão</w:t>
            </w:r>
          </w:p>
        </w:tc>
        <w:tc>
          <w:tcPr>
            <w:tcW w:w="1593" w:type="dxa"/>
            <w:tcBorders>
              <w:top w:val="nil"/>
            </w:tcBorders>
            <w:shd w:val="clear" w:color="auto" w:fill="DAECF3"/>
          </w:tcPr>
          <w:p>
            <w:pPr>
              <w:pStyle w:val="TableParagraph"/>
              <w:spacing w:before="136"/>
              <w:ind w:left="6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CAU/BR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AECF3"/>
          </w:tcPr>
          <w:p>
            <w:pPr>
              <w:pStyle w:val="TableParagraph"/>
              <w:spacing w:line="266" w:lineRule="exact"/>
              <w:ind w:left="65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Despesas</w:t>
            </w:r>
          </w:p>
          <w:p>
            <w:pPr>
              <w:pStyle w:val="TableParagraph"/>
              <w:spacing w:line="275" w:lineRule="exact" w:before="12"/>
              <w:ind w:left="65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com pessoal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DAECF3"/>
          </w:tcPr>
          <w:p>
            <w:pPr>
              <w:pStyle w:val="TableParagraph"/>
              <w:spacing w:line="266" w:lineRule="exact"/>
              <w:ind w:right="55"/>
              <w:rPr>
                <w:sz w:val="24"/>
              </w:rPr>
            </w:pPr>
            <w:r>
              <w:rPr>
                <w:strike/>
                <w:sz w:val="24"/>
              </w:rPr>
              <w:t>R$</w:t>
            </w:r>
          </w:p>
          <w:p>
            <w:pPr>
              <w:pStyle w:val="TableParagraph"/>
              <w:spacing w:line="275" w:lineRule="exact" w:before="12"/>
              <w:ind w:right="53"/>
              <w:rPr>
                <w:sz w:val="24"/>
              </w:rPr>
            </w:pPr>
            <w:r>
              <w:rPr>
                <w:strike/>
                <w:sz w:val="24"/>
              </w:rPr>
              <w:t>1.079.811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DAECF3"/>
          </w:tcPr>
          <w:p>
            <w:pPr>
              <w:pStyle w:val="TableParagraph"/>
              <w:spacing w:before="136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  <w:tcBorders>
              <w:top w:val="nil"/>
            </w:tcBorders>
            <w:shd w:val="clear" w:color="auto" w:fill="DAECF3"/>
          </w:tcPr>
          <w:p>
            <w:pPr>
              <w:pStyle w:val="TableParagraph"/>
              <w:spacing w:line="266" w:lineRule="exact"/>
              <w:ind w:right="52"/>
              <w:rPr>
                <w:sz w:val="24"/>
              </w:rPr>
            </w:pPr>
            <w:r>
              <w:rPr>
                <w:strike/>
                <w:sz w:val="24"/>
              </w:rPr>
              <w:t>R$</w:t>
            </w:r>
          </w:p>
          <w:p>
            <w:pPr>
              <w:pStyle w:val="TableParagraph"/>
              <w:spacing w:line="275" w:lineRule="exact" w:before="12"/>
              <w:ind w:right="53"/>
              <w:rPr>
                <w:sz w:val="24"/>
              </w:rPr>
            </w:pPr>
            <w:r>
              <w:rPr>
                <w:strike/>
                <w:sz w:val="24"/>
              </w:rPr>
              <w:t>1.079.811</w:t>
            </w:r>
          </w:p>
        </w:tc>
      </w:tr>
      <w:tr>
        <w:trPr>
          <w:trHeight w:val="313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9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Gerente do Centro de Serviços Compartilhados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R$ 307.380</w:t>
            </w:r>
          </w:p>
        </w:tc>
        <w:tc>
          <w:tcPr>
            <w:tcW w:w="1276" w:type="dxa"/>
          </w:tcPr>
          <w:p>
            <w:pPr>
              <w:pStyle w:val="TableParagraph"/>
              <w:spacing w:before="5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5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R$ 307.380</w:t>
            </w:r>
          </w:p>
        </w:tc>
      </w:tr>
      <w:tr>
        <w:trPr>
          <w:trHeight w:val="311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Coordenador Técnico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R$ 257.477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R$ 257.477</w:t>
            </w:r>
          </w:p>
        </w:tc>
      </w:tr>
      <w:tr>
        <w:trPr>
          <w:trHeight w:val="309" w:hRule="atLeast"/>
        </w:trPr>
        <w:tc>
          <w:tcPr>
            <w:tcW w:w="5577" w:type="dxa"/>
            <w:gridSpan w:val="3"/>
          </w:tcPr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Coordenador de Tecnologia da Informação (TI)</w:t>
            </w:r>
          </w:p>
        </w:tc>
        <w:tc>
          <w:tcPr>
            <w:tcW w:w="1416" w:type="dxa"/>
          </w:tcPr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R$ 257.477</w:t>
            </w:r>
          </w:p>
        </w:tc>
        <w:tc>
          <w:tcPr>
            <w:tcW w:w="1276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R$ 257.477</w:t>
            </w:r>
          </w:p>
        </w:tc>
      </w:tr>
      <w:tr>
        <w:trPr>
          <w:trHeight w:val="309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Coordenador de Geotecnologia (GEO)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R$ 257.477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R$ 257.477</w:t>
            </w:r>
          </w:p>
        </w:tc>
      </w:tr>
      <w:tr>
        <w:trPr>
          <w:trHeight w:val="316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Coordenador da Rede Integrada de Atendimento (RIA)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19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</w:tr>
      <w:tr>
        <w:trPr>
          <w:trHeight w:val="913" w:hRule="atLeast"/>
        </w:trPr>
        <w:tc>
          <w:tcPr>
            <w:tcW w:w="2566" w:type="dxa"/>
            <w:shd w:val="clear" w:color="auto" w:fill="DAECF3"/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Operação</w:t>
            </w:r>
          </w:p>
        </w:tc>
        <w:tc>
          <w:tcPr>
            <w:tcW w:w="1593" w:type="dxa"/>
            <w:shd w:val="clear" w:color="auto" w:fill="DAECF3"/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CAU/BR</w:t>
            </w:r>
          </w:p>
        </w:tc>
        <w:tc>
          <w:tcPr>
            <w:tcW w:w="1418" w:type="dxa"/>
            <w:shd w:val="clear" w:color="auto" w:fill="DAECF3"/>
          </w:tcPr>
          <w:p>
            <w:pPr>
              <w:pStyle w:val="TableParagraph"/>
              <w:spacing w:before="156"/>
              <w:ind w:left="65" w:right="138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Despesas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com pessoal</w:t>
            </w:r>
          </w:p>
        </w:tc>
        <w:tc>
          <w:tcPr>
            <w:tcW w:w="1416" w:type="dxa"/>
            <w:shd w:val="clear" w:color="auto" w:fill="DAECF3"/>
          </w:tcPr>
          <w:p>
            <w:pPr>
              <w:pStyle w:val="TableParagraph"/>
              <w:spacing w:before="156"/>
              <w:ind w:left="385" w:right="36" w:firstLine="676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R$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1.540.955</w:t>
            </w:r>
          </w:p>
        </w:tc>
        <w:tc>
          <w:tcPr>
            <w:tcW w:w="1276" w:type="dxa"/>
            <w:shd w:val="clear" w:color="auto" w:fill="DAECF3"/>
          </w:tcPr>
          <w:p>
            <w:pPr>
              <w:pStyle w:val="TableParagraph"/>
              <w:spacing w:before="5"/>
              <w:jc w:val="left"/>
              <w:rPr>
                <w:sz w:val="25"/>
              </w:rPr>
            </w:pPr>
          </w:p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  <w:shd w:val="clear" w:color="auto" w:fill="DAECF3"/>
          </w:tcPr>
          <w:p>
            <w:pPr>
              <w:pStyle w:val="TableParagraph"/>
              <w:spacing w:before="156"/>
              <w:ind w:left="389" w:right="36" w:firstLine="67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R$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1.540.955</w:t>
            </w:r>
          </w:p>
        </w:tc>
      </w:tr>
      <w:tr>
        <w:trPr>
          <w:trHeight w:val="587" w:hRule="atLeast"/>
        </w:trPr>
        <w:tc>
          <w:tcPr>
            <w:tcW w:w="5577" w:type="dxa"/>
            <w:gridSpan w:val="3"/>
          </w:tcPr>
          <w:p>
            <w:pPr>
              <w:pStyle w:val="TableParagraph"/>
              <w:tabs>
                <w:tab w:pos="1151" w:val="left" w:leader="none"/>
                <w:tab w:pos="1669" w:val="left" w:leader="none"/>
                <w:tab w:pos="3261" w:val="left" w:leader="none"/>
                <w:tab w:pos="3777" w:val="left" w:leader="none"/>
                <w:tab w:pos="5146" w:val="left" w:leader="none"/>
              </w:tabs>
              <w:spacing w:line="235" w:lineRule="auto" w:before="7"/>
              <w:ind w:left="64" w:right="187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Analista</w:t>
              <w:tab/>
              <w:t>de</w:t>
              <w:tab/>
              <w:t>Infraestrutura</w:t>
              <w:tab/>
              <w:t>de</w:t>
              <w:tab/>
              <w:t>Tecnologia</w:t>
              <w:tab/>
            </w:r>
            <w:r>
              <w:rPr>
                <w:strike/>
                <w:spacing w:val="-14"/>
                <w:sz w:val="24"/>
              </w:rPr>
              <w:t>da</w:t>
            </w:r>
            <w:r>
              <w:rPr>
                <w:strike w:val="0"/>
                <w:spacing w:val="-14"/>
                <w:sz w:val="24"/>
              </w:rPr>
              <w:t> </w:t>
            </w:r>
            <w:r>
              <w:rPr>
                <w:strike/>
                <w:sz w:val="24"/>
              </w:rPr>
              <w:t>Informação</w:t>
            </w:r>
            <w:r>
              <w:rPr>
                <w:strike/>
                <w:spacing w:val="-1"/>
                <w:sz w:val="24"/>
              </w:rPr>
              <w:t> </w:t>
            </w:r>
            <w:r>
              <w:rPr>
                <w:strike/>
                <w:sz w:val="24"/>
              </w:rPr>
              <w:t>(2x)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R$ 215.892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32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R$ 215.892</w:t>
            </w:r>
          </w:p>
        </w:tc>
      </w:tr>
      <w:tr>
        <w:trPr>
          <w:trHeight w:val="309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Analista de Processos CoorTec (3x)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R$ 323.823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R$ 323.823</w:t>
            </w:r>
          </w:p>
        </w:tc>
      </w:tr>
      <w:tr>
        <w:trPr>
          <w:trHeight w:val="311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Analista Técnico CoorTec (3x)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R$ 373.769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R$ 373.769</w:t>
            </w:r>
          </w:p>
        </w:tc>
      </w:tr>
      <w:tr>
        <w:trPr>
          <w:trHeight w:val="309" w:hRule="atLeast"/>
        </w:trPr>
        <w:tc>
          <w:tcPr>
            <w:tcW w:w="5577" w:type="dxa"/>
            <w:gridSpan w:val="3"/>
          </w:tcPr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Analista de Processos RIA (2x)</w:t>
            </w:r>
          </w:p>
        </w:tc>
        <w:tc>
          <w:tcPr>
            <w:tcW w:w="1416" w:type="dxa"/>
          </w:tcPr>
          <w:p>
            <w:pPr>
              <w:pStyle w:val="TableParagraph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276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</w:tr>
      <w:tr>
        <w:trPr>
          <w:trHeight w:val="308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Analista Técnico RIA (1x)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19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</w:tr>
      <w:tr>
        <w:trPr>
          <w:trHeight w:val="311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Analista de Sistemas (2x)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R$ 215.527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R$ 215.527</w:t>
            </w:r>
          </w:p>
        </w:tc>
      </w:tr>
      <w:tr>
        <w:trPr>
          <w:trHeight w:val="308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Analista de Geotecnologia (2x)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R$ 215.882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R$ 215.882</w:t>
            </w:r>
          </w:p>
        </w:tc>
      </w:tr>
      <w:tr>
        <w:trPr>
          <w:trHeight w:val="308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Assistente de Informática (2x)</w:t>
            </w:r>
          </w:p>
        </w:tc>
        <w:tc>
          <w:tcPr>
            <w:tcW w:w="1416" w:type="dxa"/>
          </w:tcPr>
          <w:p>
            <w:pPr>
              <w:pStyle w:val="TableParagraph"/>
              <w:spacing w:before="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R$ 130.709</w:t>
            </w:r>
          </w:p>
        </w:tc>
        <w:tc>
          <w:tcPr>
            <w:tcW w:w="1276" w:type="dxa"/>
          </w:tcPr>
          <w:p>
            <w:pPr>
              <w:pStyle w:val="TableParagraph"/>
              <w:spacing w:before="2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2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R$ 130.709</w:t>
            </w:r>
          </w:p>
        </w:tc>
      </w:tr>
      <w:tr>
        <w:trPr>
          <w:trHeight w:val="316" w:hRule="atLeast"/>
        </w:trPr>
        <w:tc>
          <w:tcPr>
            <w:tcW w:w="5577" w:type="dxa"/>
            <w:gridSpan w:val="3"/>
          </w:tcPr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Assistente Técnico</w:t>
            </w:r>
          </w:p>
        </w:tc>
        <w:tc>
          <w:tcPr>
            <w:tcW w:w="1416" w:type="dxa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R$ 65.354</w:t>
            </w:r>
          </w:p>
        </w:tc>
        <w:tc>
          <w:tcPr>
            <w:tcW w:w="1276" w:type="dxa"/>
          </w:tcPr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R$ 65.354</w:t>
            </w:r>
          </w:p>
        </w:tc>
      </w:tr>
      <w:tr>
        <w:trPr>
          <w:trHeight w:val="863" w:hRule="atLeast"/>
        </w:trPr>
        <w:tc>
          <w:tcPr>
            <w:tcW w:w="2566" w:type="dxa"/>
            <w:shd w:val="clear" w:color="auto" w:fill="DAECF3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Reuniões</w:t>
            </w:r>
          </w:p>
        </w:tc>
        <w:tc>
          <w:tcPr>
            <w:tcW w:w="1593" w:type="dxa"/>
            <w:shd w:val="clear" w:color="auto" w:fill="DAECF3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ind w:left="6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CG-CSC</w:t>
            </w:r>
          </w:p>
        </w:tc>
        <w:tc>
          <w:tcPr>
            <w:tcW w:w="1418" w:type="dxa"/>
            <w:shd w:val="clear" w:color="auto" w:fill="DAECF3"/>
          </w:tcPr>
          <w:p>
            <w:pPr>
              <w:pStyle w:val="TableParagraph"/>
              <w:spacing w:line="242" w:lineRule="auto"/>
              <w:ind w:left="65" w:right="42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Despesas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com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reuniões</w:t>
            </w:r>
          </w:p>
        </w:tc>
        <w:tc>
          <w:tcPr>
            <w:tcW w:w="1416" w:type="dxa"/>
            <w:shd w:val="clear" w:color="auto" w:fill="DAECF3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R$ 120.000</w:t>
            </w:r>
          </w:p>
        </w:tc>
        <w:tc>
          <w:tcPr>
            <w:tcW w:w="1276" w:type="dxa"/>
            <w:shd w:val="clear" w:color="auto" w:fill="DAECF3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  <w:shd w:val="clear" w:color="auto" w:fill="DAECF3"/>
          </w:tcPr>
          <w:p>
            <w:pPr>
              <w:pStyle w:val="TableParagraph"/>
              <w:jc w:val="left"/>
              <w:rPr>
                <w:sz w:val="24"/>
              </w:rPr>
            </w:pPr>
          </w:p>
          <w:p>
            <w:pPr>
              <w:pStyle w:val="TableParagraph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R$ 120.000</w:t>
            </w:r>
          </w:p>
        </w:tc>
      </w:tr>
      <w:tr>
        <w:trPr>
          <w:trHeight w:val="321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1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Quatro Reuniões Anuais Ordinárias</w:t>
            </w:r>
          </w:p>
        </w:tc>
        <w:tc>
          <w:tcPr>
            <w:tcW w:w="1416" w:type="dxa"/>
          </w:tcPr>
          <w:p>
            <w:pPr>
              <w:pStyle w:val="TableParagraph"/>
              <w:spacing w:before="7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R$ 120.000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7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R$ 120.000</w:t>
            </w:r>
          </w:p>
        </w:tc>
      </w:tr>
      <w:tr>
        <w:trPr>
          <w:trHeight w:val="570" w:hRule="atLeast"/>
        </w:trPr>
        <w:tc>
          <w:tcPr>
            <w:tcW w:w="2566" w:type="dxa"/>
            <w:shd w:val="clear" w:color="auto" w:fill="DAECF3"/>
          </w:tcPr>
          <w:p>
            <w:pPr>
              <w:pStyle w:val="TableParagraph"/>
              <w:spacing w:line="264" w:lineRule="exact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Treinamento e apoio</w:t>
            </w:r>
          </w:p>
          <w:p>
            <w:pPr>
              <w:pStyle w:val="TableParagraph"/>
              <w:spacing w:line="275" w:lineRule="exact" w:before="1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institucional</w:t>
            </w:r>
          </w:p>
        </w:tc>
        <w:tc>
          <w:tcPr>
            <w:tcW w:w="1593" w:type="dxa"/>
            <w:shd w:val="clear" w:color="auto" w:fill="DAECF3"/>
          </w:tcPr>
          <w:p>
            <w:pPr>
              <w:pStyle w:val="TableParagraph"/>
              <w:spacing w:before="129"/>
              <w:ind w:left="6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CAU/BR</w:t>
            </w:r>
          </w:p>
        </w:tc>
        <w:tc>
          <w:tcPr>
            <w:tcW w:w="1418" w:type="dxa"/>
            <w:shd w:val="clear" w:color="auto" w:fill="DAECF3"/>
          </w:tcPr>
          <w:p>
            <w:pPr>
              <w:pStyle w:val="TableParagraph"/>
              <w:spacing w:line="264" w:lineRule="exact"/>
              <w:ind w:left="65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Capacitação</w:t>
            </w:r>
          </w:p>
          <w:p>
            <w:pPr>
              <w:pStyle w:val="TableParagraph"/>
              <w:spacing w:line="275" w:lineRule="exact" w:before="12"/>
              <w:ind w:left="65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de pessoal</w:t>
            </w:r>
          </w:p>
        </w:tc>
        <w:tc>
          <w:tcPr>
            <w:tcW w:w="1416" w:type="dxa"/>
            <w:shd w:val="clear" w:color="auto" w:fill="DAECF3"/>
          </w:tcPr>
          <w:p>
            <w:pPr>
              <w:pStyle w:val="TableParagraph"/>
              <w:spacing w:before="129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R$ 163.050</w:t>
            </w:r>
          </w:p>
        </w:tc>
        <w:tc>
          <w:tcPr>
            <w:tcW w:w="1276" w:type="dxa"/>
            <w:shd w:val="clear" w:color="auto" w:fill="DAECF3"/>
          </w:tcPr>
          <w:p>
            <w:pPr>
              <w:pStyle w:val="TableParagraph"/>
              <w:spacing w:before="129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  <w:shd w:val="clear" w:color="auto" w:fill="DAECF3"/>
          </w:tcPr>
          <w:p>
            <w:pPr>
              <w:pStyle w:val="TableParagraph"/>
              <w:spacing w:before="129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R$ 163.050</w:t>
            </w:r>
          </w:p>
        </w:tc>
      </w:tr>
      <w:tr>
        <w:trPr>
          <w:trHeight w:val="880" w:hRule="atLeast"/>
        </w:trPr>
        <w:tc>
          <w:tcPr>
            <w:tcW w:w="5577" w:type="dxa"/>
            <w:gridSpan w:val="3"/>
          </w:tcPr>
          <w:p>
            <w:pPr>
              <w:pStyle w:val="TableParagraph"/>
              <w:ind w:left="64" w:right="260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Apoio institucional aos CAU/UF para assessoria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técnica em processos e treinamento na implantação do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módulo gerencial</w:t>
            </w:r>
          </w:p>
        </w:tc>
        <w:tc>
          <w:tcPr>
            <w:tcW w:w="1416" w:type="dxa"/>
          </w:tcPr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276" w:type="dxa"/>
          </w:tcPr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9"/>
              <w:jc w:val="left"/>
              <w:rPr>
                <w:sz w:val="24"/>
              </w:rPr>
            </w:pPr>
          </w:p>
          <w:p>
            <w:pPr>
              <w:pStyle w:val="TableParagraph"/>
              <w:ind w:right="19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</w:tr>
      <w:tr>
        <w:trPr>
          <w:trHeight w:val="580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line="244" w:lineRule="auto"/>
              <w:ind w:left="64" w:right="260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Apoio institucional aos CAU/UF na elaboração de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Plano Diretor de Tecnologia da Informação</w:t>
            </w:r>
          </w:p>
        </w:tc>
        <w:tc>
          <w:tcPr>
            <w:tcW w:w="1416" w:type="dxa"/>
          </w:tcPr>
          <w:p>
            <w:pPr>
              <w:pStyle w:val="TableParagraph"/>
              <w:spacing w:before="134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34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34"/>
              <w:ind w:right="19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</w:tr>
      <w:tr>
        <w:trPr>
          <w:trHeight w:val="1166" w:hRule="atLeast"/>
        </w:trPr>
        <w:tc>
          <w:tcPr>
            <w:tcW w:w="5577" w:type="dxa"/>
            <w:gridSpan w:val="3"/>
          </w:tcPr>
          <w:p>
            <w:pPr>
              <w:pStyle w:val="TableParagraph"/>
              <w:tabs>
                <w:tab w:pos="657" w:val="left" w:leader="none"/>
                <w:tab w:pos="1633" w:val="left" w:leader="none"/>
                <w:tab w:pos="3276" w:val="left" w:leader="none"/>
                <w:tab w:pos="5321" w:val="left" w:leader="none"/>
              </w:tabs>
              <w:spacing w:line="242" w:lineRule="auto"/>
              <w:ind w:left="64" w:right="12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10 Viagens (Diárias e Passagens) para 02 funcionários do CAU/BR,  no  acompanhamento  de  treinamentos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 do</w:t>
              <w:tab/>
              <w:t>IGEO.</w:t>
              <w:tab/>
              <w:t>Treinamento,</w:t>
              <w:tab/>
              <w:t>acompanhamento</w:t>
              <w:tab/>
            </w:r>
            <w:r>
              <w:rPr>
                <w:strike/>
                <w:spacing w:val="-14"/>
                <w:sz w:val="24"/>
              </w:rPr>
              <w:t>de </w:t>
            </w:r>
            <w:r>
              <w:rPr>
                <w:strike/>
                <w:sz w:val="24"/>
              </w:rPr>
              <w:t>tarefas/atividades - período máximo de 4</w:t>
            </w:r>
            <w:r>
              <w:rPr>
                <w:strike/>
                <w:spacing w:val="-1"/>
                <w:sz w:val="24"/>
              </w:rPr>
              <w:t> </w:t>
            </w:r>
            <w:r>
              <w:rPr>
                <w:strike/>
                <w:sz w:val="24"/>
              </w:rPr>
              <w:t>dias</w:t>
            </w:r>
          </w:p>
        </w:tc>
        <w:tc>
          <w:tcPr>
            <w:tcW w:w="1416" w:type="dxa"/>
          </w:tcPr>
          <w:p>
            <w:pPr>
              <w:pStyle w:val="TableParagraph"/>
              <w:spacing w:before="1"/>
              <w:jc w:val="left"/>
              <w:rPr>
                <w:sz w:val="37"/>
              </w:rPr>
            </w:pPr>
          </w:p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R$ 50.250</w:t>
            </w:r>
          </w:p>
        </w:tc>
        <w:tc>
          <w:tcPr>
            <w:tcW w:w="1276" w:type="dxa"/>
          </w:tcPr>
          <w:p>
            <w:pPr>
              <w:pStyle w:val="TableParagraph"/>
              <w:spacing w:before="1"/>
              <w:jc w:val="left"/>
              <w:rPr>
                <w:sz w:val="37"/>
              </w:rPr>
            </w:pPr>
          </w:p>
          <w:p>
            <w:pPr>
              <w:pStyle w:val="TableParagraph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spacing w:before="1"/>
              <w:jc w:val="left"/>
              <w:rPr>
                <w:sz w:val="37"/>
              </w:rPr>
            </w:pPr>
          </w:p>
          <w:p>
            <w:pPr>
              <w:pStyle w:val="TableParagraph"/>
              <w:ind w:right="27"/>
              <w:rPr>
                <w:sz w:val="24"/>
              </w:rPr>
            </w:pPr>
            <w:r>
              <w:rPr>
                <w:strike/>
                <w:sz w:val="24"/>
              </w:rPr>
              <w:t>R$ 50.250</w:t>
            </w:r>
          </w:p>
        </w:tc>
      </w:tr>
      <w:tr>
        <w:trPr>
          <w:trHeight w:val="2272" w:hRule="atLeast"/>
        </w:trPr>
        <w:tc>
          <w:tcPr>
            <w:tcW w:w="5577" w:type="dxa"/>
            <w:gridSpan w:val="3"/>
          </w:tcPr>
          <w:p>
            <w:pPr>
              <w:pStyle w:val="TableParagraph"/>
              <w:spacing w:before="5"/>
              <w:jc w:val="left"/>
              <w:rPr>
                <w:sz w:val="21"/>
              </w:rPr>
            </w:pPr>
          </w:p>
          <w:p>
            <w:pPr>
              <w:pStyle w:val="TableParagraph"/>
              <w:ind w:left="64" w:right="9"/>
              <w:jc w:val="both"/>
              <w:rPr>
                <w:sz w:val="24"/>
              </w:rPr>
            </w:pPr>
            <w:r>
              <w:rPr>
                <w:strike/>
                <w:sz w:val="24"/>
              </w:rPr>
              <w:t>Treinamento de Equipes SICCAU. Treinamento de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equipes pelo Brasil dividido nas 5 regiões do País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objetivando a padronização e a linearidade do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conhecimento nos CAU/UF - após contratação do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Concurso Público - Total de 80 horas sendo 16 horas</w:t>
            </w:r>
            <w:r>
              <w:rPr>
                <w:strike w:val="0"/>
                <w:sz w:val="24"/>
              </w:rPr>
              <w:t>  </w:t>
            </w:r>
            <w:r>
              <w:rPr>
                <w:strike/>
                <w:sz w:val="24"/>
              </w:rPr>
              <w:t>por região. Considera-se três facilitadores.</w:t>
            </w:r>
          </w:p>
        </w:tc>
        <w:tc>
          <w:tcPr>
            <w:tcW w:w="141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R$ 112.800</w:t>
            </w:r>
          </w:p>
        </w:tc>
        <w:tc>
          <w:tcPr>
            <w:tcW w:w="1276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right="18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20" w:type="dxa"/>
          </w:tcPr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jc w:val="left"/>
              <w:rPr>
                <w:sz w:val="33"/>
              </w:rPr>
            </w:pPr>
          </w:p>
          <w:p>
            <w:pPr>
              <w:pStyle w:val="TableParagraph"/>
              <w:spacing w:before="1"/>
              <w:ind w:right="31"/>
              <w:rPr>
                <w:sz w:val="24"/>
              </w:rPr>
            </w:pPr>
            <w:r>
              <w:rPr>
                <w:strike/>
                <w:sz w:val="24"/>
              </w:rPr>
              <w:t>R$ 112.800</w:t>
            </w:r>
          </w:p>
        </w:tc>
      </w:tr>
    </w:tbl>
    <w:p>
      <w:pPr>
        <w:spacing w:after="0"/>
        <w:rPr>
          <w:sz w:val="24"/>
        </w:rPr>
        <w:sectPr>
          <w:pgSz w:w="11900" w:h="16850"/>
          <w:pgMar w:header="568" w:footer="1175" w:top="1660" w:bottom="1360" w:left="1440" w:right="440"/>
        </w:sect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2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6"/>
        <w:gridCol w:w="1418"/>
        <w:gridCol w:w="1418"/>
        <w:gridCol w:w="1415"/>
        <w:gridCol w:w="1279"/>
        <w:gridCol w:w="1418"/>
      </w:tblGrid>
      <w:tr>
        <w:trPr>
          <w:trHeight w:val="585" w:hRule="atLeast"/>
        </w:trPr>
        <w:tc>
          <w:tcPr>
            <w:tcW w:w="2566" w:type="dxa"/>
            <w:shd w:val="clear" w:color="auto" w:fill="92CDDC"/>
          </w:tcPr>
          <w:p>
            <w:pPr>
              <w:pStyle w:val="TableParagraph"/>
              <w:spacing w:before="137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RIA</w:t>
            </w:r>
          </w:p>
        </w:tc>
        <w:tc>
          <w:tcPr>
            <w:tcW w:w="1418" w:type="dxa"/>
            <w:shd w:val="clear" w:color="auto" w:fill="92CDDC"/>
          </w:tcPr>
          <w:p>
            <w:pPr>
              <w:pStyle w:val="TableParagraph"/>
              <w:spacing w:before="137"/>
              <w:ind w:left="69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TAQ</w:t>
            </w:r>
          </w:p>
        </w:tc>
        <w:tc>
          <w:tcPr>
            <w:tcW w:w="1418" w:type="dxa"/>
            <w:shd w:val="clear" w:color="auto" w:fill="92CDDC"/>
          </w:tcPr>
          <w:p>
            <w:pPr>
              <w:pStyle w:val="TableParagraph"/>
              <w:spacing w:line="237" w:lineRule="auto"/>
              <w:ind w:left="65" w:right="18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Atendiment</w:t>
            </w:r>
            <w:r>
              <w:rPr>
                <w:strike w:val="0"/>
                <w:sz w:val="24"/>
              </w:rPr>
              <w:t> </w:t>
            </w:r>
            <w:r>
              <w:rPr>
                <w:strike/>
                <w:sz w:val="24"/>
              </w:rPr>
              <w:t>o</w:t>
            </w:r>
          </w:p>
        </w:tc>
        <w:tc>
          <w:tcPr>
            <w:tcW w:w="1415" w:type="dxa"/>
            <w:shd w:val="clear" w:color="auto" w:fill="92CDDC"/>
          </w:tcPr>
          <w:p>
            <w:pPr>
              <w:pStyle w:val="TableParagraph"/>
              <w:spacing w:before="137"/>
              <w:ind w:right="28"/>
              <w:rPr>
                <w:sz w:val="24"/>
              </w:rPr>
            </w:pPr>
            <w:r>
              <w:rPr>
                <w:strike/>
                <w:sz w:val="24"/>
              </w:rPr>
              <w:t>R$ 679.498</w:t>
            </w:r>
          </w:p>
        </w:tc>
        <w:tc>
          <w:tcPr>
            <w:tcW w:w="1279" w:type="dxa"/>
            <w:shd w:val="clear" w:color="auto" w:fill="92CDDC"/>
          </w:tcPr>
          <w:p>
            <w:pPr>
              <w:pStyle w:val="TableParagraph"/>
              <w:spacing w:before="137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18" w:type="dxa"/>
            <w:shd w:val="clear" w:color="auto" w:fill="92CDDC"/>
          </w:tcPr>
          <w:p>
            <w:pPr>
              <w:pStyle w:val="TableParagraph"/>
              <w:spacing w:before="137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R$ 679.498</w:t>
            </w:r>
          </w:p>
        </w:tc>
      </w:tr>
      <w:tr>
        <w:trPr>
          <w:trHeight w:val="313" w:hRule="atLeast"/>
        </w:trPr>
        <w:tc>
          <w:tcPr>
            <w:tcW w:w="5402" w:type="dxa"/>
            <w:gridSpan w:val="3"/>
          </w:tcPr>
          <w:p>
            <w:pPr>
              <w:pStyle w:val="TableParagraph"/>
              <w:spacing w:before="9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Operação Atendimento Call Center (TAQ)</w:t>
            </w:r>
          </w:p>
        </w:tc>
        <w:tc>
          <w:tcPr>
            <w:tcW w:w="1415" w:type="dxa"/>
          </w:tcPr>
          <w:p>
            <w:pPr>
              <w:pStyle w:val="TableParagraph"/>
              <w:spacing w:before="5"/>
              <w:ind w:right="28"/>
              <w:rPr>
                <w:sz w:val="24"/>
              </w:rPr>
            </w:pPr>
            <w:r>
              <w:rPr>
                <w:strike/>
                <w:sz w:val="24"/>
              </w:rPr>
              <w:t>R$ 547.498</w:t>
            </w:r>
          </w:p>
        </w:tc>
        <w:tc>
          <w:tcPr>
            <w:tcW w:w="1279" w:type="dxa"/>
          </w:tcPr>
          <w:p>
            <w:pPr>
              <w:pStyle w:val="TableParagraph"/>
              <w:spacing w:before="5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18" w:type="dxa"/>
          </w:tcPr>
          <w:p>
            <w:pPr>
              <w:pStyle w:val="TableParagraph"/>
              <w:spacing w:before="5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R$ 547.498</w:t>
            </w:r>
          </w:p>
        </w:tc>
      </w:tr>
      <w:tr>
        <w:trPr>
          <w:trHeight w:val="309" w:hRule="atLeast"/>
        </w:trPr>
        <w:tc>
          <w:tcPr>
            <w:tcW w:w="5402" w:type="dxa"/>
            <w:gridSpan w:val="3"/>
          </w:tcPr>
          <w:p>
            <w:pPr>
              <w:pStyle w:val="TableParagraph"/>
              <w:spacing w:before="2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Ligações 0800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"/>
              <w:ind w:right="28"/>
              <w:rPr>
                <w:sz w:val="24"/>
              </w:rPr>
            </w:pPr>
            <w:r>
              <w:rPr>
                <w:strike/>
                <w:sz w:val="24"/>
              </w:rPr>
              <w:t>R$ 132.000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2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right="32"/>
              <w:rPr>
                <w:sz w:val="24"/>
              </w:rPr>
            </w:pPr>
            <w:r>
              <w:rPr>
                <w:strike/>
                <w:sz w:val="24"/>
              </w:rPr>
              <w:t>R$ 132.000</w:t>
            </w:r>
          </w:p>
        </w:tc>
      </w:tr>
      <w:tr>
        <w:trPr>
          <w:trHeight w:val="316" w:hRule="atLeast"/>
        </w:trPr>
        <w:tc>
          <w:tcPr>
            <w:tcW w:w="5402" w:type="dxa"/>
            <w:gridSpan w:val="3"/>
          </w:tcPr>
          <w:p>
            <w:pPr>
              <w:pStyle w:val="TableParagraph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Rede Social</w:t>
            </w:r>
          </w:p>
        </w:tc>
        <w:tc>
          <w:tcPr>
            <w:tcW w:w="1415" w:type="dxa"/>
          </w:tcPr>
          <w:p>
            <w:pPr>
              <w:pStyle w:val="TableParagraph"/>
              <w:ind w:right="16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279" w:type="dxa"/>
          </w:tcPr>
          <w:p>
            <w:pPr>
              <w:pStyle w:val="TableParagraph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18" w:type="dxa"/>
          </w:tcPr>
          <w:p>
            <w:pPr>
              <w:pStyle w:val="TableParagraph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</w:tr>
      <w:tr>
        <w:trPr>
          <w:trHeight w:val="570" w:hRule="atLeast"/>
        </w:trPr>
        <w:tc>
          <w:tcPr>
            <w:tcW w:w="5402" w:type="dxa"/>
            <w:gridSpan w:val="3"/>
            <w:shd w:val="clear" w:color="auto" w:fill="DAECF3"/>
          </w:tcPr>
          <w:p>
            <w:pPr>
              <w:pStyle w:val="TableParagraph"/>
              <w:spacing w:before="129"/>
              <w:ind w:left="64"/>
              <w:jc w:val="left"/>
              <w:rPr>
                <w:sz w:val="24"/>
              </w:rPr>
            </w:pPr>
            <w:r>
              <w:rPr>
                <w:strike/>
                <w:sz w:val="24"/>
              </w:rPr>
              <w:t>TOTAL</w:t>
            </w:r>
          </w:p>
        </w:tc>
        <w:tc>
          <w:tcPr>
            <w:tcW w:w="1415" w:type="dxa"/>
            <w:shd w:val="clear" w:color="auto" w:fill="DAECF3"/>
          </w:tcPr>
          <w:p>
            <w:pPr>
              <w:pStyle w:val="TableParagraph"/>
              <w:spacing w:line="264" w:lineRule="exact"/>
              <w:ind w:right="52"/>
              <w:rPr>
                <w:sz w:val="24"/>
              </w:rPr>
            </w:pPr>
            <w:r>
              <w:rPr>
                <w:strike/>
                <w:sz w:val="24"/>
              </w:rPr>
              <w:t>R$</w:t>
            </w:r>
          </w:p>
          <w:p>
            <w:pPr>
              <w:pStyle w:val="TableParagraph"/>
              <w:spacing w:line="275" w:lineRule="exact" w:before="12"/>
              <w:ind w:right="50"/>
              <w:rPr>
                <w:sz w:val="24"/>
              </w:rPr>
            </w:pPr>
            <w:r>
              <w:rPr>
                <w:strike/>
                <w:sz w:val="24"/>
              </w:rPr>
              <w:t>5.996.748</w:t>
            </w:r>
          </w:p>
        </w:tc>
        <w:tc>
          <w:tcPr>
            <w:tcW w:w="1279" w:type="dxa"/>
            <w:shd w:val="clear" w:color="auto" w:fill="DAECF3"/>
          </w:tcPr>
          <w:p>
            <w:pPr>
              <w:pStyle w:val="TableParagraph"/>
              <w:spacing w:before="129"/>
              <w:ind w:right="20"/>
              <w:rPr>
                <w:sz w:val="24"/>
              </w:rPr>
            </w:pPr>
            <w:r>
              <w:rPr>
                <w:strike/>
                <w:sz w:val="24"/>
              </w:rPr>
              <w:t>R$ 0</w:t>
            </w:r>
          </w:p>
        </w:tc>
        <w:tc>
          <w:tcPr>
            <w:tcW w:w="1418" w:type="dxa"/>
            <w:shd w:val="clear" w:color="auto" w:fill="DAECF3"/>
          </w:tcPr>
          <w:p>
            <w:pPr>
              <w:pStyle w:val="TableParagraph"/>
              <w:spacing w:line="264" w:lineRule="exact"/>
              <w:ind w:right="53"/>
              <w:rPr>
                <w:sz w:val="24"/>
              </w:rPr>
            </w:pPr>
            <w:r>
              <w:rPr>
                <w:strike/>
                <w:sz w:val="24"/>
              </w:rPr>
              <w:t>R$</w:t>
            </w:r>
          </w:p>
          <w:p>
            <w:pPr>
              <w:pStyle w:val="TableParagraph"/>
              <w:spacing w:line="275" w:lineRule="exact" w:before="12"/>
              <w:ind w:right="54"/>
              <w:rPr>
                <w:sz w:val="24"/>
              </w:rPr>
            </w:pPr>
            <w:r>
              <w:rPr>
                <w:strike/>
                <w:sz w:val="24"/>
              </w:rPr>
              <w:t>5.996.748</w:t>
            </w:r>
          </w:p>
        </w:tc>
      </w:tr>
    </w:tbl>
    <w:sectPr>
      <w:pgSz w:w="11900" w:h="16850"/>
      <w:pgMar w:header="568" w:footer="1175" w:top="1660" w:bottom="1360" w:left="1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07791">
          <wp:simplePos x="0" y="0"/>
          <wp:positionH relativeFrom="page">
            <wp:posOffset>0</wp:posOffset>
          </wp:positionH>
          <wp:positionV relativeFrom="page">
            <wp:posOffset>9667764</wp:posOffset>
          </wp:positionV>
          <wp:extent cx="7555992" cy="440468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404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68.308533pt;width:9.050pt;height:12.1pt;mso-position-horizontal-relative:page;mso-position-vertical-relative:page;z-index:-2764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268407767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upperRoman"/>
      <w:lvlText w:val="%1"/>
      <w:lvlJc w:val="left"/>
      <w:pPr>
        <w:ind w:left="120" w:hanging="18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09" w:hanging="18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9" w:hanging="18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9" w:hanging="18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9" w:hanging="18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69" w:hanging="18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9" w:hanging="18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49" w:hanging="18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39" w:hanging="185"/>
      </w:pPr>
      <w:rPr>
        <w:rFonts w:hint="default"/>
        <w:lang w:val="pt-br" w:eastAsia="pt-br" w:bidi="pt-br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355" w:hanging="235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325" w:hanging="23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91" w:hanging="23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57" w:hanging="23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223" w:hanging="23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89" w:hanging="23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55" w:hanging="23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121" w:hanging="23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87" w:hanging="235"/>
      </w:pPr>
      <w:rPr>
        <w:rFonts w:hint="default"/>
        <w:lang w:val="pt-br" w:eastAsia="pt-br" w:bidi="pt-br"/>
      </w:rPr>
    </w:lvl>
  </w:abstractNum>
  <w:abstractNum w:abstractNumId="4">
    <w:multiLevelType w:val="hybridMultilevel"/>
    <w:lvl w:ilvl="0">
      <w:start w:val="1"/>
      <w:numFmt w:val="upperRoman"/>
      <w:lvlText w:val="%1"/>
      <w:lvlJc w:val="left"/>
      <w:pPr>
        <w:ind w:left="264" w:hanging="144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35" w:hanging="144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11" w:hanging="144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187" w:hanging="144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63" w:hanging="144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39" w:hanging="144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15" w:hanging="144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91" w:hanging="144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67" w:hanging="144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upperRoman"/>
      <w:lvlText w:val="%1"/>
      <w:lvlJc w:val="left"/>
      <w:pPr>
        <w:ind w:left="120" w:hanging="176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09" w:hanging="17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9" w:hanging="17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9" w:hanging="17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9" w:hanging="17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69" w:hanging="17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9" w:hanging="17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49" w:hanging="17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39" w:hanging="17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86" w:hanging="166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253" w:hanging="16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227" w:hanging="16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201" w:hanging="16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175" w:hanging="16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149" w:hanging="16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23" w:hanging="16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97" w:hanging="16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71" w:hanging="166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0" w:hanging="178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09" w:hanging="178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9" w:hanging="178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9" w:hanging="178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9" w:hanging="178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69" w:hanging="178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9" w:hanging="178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49" w:hanging="178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39" w:hanging="178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20" w:hanging="252"/>
        <w:jc w:val="left"/>
      </w:pPr>
      <w:rPr>
        <w:rFonts w:hint="default"/>
        <w:strike/>
        <w:w w:val="100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109" w:hanging="252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099" w:hanging="252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089" w:hanging="252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079" w:hanging="252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069" w:hanging="252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059" w:hanging="252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7049" w:hanging="252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8039" w:hanging="252"/>
      </w:pPr>
      <w:rPr>
        <w:rFonts w:hint="default"/>
        <w:lang w:val="pt-br" w:eastAsia="pt-br" w:bidi="pt-br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>
      <w:spacing w:before="92"/>
    </w:pPr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1"/>
      <w:ind w:left="12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spacing w:before="92"/>
      <w:ind w:left="120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2019-04-25T14:50:46Z</dcterms:created>
  <dcterms:modified xsi:type="dcterms:W3CDTF">2019-04-25T14:50:46Z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