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1" simplePos="0" relativeHeight="268421807">
            <wp:simplePos x="0" y="0"/>
            <wp:positionH relativeFrom="page">
              <wp:posOffset>0</wp:posOffset>
            </wp:positionH>
            <wp:positionV relativeFrom="page">
              <wp:posOffset>390199</wp:posOffset>
            </wp:positionV>
            <wp:extent cx="7552055" cy="98525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85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2547"/>
      </w:pPr>
      <w:r>
        <w:rPr/>
        <w:t>RESOLUÇÃO N° 90, DE 9 DE OUTUBRO DE 2014</w:t>
      </w:r>
    </w:p>
    <w:p>
      <w:pPr>
        <w:pStyle w:val="BodyText"/>
        <w:rPr>
          <w:b/>
        </w:rPr>
      </w:pPr>
    </w:p>
    <w:p>
      <w:pPr>
        <w:pStyle w:val="BodyText"/>
        <w:ind w:left="4373" w:right="119"/>
        <w:jc w:val="both"/>
      </w:pPr>
      <w:r>
        <w:rPr/>
        <w:t>Aprova a Segunda Reprogramação do Plano de Ação e Orçamento do Conselho de Arquitetura e Urbanismo das Unidades da Federação (CAU/UF) que especifica, para o exercício de 2014,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1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35, realizada no dia 9 de outubro de 2014;</w:t>
      </w:r>
    </w:p>
    <w:p>
      <w:pPr>
        <w:pStyle w:val="BodyText"/>
      </w:pPr>
    </w:p>
    <w:p>
      <w:pPr>
        <w:pStyle w:val="Heading1"/>
      </w:pPr>
      <w:r>
        <w:rPr/>
        <w:t>RESOLVE: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20" w:right="119"/>
        <w:jc w:val="both"/>
      </w:pPr>
      <w:r>
        <w:rPr/>
        <w:t>Art. 1° Aprovar a Segunda Reprogramação dos Planos de Ação e Orçamentos do Conselho de Arquitetura e Urbanismo Estados do Amapá (CAU/AP), Ceará (CAU/CE), Espirito Santo (CAU/ES), Mato Grosso (CAU/MT), Paraná (CAU/PR), Rio de Janeiro (CAU/RJ), Rondônia (CAU/RO), Roraima (CAU/RR), São Paulo (CAU/SP) para o Exercício de 2014, na forma do resumo abaixo: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60" w:right="561"/>
        <w:jc w:val="center"/>
      </w:pPr>
      <w:r>
        <w:rPr/>
        <w:t>CAU/AP – SEGUNDA REPROGRAMAÇÃO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868.715,00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805.715,00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63.000,00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868.715,00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868.715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561" w:right="561"/>
        <w:jc w:val="center"/>
      </w:pPr>
      <w:r>
        <w:rPr/>
        <w:t>CAU/CE – SEGUNDA REPROGRAMAÇÃO ORÇAMENTÁRIA -</w:t>
      </w:r>
      <w:r>
        <w:rPr>
          <w:spacing w:val="-12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1.141.417,00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1.141.418,00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747.277,00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747.276,00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1.888.694,00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1.888.694,00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after="3"/>
        <w:ind w:left="561" w:right="561"/>
        <w:jc w:val="center"/>
      </w:pPr>
      <w:r>
        <w:rPr/>
        <w:t>CAU/ES – SEGUNDA REPROGRAMAÇÃO ORÇAMENTÁRIA -</w:t>
      </w:r>
      <w:r>
        <w:rPr>
          <w:spacing w:val="-15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1.709.145,00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1.709.145,00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800.000,00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800.000,00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2.509.145,00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2.509.145,00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561" w:right="561"/>
        <w:jc w:val="center"/>
      </w:pPr>
      <w:r>
        <w:rPr/>
        <w:t>CAU/MT - SEGUNDA REPROGRAMAÇÃO ORÇAMENTÁRIA -</w:t>
      </w:r>
      <w:r>
        <w:rPr>
          <w:spacing w:val="-16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2.221.104,00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2.221.104,00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1.260.797,00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1.260.797,00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3.481.901,00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3.481.901,00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561" w:right="561"/>
        <w:jc w:val="center"/>
      </w:pPr>
      <w:r>
        <w:rPr/>
        <w:t>CAU/PR - SEGUNDA REPROGRAMAÇÃO ORÇAMENTÁRIA -</w:t>
      </w:r>
      <w:r>
        <w:rPr>
          <w:spacing w:val="-15"/>
        </w:rPr>
        <w:t> </w:t>
      </w:r>
      <w:r>
        <w:rPr/>
        <w:t>2014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4"/>
        <w:ind w:left="0" w:right="234" w:firstLine="0"/>
        <w:jc w:val="right"/>
        <w:rPr>
          <w:rFonts w:ascii="Arial"/>
          <w:sz w:val="18"/>
        </w:rPr>
      </w:pPr>
      <w:r>
        <w:rPr>
          <w:rFonts w:ascii="Arial"/>
          <w:color w:val="466D79"/>
          <w:w w:val="99"/>
          <w:sz w:val="18"/>
        </w:rPr>
        <w:t>1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00" w:h="16850"/>
          <w:pgMar w:top="1600" w:bottom="280" w:left="1440" w:right="720"/>
        </w:sectPr>
      </w:pPr>
    </w:p>
    <w:p>
      <w:pPr>
        <w:pStyle w:val="BodyText"/>
        <w:spacing w:before="3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1" simplePos="0" relativeHeight="268421831">
            <wp:simplePos x="0" y="0"/>
            <wp:positionH relativeFrom="page">
              <wp:posOffset>0</wp:posOffset>
            </wp:positionH>
            <wp:positionV relativeFrom="page">
              <wp:posOffset>390199</wp:posOffset>
            </wp:positionV>
            <wp:extent cx="7552055" cy="985253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985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7.408.970,00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7.408.970,00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6.967.339,00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6.967.339,00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14.376.310,00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14.376.310,00</w:t>
            </w:r>
          </w:p>
        </w:tc>
      </w:tr>
    </w:tbl>
    <w:p>
      <w:pPr>
        <w:pStyle w:val="BodyText"/>
        <w:spacing w:before="10"/>
        <w:rPr>
          <w:rFonts w:ascii="Arial"/>
          <w:sz w:val="20"/>
        </w:rPr>
      </w:pPr>
    </w:p>
    <w:p>
      <w:pPr>
        <w:pStyle w:val="BodyText"/>
        <w:spacing w:before="52"/>
        <w:ind w:left="561" w:right="561"/>
        <w:jc w:val="center"/>
      </w:pPr>
      <w:r>
        <w:rPr/>
        <w:t>CAU/RJ - SEGUNDA REPROGRAMAÇÃO ORÇAMENTÁRIA - 2014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9.013.910,00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9.013.910,00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7.261.243,00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7.261.243,00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16.275.153,00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16.275.153,00</w:t>
            </w:r>
          </w:p>
        </w:tc>
      </w:tr>
    </w:tbl>
    <w:p>
      <w:pPr>
        <w:pStyle w:val="BodyText"/>
        <w:spacing w:before="12"/>
        <w:rPr>
          <w:sz w:val="23"/>
        </w:rPr>
      </w:pPr>
    </w:p>
    <w:p>
      <w:pPr>
        <w:pStyle w:val="BodyText"/>
        <w:ind w:left="561" w:right="561"/>
        <w:jc w:val="center"/>
      </w:pPr>
      <w:r>
        <w:rPr/>
        <w:t>CAU/RO – SEGUNDA REPROGRAMAÇÃO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878.511,00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808.446,00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70.065,00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878.511,00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878.511,00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561" w:right="561"/>
        <w:jc w:val="center"/>
      </w:pPr>
      <w:r>
        <w:rPr/>
        <w:t>CAU/RR – SEGUNDA REPROGRAMAÇÃO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3" w:lineRule="exact" w:before="1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exact" w:before="1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843.829,00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805.829,00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38.000,00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843.829,00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843.829,00</w:t>
            </w:r>
          </w:p>
        </w:tc>
      </w:tr>
    </w:tbl>
    <w:p>
      <w:pPr>
        <w:pStyle w:val="BodyText"/>
        <w:spacing w:before="2"/>
      </w:pPr>
    </w:p>
    <w:p>
      <w:pPr>
        <w:pStyle w:val="BodyText"/>
        <w:ind w:left="561" w:right="561"/>
        <w:jc w:val="center"/>
      </w:pPr>
      <w:r>
        <w:rPr/>
        <w:t>CAU/SP - SEGUNDA REPROGRAMAÇÃO ORÇAMENTÁRIA -</w:t>
      </w:r>
      <w:r>
        <w:rPr>
          <w:spacing w:val="-14"/>
        </w:rPr>
        <w:t> </w:t>
      </w:r>
      <w:r>
        <w:rPr/>
        <w:t>2014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1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1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5" w:right="99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28.147.944,00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28.147.944,00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1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14.166.770,00</w:t>
            </w:r>
          </w:p>
        </w:tc>
        <w:tc>
          <w:tcPr>
            <w:tcW w:w="2299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14.166.770,00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1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42.314.714,00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42.314.714,00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Art. 2° Esta Resolução entra em vigor na data de sua</w:t>
      </w:r>
      <w:r>
        <w:rPr>
          <w:spacing w:val="-22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ind w:left="561" w:right="561"/>
        <w:jc w:val="center"/>
      </w:pPr>
      <w:r>
        <w:rPr/>
        <w:t>Brasília, 9 de outubro de</w:t>
      </w:r>
      <w:r>
        <w:rPr>
          <w:spacing w:val="-7"/>
        </w:rPr>
        <w:t> </w:t>
      </w:r>
      <w:r>
        <w:rPr/>
        <w:t>2014.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561" w:right="561"/>
        <w:jc w:val="center"/>
      </w:pPr>
      <w:r>
        <w:rPr/>
        <w:t>HAROLDO PINHEIRO VILLAR DE QUEIROZ</w:t>
      </w:r>
    </w:p>
    <w:p>
      <w:pPr>
        <w:pStyle w:val="BodyText"/>
        <w:ind w:left="560" w:right="561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564" w:right="561"/>
        <w:jc w:val="center"/>
      </w:pPr>
      <w:r>
        <w:rPr/>
        <w:t>(Publicada no Diário Oficial da União, Edição n° 203, Seção 1, de 21 de outubro de 2014)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0" w:right="234" w:firstLine="0"/>
        <w:jc w:val="right"/>
        <w:rPr>
          <w:rFonts w:ascii="Arial"/>
          <w:sz w:val="18"/>
        </w:rPr>
      </w:pPr>
      <w:r>
        <w:rPr>
          <w:rFonts w:ascii="Arial"/>
          <w:color w:val="466D79"/>
          <w:w w:val="99"/>
          <w:sz w:val="18"/>
        </w:rPr>
        <w:t>2</w:t>
      </w:r>
    </w:p>
    <w:sectPr>
      <w:pgSz w:w="11900" w:h="16850"/>
      <w:pgMar w:top="1600" w:bottom="28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Claúdia de Mattos Quaresma</dc:creator>
  <dcterms:created xsi:type="dcterms:W3CDTF">2019-04-25T14:50:59Z</dcterms:created>
  <dcterms:modified xsi:type="dcterms:W3CDTF">2019-04-25T14:50:59Z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