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1"/>
        </w:rPr>
      </w:pPr>
      <w:r>
        <w:rPr/>
        <w:drawing>
          <wp:anchor distT="0" distB="0" distL="0" distR="0" allowOverlap="1" layoutInCell="1" locked="0" behindDoc="1" simplePos="0" relativeHeight="268408703">
            <wp:simplePos x="0" y="0"/>
            <wp:positionH relativeFrom="page">
              <wp:posOffset>0</wp:posOffset>
            </wp:positionH>
            <wp:positionV relativeFrom="page">
              <wp:posOffset>390199</wp:posOffset>
            </wp:positionV>
            <wp:extent cx="7552055" cy="985253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9852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51"/>
        <w:ind w:left="2446"/>
      </w:pPr>
      <w:r>
        <w:rPr/>
        <w:t>RESOLUÇÃO N° 89, DE 12 DE SETEMBRO DE 2014</w:t>
      </w:r>
    </w:p>
    <w:p>
      <w:pPr>
        <w:pStyle w:val="BodyText"/>
        <w:rPr>
          <w:b/>
        </w:rPr>
      </w:pPr>
    </w:p>
    <w:p>
      <w:pPr>
        <w:pStyle w:val="BodyText"/>
        <w:ind w:left="4373" w:right="98"/>
        <w:jc w:val="both"/>
      </w:pPr>
      <w:r>
        <w:rPr/>
        <w:t>Aprova a segunda Reprogramação do Plano de Ação e Orçamento do Conselho de Arquitetura e Urbanismo do Brasil (CAU/BR) e dos Conselhos de Arquitetura e Urbanismo das Unidades da Federação (CAU/UF) que especifica, para o exercício de 2014, e dá outras</w:t>
      </w:r>
      <w:r>
        <w:rPr>
          <w:spacing w:val="-3"/>
        </w:rPr>
        <w:t> </w:t>
      </w:r>
      <w:r>
        <w:rPr/>
        <w:t>providências.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 w:right="103"/>
        <w:jc w:val="both"/>
      </w:pPr>
      <w:r>
        <w:rPr/>
        <w:t>O Conselho de Arquitetura e Urbanismo do Brasil (CAU/BR), no uso das competências previstas no art. 28 da Lei n° 12.378, de 31 de dezembro de 2010, e nos artigos 2°, 3° e 9° do Regimento Geral aprovado pela Resolução CAU/BR n° 33, de 6 de setembro de 2012, e de acordo com a deliberação adotada na Reunião Plenária Ordinária n° 34, realizada nos dias 11 e 12 de setembro de 2014;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</w:pPr>
      <w:r>
        <w:rPr/>
        <w:t>RESOLVE: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20" w:right="99"/>
        <w:jc w:val="both"/>
      </w:pPr>
      <w:r>
        <w:rPr/>
        <w:t>Art. 1° Aprovar a Segunda Reprogramação dos Planos de Ação e Orçamentos do Conselho de Arquitetura e Urbanismo do Brasil (CAU/BR) e dos Conselhos de Arquitetura e Urbanismo dos Estados do Acre (CAU/AC), Alagoas (CAU/AL), Amazonas (CAU/AM), Bahia (CAU/BA), Distrito Federal (CAU/DF), Goiás (CAU/GO), Maranhão (CAU/MA), Minas Gerais (CAU/MG), Mato Grosso do Sul (CAU/MS), Pará (CAU/PA), Paraíba (CAU/PB), Pernambuco (CAU/PE), Piauí (CAU/PI), Rio Grande de Norte (CAU/RN), Rio Grande do Sul (CAU/RS), Santa Catarina (CAU/SC), Sergipe (CAU/SE) e Tocantins (CAU/TO) para o Exercício de 2014, na forma do resumo abaixo: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after="3"/>
        <w:ind w:left="559" w:right="539"/>
        <w:jc w:val="center"/>
      </w:pPr>
      <w:r>
        <w:rPr/>
        <w:t>CAU/BR – SEGUNDA REPROGRAMAÇÃO ORÇAMENTÁRIA -</w:t>
      </w:r>
      <w:r>
        <w:rPr>
          <w:spacing w:val="-15"/>
        </w:rPr>
        <w:t> </w:t>
      </w:r>
      <w:r>
        <w:rPr/>
        <w:t>2014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7"/>
        <w:gridCol w:w="2367"/>
        <w:gridCol w:w="2365"/>
        <w:gridCol w:w="2086"/>
      </w:tblGrid>
      <w:tr>
        <w:trPr>
          <w:trHeight w:val="292" w:hRule="atLeast"/>
        </w:trPr>
        <w:tc>
          <w:tcPr>
            <w:tcW w:w="2257" w:type="dxa"/>
          </w:tcPr>
          <w:p>
            <w:pPr>
              <w:pStyle w:val="TableParagraph"/>
              <w:ind w:left="666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67" w:type="dxa"/>
          </w:tcPr>
          <w:p>
            <w:pPr>
              <w:pStyle w:val="TableParagraph"/>
              <w:ind w:left="1034" w:right="103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65" w:type="dxa"/>
          </w:tcPr>
          <w:p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086" w:type="dxa"/>
          </w:tcPr>
          <w:p>
            <w:pPr>
              <w:pStyle w:val="TableParagraph"/>
              <w:ind w:left="894" w:right="889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25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67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28.320.407,00</w:t>
            </w:r>
          </w:p>
        </w:tc>
        <w:tc>
          <w:tcPr>
            <w:tcW w:w="2365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086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29.123.953,00</w:t>
            </w:r>
          </w:p>
        </w:tc>
      </w:tr>
      <w:tr>
        <w:trPr>
          <w:trHeight w:val="294" w:hRule="atLeast"/>
        </w:trPr>
        <w:tc>
          <w:tcPr>
            <w:tcW w:w="2257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67" w:type="dxa"/>
          </w:tcPr>
          <w:p>
            <w:pPr>
              <w:pStyle w:val="TableParagraph"/>
              <w:spacing w:line="273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4.280.710,00</w:t>
            </w:r>
          </w:p>
        </w:tc>
        <w:tc>
          <w:tcPr>
            <w:tcW w:w="2365" w:type="dxa"/>
          </w:tcPr>
          <w:p>
            <w:pPr>
              <w:pStyle w:val="TableParagraph"/>
              <w:spacing w:line="273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086" w:type="dxa"/>
          </w:tcPr>
          <w:p>
            <w:pPr>
              <w:pStyle w:val="TableParagraph"/>
              <w:spacing w:line="273" w:lineRule="exact" w:before="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3.477.163,00</w:t>
            </w:r>
          </w:p>
        </w:tc>
      </w:tr>
      <w:tr>
        <w:trPr>
          <w:trHeight w:val="309" w:hRule="atLeast"/>
        </w:trPr>
        <w:tc>
          <w:tcPr>
            <w:tcW w:w="2257" w:type="dxa"/>
          </w:tcPr>
          <w:p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67" w:type="dxa"/>
          </w:tcPr>
          <w:p>
            <w:pPr>
              <w:pStyle w:val="TableParagraph"/>
              <w:spacing w:line="28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32.601.117,00</w:t>
            </w:r>
          </w:p>
        </w:tc>
        <w:tc>
          <w:tcPr>
            <w:tcW w:w="2365" w:type="dxa"/>
          </w:tcPr>
          <w:p>
            <w:pPr>
              <w:pStyle w:val="TableParagraph"/>
              <w:spacing w:line="289" w:lineRule="exact"/>
              <w:ind w:left="104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086" w:type="dxa"/>
          </w:tcPr>
          <w:p>
            <w:pPr>
              <w:pStyle w:val="TableParagraph"/>
              <w:spacing w:line="28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32.601.117,00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559" w:right="541"/>
        <w:jc w:val="center"/>
      </w:pPr>
      <w:r>
        <w:rPr/>
        <w:t>CAU/AC – SEGUNDA REPROGRAMAÇÃO ORÇAMENTÁRIA -</w:t>
      </w:r>
      <w:r>
        <w:rPr>
          <w:spacing w:val="-12"/>
        </w:rPr>
        <w:t> </w:t>
      </w:r>
      <w:r>
        <w:rPr/>
        <w:t>2014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1"/>
        <w:gridCol w:w="2299"/>
        <w:gridCol w:w="2302"/>
      </w:tblGrid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5" w:lineRule="exact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1" w:type="dxa"/>
          </w:tcPr>
          <w:p>
            <w:pPr>
              <w:pStyle w:val="TableParagraph"/>
              <w:spacing w:line="275" w:lineRule="exact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spacing w:line="275" w:lineRule="exact"/>
              <w:ind w:left="660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left="1005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3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1" w:type="dxa"/>
          </w:tcPr>
          <w:p>
            <w:pPr>
              <w:pStyle w:val="TableParagraph"/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854.533,00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854.533,00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1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258.612,00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258.612,00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1.113.145,00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1.113.145,00</w:t>
            </w:r>
          </w:p>
        </w:tc>
      </w:tr>
    </w:tbl>
    <w:p>
      <w:pPr>
        <w:pStyle w:val="BodyText"/>
        <w:spacing w:before="1"/>
      </w:pPr>
    </w:p>
    <w:p>
      <w:pPr>
        <w:pStyle w:val="BodyText"/>
        <w:ind w:left="559" w:right="541"/>
        <w:jc w:val="center"/>
      </w:pPr>
      <w:r>
        <w:rPr/>
        <w:t>CAU/AL – SEGUNDA REPROGRAMAÇÃO ORÇAMENTÁRIA -</w:t>
      </w:r>
      <w:r>
        <w:rPr>
          <w:spacing w:val="-15"/>
        </w:rPr>
        <w:t> </w:t>
      </w:r>
      <w:r>
        <w:rPr/>
        <w:t>2014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1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1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1005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1.088.360,00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1.088.360,00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1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596.111,00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596.111,00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1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1.684.471,00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1.684.471,00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0" w:right="214" w:firstLine="0"/>
        <w:jc w:val="right"/>
        <w:rPr>
          <w:rFonts w:ascii="Arial"/>
          <w:sz w:val="18"/>
        </w:rPr>
      </w:pPr>
      <w:r>
        <w:rPr>
          <w:rFonts w:ascii="Arial"/>
          <w:color w:val="466D79"/>
          <w:w w:val="99"/>
          <w:sz w:val="18"/>
        </w:rPr>
        <w:t>1</w:t>
      </w:r>
    </w:p>
    <w:p>
      <w:pPr>
        <w:spacing w:after="0"/>
        <w:jc w:val="right"/>
        <w:rPr>
          <w:rFonts w:ascii="Arial"/>
          <w:sz w:val="18"/>
        </w:rPr>
        <w:sectPr>
          <w:type w:val="continuous"/>
          <w:pgSz w:w="11900" w:h="16850"/>
          <w:pgMar w:top="1600" w:bottom="280" w:left="1440" w:right="740"/>
        </w:sectPr>
      </w:pPr>
    </w:p>
    <w:p>
      <w:pPr>
        <w:pStyle w:val="BodyText"/>
        <w:spacing w:before="9"/>
        <w:rPr>
          <w:rFonts w:ascii="Arial"/>
          <w:sz w:val="11"/>
        </w:rPr>
      </w:pPr>
      <w:r>
        <w:rPr/>
        <w:drawing>
          <wp:anchor distT="0" distB="0" distL="0" distR="0" allowOverlap="1" layoutInCell="1" locked="0" behindDoc="1" simplePos="0" relativeHeight="268408727">
            <wp:simplePos x="0" y="0"/>
            <wp:positionH relativeFrom="page">
              <wp:posOffset>0</wp:posOffset>
            </wp:positionH>
            <wp:positionV relativeFrom="page">
              <wp:posOffset>390199</wp:posOffset>
            </wp:positionV>
            <wp:extent cx="7552055" cy="9852539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9852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1"/>
        <w:ind w:left="1738"/>
      </w:pPr>
      <w:r>
        <w:rPr/>
        <w:t>CAU/AM - SEGUNDA REPROGRAMAÇÃO ORÇAMENTÁRIA - 2014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1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1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1005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1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914.113,00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914.113,00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1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338.425,00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338.425,00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1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1.252.538,00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1.252.538,00</w:t>
            </w: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ind w:left="1776"/>
      </w:pPr>
      <w:r>
        <w:rPr/>
        <w:t>CAU/BA - SEGUNDA REPROGRAMAÇÃO ORÇAMENTÁRIA -</w:t>
      </w:r>
      <w:r>
        <w:rPr>
          <w:spacing w:val="-18"/>
        </w:rPr>
        <w:t> </w:t>
      </w:r>
      <w:r>
        <w:rPr/>
        <w:t>2014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1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1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1005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2.371.825,00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2.371.825,00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1.500.000,00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1.500.000,00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1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3.871.825,00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3.871.825,00</w:t>
            </w:r>
          </w:p>
        </w:tc>
      </w:tr>
    </w:tbl>
    <w:p>
      <w:pPr>
        <w:pStyle w:val="BodyText"/>
        <w:spacing w:before="10"/>
        <w:rPr>
          <w:sz w:val="31"/>
        </w:rPr>
      </w:pPr>
    </w:p>
    <w:p>
      <w:pPr>
        <w:pStyle w:val="BodyText"/>
        <w:spacing w:after="3"/>
        <w:ind w:left="1781"/>
      </w:pPr>
      <w:r>
        <w:rPr/>
        <w:t>CAU/DF - SEGUNDA REPROGRAMAÇÃO ORÇAMENTÁRIA -</w:t>
      </w:r>
      <w:r>
        <w:rPr>
          <w:spacing w:val="-13"/>
        </w:rPr>
        <w:t> </w:t>
      </w:r>
      <w:r>
        <w:rPr/>
        <w:t>2014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1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1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1005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1.872.996,00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1.851.996,00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1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700.000,00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721.000,00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1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2.572.996,00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2.572.996,00</w:t>
            </w:r>
          </w:p>
        </w:tc>
      </w:tr>
    </w:tbl>
    <w:p>
      <w:pPr>
        <w:pStyle w:val="BodyText"/>
        <w:spacing w:before="9"/>
        <w:rPr>
          <w:sz w:val="31"/>
        </w:rPr>
      </w:pPr>
    </w:p>
    <w:p>
      <w:pPr>
        <w:pStyle w:val="BodyText"/>
        <w:spacing w:before="1"/>
        <w:ind w:left="1730"/>
      </w:pPr>
      <w:r>
        <w:rPr/>
        <w:t>CAU/GO – SEGUNDA REPROGRAMAÇÃO ORÇAMENTÁRIA -</w:t>
      </w:r>
      <w:r>
        <w:rPr>
          <w:spacing w:val="-13"/>
        </w:rPr>
        <w:t> </w:t>
      </w:r>
      <w:r>
        <w:rPr/>
        <w:t>2014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1"/>
        <w:gridCol w:w="2299"/>
        <w:gridCol w:w="2302"/>
      </w:tblGrid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 w:before="1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1" w:type="dxa"/>
          </w:tcPr>
          <w:p>
            <w:pPr>
              <w:pStyle w:val="TableParagraph"/>
              <w:spacing w:line="273" w:lineRule="exact" w:before="1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660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05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2.790.000,00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2.783.000,00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2.183.589,00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2.190.589,00</w:t>
            </w:r>
          </w:p>
        </w:tc>
      </w:tr>
      <w:tr>
        <w:trPr>
          <w:trHeight w:val="295" w:hRule="atLeast"/>
        </w:trPr>
        <w:tc>
          <w:tcPr>
            <w:tcW w:w="219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1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4.973.589,00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4.973.589,00</w:t>
            </w:r>
          </w:p>
        </w:tc>
      </w:tr>
    </w:tbl>
    <w:p>
      <w:pPr>
        <w:pStyle w:val="BodyText"/>
        <w:spacing w:before="9"/>
        <w:rPr>
          <w:sz w:val="31"/>
        </w:rPr>
      </w:pPr>
    </w:p>
    <w:p>
      <w:pPr>
        <w:pStyle w:val="BodyText"/>
        <w:spacing w:before="1"/>
        <w:ind w:left="1738"/>
      </w:pPr>
      <w:r>
        <w:rPr/>
        <w:t>CAU/MA - SEGUNDA REPROGRAMAÇÃO ORÇAMENTÁRIA -</w:t>
      </w:r>
      <w:r>
        <w:rPr>
          <w:spacing w:val="-13"/>
        </w:rPr>
        <w:t> </w:t>
      </w:r>
      <w:r>
        <w:rPr/>
        <w:t>2014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1"/>
        <w:gridCol w:w="2299"/>
        <w:gridCol w:w="2302"/>
      </w:tblGrid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 w:before="1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1" w:type="dxa"/>
          </w:tcPr>
          <w:p>
            <w:pPr>
              <w:pStyle w:val="TableParagraph"/>
              <w:spacing w:line="273" w:lineRule="exact" w:before="1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660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05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1.037.826,00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1.037.826,00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32.000,00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32.000,00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1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1.069.826,00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1.069.826,00</w:t>
            </w:r>
          </w:p>
        </w:tc>
      </w:tr>
    </w:tbl>
    <w:p>
      <w:pPr>
        <w:pStyle w:val="BodyText"/>
        <w:spacing w:before="9"/>
        <w:rPr>
          <w:sz w:val="31"/>
        </w:rPr>
      </w:pPr>
    </w:p>
    <w:p>
      <w:pPr>
        <w:pStyle w:val="BodyText"/>
        <w:spacing w:before="1"/>
        <w:ind w:left="1730"/>
      </w:pPr>
      <w:r>
        <w:rPr/>
        <w:t>CAU/MG - SEGUNDA REPROGRAMAÇÃO ORÇAMENTÁRIA -</w:t>
      </w:r>
      <w:r>
        <w:rPr>
          <w:spacing w:val="-14"/>
        </w:rPr>
        <w:t> </w:t>
      </w:r>
      <w:r>
        <w:rPr/>
        <w:t>2014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1"/>
        <w:gridCol w:w="2299"/>
        <w:gridCol w:w="2302"/>
      </w:tblGrid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 w:before="1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1" w:type="dxa"/>
          </w:tcPr>
          <w:p>
            <w:pPr>
              <w:pStyle w:val="TableParagraph"/>
              <w:spacing w:line="273" w:lineRule="exact" w:before="1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660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05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6.034.118,00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5.772.335,00</w:t>
            </w:r>
          </w:p>
        </w:tc>
      </w:tr>
      <w:tr>
        <w:trPr>
          <w:trHeight w:val="293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1" w:type="dxa"/>
          </w:tcPr>
          <w:p>
            <w:pPr>
              <w:pStyle w:val="TableParagraph"/>
              <w:spacing w:line="273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1.438.217,00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1.700.000,00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7.472.335,00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7.472.335,00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ind w:left="1752"/>
      </w:pPr>
      <w:r>
        <w:rPr/>
        <w:t>CAU/MS - SEGUNDA REPROGRAMAÇÃO ORÇAMENTÁRIA -</w:t>
      </w:r>
      <w:r>
        <w:rPr>
          <w:spacing w:val="-13"/>
        </w:rPr>
        <w:t> </w:t>
      </w:r>
      <w:r>
        <w:rPr/>
        <w:t>2014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1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1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1005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1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2.500.000,00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2.500.000,00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1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300.000,00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300.000,00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2.800.000,00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2.800.000,00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31"/>
        </w:rPr>
      </w:pPr>
    </w:p>
    <w:p>
      <w:pPr>
        <w:spacing w:before="0"/>
        <w:ind w:left="0" w:right="214" w:firstLine="0"/>
        <w:jc w:val="right"/>
        <w:rPr>
          <w:rFonts w:ascii="Arial"/>
          <w:sz w:val="18"/>
        </w:rPr>
      </w:pPr>
      <w:r>
        <w:rPr>
          <w:rFonts w:ascii="Arial"/>
          <w:color w:val="466D79"/>
          <w:w w:val="99"/>
          <w:sz w:val="18"/>
        </w:rPr>
        <w:t>2</w:t>
      </w:r>
    </w:p>
    <w:p>
      <w:pPr>
        <w:spacing w:after="0"/>
        <w:jc w:val="right"/>
        <w:rPr>
          <w:rFonts w:ascii="Arial"/>
          <w:sz w:val="18"/>
        </w:rPr>
        <w:sectPr>
          <w:pgSz w:w="11900" w:h="16850"/>
          <w:pgMar w:top="1600" w:bottom="280" w:left="1440" w:right="740"/>
        </w:sectPr>
      </w:pPr>
    </w:p>
    <w:p>
      <w:pPr>
        <w:pStyle w:val="BodyText"/>
        <w:spacing w:before="9"/>
        <w:rPr>
          <w:rFonts w:ascii="Arial"/>
          <w:sz w:val="11"/>
        </w:rPr>
      </w:pPr>
      <w:r>
        <w:rPr/>
        <w:drawing>
          <wp:anchor distT="0" distB="0" distL="0" distR="0" allowOverlap="1" layoutInCell="1" locked="0" behindDoc="1" simplePos="0" relativeHeight="268408751">
            <wp:simplePos x="0" y="0"/>
            <wp:positionH relativeFrom="page">
              <wp:posOffset>0</wp:posOffset>
            </wp:positionH>
            <wp:positionV relativeFrom="page">
              <wp:posOffset>390199</wp:posOffset>
            </wp:positionV>
            <wp:extent cx="7552055" cy="9852539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9852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1"/>
        <w:ind w:left="1778"/>
      </w:pPr>
      <w:r>
        <w:rPr/>
        <w:t>CAU/PA - SEGUNDA REPROGRAMAÇÃO ORÇAMENTÁRIA -</w:t>
      </w:r>
      <w:r>
        <w:rPr>
          <w:spacing w:val="-13"/>
        </w:rPr>
        <w:t> </w:t>
      </w:r>
      <w:r>
        <w:rPr/>
        <w:t>2014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1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1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1005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1.068.882,00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1.068.882,00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1.322.276,00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1.322.276,00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1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2.391.158,00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2.391.158,00</w:t>
            </w:r>
          </w:p>
        </w:tc>
      </w:tr>
    </w:tbl>
    <w:p>
      <w:pPr>
        <w:pStyle w:val="BodyText"/>
        <w:spacing w:before="11"/>
        <w:rPr>
          <w:sz w:val="33"/>
        </w:rPr>
      </w:pPr>
    </w:p>
    <w:p>
      <w:pPr>
        <w:pStyle w:val="BodyText"/>
        <w:spacing w:before="1"/>
        <w:ind w:left="1783"/>
      </w:pPr>
      <w:r>
        <w:rPr/>
        <w:t>CAU/PB - SEGUNDA REPROGRAMAÇÃO ORÇAMENTÁRIA -</w:t>
      </w:r>
      <w:r>
        <w:rPr>
          <w:spacing w:val="-15"/>
        </w:rPr>
        <w:t> </w:t>
      </w:r>
      <w:r>
        <w:rPr/>
        <w:t>2014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1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1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1005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1.064.938,00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1.046.338,00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1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565.915,00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584.515,00</w:t>
            </w:r>
          </w:p>
        </w:tc>
      </w:tr>
      <w:tr>
        <w:trPr>
          <w:trHeight w:val="292" w:hRule="atLeast"/>
        </w:trPr>
        <w:tc>
          <w:tcPr>
            <w:tcW w:w="21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1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1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1.630.853,00</w:t>
            </w:r>
          </w:p>
        </w:tc>
        <w:tc>
          <w:tcPr>
            <w:tcW w:w="22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1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1" w:lineRule="exact"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1.630.853,00</w:t>
            </w:r>
          </w:p>
        </w:tc>
      </w:tr>
    </w:tbl>
    <w:p>
      <w:pPr>
        <w:pStyle w:val="BodyText"/>
        <w:spacing w:before="11"/>
        <w:rPr>
          <w:sz w:val="33"/>
        </w:rPr>
      </w:pPr>
    </w:p>
    <w:p>
      <w:pPr>
        <w:pStyle w:val="BodyText"/>
        <w:spacing w:before="1"/>
        <w:ind w:left="1788"/>
      </w:pPr>
      <w:r>
        <w:rPr/>
        <w:t>CAU/PE - SEGUNDA REPROGRAMAÇÃO ORÇAMENTÁRIA -</w:t>
      </w:r>
      <w:r>
        <w:rPr>
          <w:spacing w:val="-13"/>
        </w:rPr>
        <w:t> </w:t>
      </w:r>
      <w:r>
        <w:rPr/>
        <w:t>2014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1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1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1005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1.837.894,00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1.837.894,00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1" w:type="dxa"/>
          </w:tcPr>
          <w:p>
            <w:pPr>
              <w:pStyle w:val="TableParagraph"/>
              <w:spacing w:line="273" w:lineRule="exact" w:before="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967.440,00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967.440,00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2.805.334,00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2.805.334,00</w:t>
            </w:r>
          </w:p>
        </w:tc>
      </w:tr>
    </w:tbl>
    <w:p>
      <w:pPr>
        <w:pStyle w:val="BodyText"/>
        <w:spacing w:before="11"/>
        <w:rPr>
          <w:sz w:val="33"/>
        </w:rPr>
      </w:pPr>
    </w:p>
    <w:p>
      <w:pPr>
        <w:pStyle w:val="BodyText"/>
        <w:spacing w:before="1"/>
        <w:ind w:left="1817"/>
      </w:pPr>
      <w:r>
        <w:rPr/>
        <w:t>CAU/PI - SEGUNDA REPROGRAMAÇÃO ORÇAMENTÁRIA -</w:t>
      </w:r>
      <w:r>
        <w:rPr>
          <w:spacing w:val="-18"/>
        </w:rPr>
        <w:t> </w:t>
      </w:r>
      <w:r>
        <w:rPr/>
        <w:t>2014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1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1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1005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1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903.467,00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870.467,00</w:t>
            </w:r>
          </w:p>
        </w:tc>
      </w:tr>
      <w:tr>
        <w:trPr>
          <w:trHeight w:val="295" w:hRule="atLeast"/>
        </w:trPr>
        <w:tc>
          <w:tcPr>
            <w:tcW w:w="2194" w:type="dxa"/>
          </w:tcPr>
          <w:p>
            <w:pPr>
              <w:pStyle w:val="TableParagraph"/>
              <w:spacing w:line="274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1" w:type="dxa"/>
          </w:tcPr>
          <w:p>
            <w:pPr>
              <w:pStyle w:val="TableParagraph"/>
              <w:spacing w:line="274" w:lineRule="exact" w:before="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217.000,00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4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4" w:lineRule="exact"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250.000,00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1.120.467,00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1.120.467,00</w:t>
            </w:r>
          </w:p>
        </w:tc>
      </w:tr>
    </w:tbl>
    <w:p>
      <w:pPr>
        <w:pStyle w:val="BodyText"/>
        <w:spacing w:before="11"/>
        <w:rPr>
          <w:sz w:val="33"/>
        </w:rPr>
      </w:pPr>
    </w:p>
    <w:p>
      <w:pPr>
        <w:pStyle w:val="BodyText"/>
        <w:spacing w:before="1"/>
        <w:ind w:left="1766"/>
      </w:pPr>
      <w:r>
        <w:rPr/>
        <w:t>CAU/RN - SEGUNDA REPROGRAMAÇÃO ORÇAMENTÁRIA -</w:t>
      </w:r>
      <w:r>
        <w:rPr>
          <w:spacing w:val="-15"/>
        </w:rPr>
        <w:t> </w:t>
      </w:r>
      <w:r>
        <w:rPr/>
        <w:t>2014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1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1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1005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1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1.131.994,00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1.131.994,00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1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736.191,00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736.191,00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1.868.185,00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1.868.185,00</w:t>
            </w:r>
          </w:p>
        </w:tc>
      </w:tr>
    </w:tbl>
    <w:p>
      <w:pPr>
        <w:pStyle w:val="BodyText"/>
        <w:spacing w:before="11"/>
        <w:rPr>
          <w:sz w:val="33"/>
        </w:rPr>
      </w:pPr>
    </w:p>
    <w:p>
      <w:pPr>
        <w:pStyle w:val="BodyText"/>
        <w:spacing w:before="1"/>
        <w:ind w:left="1790"/>
      </w:pPr>
      <w:r>
        <w:rPr/>
        <w:t>CAU/RS - SEGUNDA REPROGRAMAÇÃO ORÇAMENTÁRIA -</w:t>
      </w:r>
      <w:r>
        <w:rPr>
          <w:spacing w:val="-15"/>
        </w:rPr>
        <w:t> </w:t>
      </w:r>
      <w:r>
        <w:rPr/>
        <w:t>2014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1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1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1005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5" w:hRule="atLeast"/>
        </w:trPr>
        <w:tc>
          <w:tcPr>
            <w:tcW w:w="2194" w:type="dxa"/>
          </w:tcPr>
          <w:p>
            <w:pPr>
              <w:pStyle w:val="TableParagraph"/>
              <w:spacing w:line="274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1" w:type="dxa"/>
          </w:tcPr>
          <w:p>
            <w:pPr>
              <w:pStyle w:val="TableParagraph"/>
              <w:spacing w:line="274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10.485.388,00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4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4" w:lineRule="exact"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10.485.388,00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8.532.715,00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8.532.715,00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1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19.018.103,00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19.018.103,00</w:t>
            </w:r>
          </w:p>
        </w:tc>
      </w:tr>
    </w:tbl>
    <w:p>
      <w:pPr>
        <w:pStyle w:val="BodyText"/>
        <w:spacing w:before="11"/>
        <w:rPr>
          <w:sz w:val="33"/>
        </w:rPr>
      </w:pPr>
    </w:p>
    <w:p>
      <w:pPr>
        <w:pStyle w:val="BodyText"/>
        <w:spacing w:before="1"/>
        <w:ind w:left="1790"/>
      </w:pPr>
      <w:r>
        <w:rPr/>
        <w:t>CAU/SC - SEGUNDA REPROGRAMAÇÃO ORÇAMENTÁRIA -</w:t>
      </w:r>
      <w:r>
        <w:rPr>
          <w:spacing w:val="-16"/>
        </w:rPr>
        <w:t> </w:t>
      </w:r>
      <w:r>
        <w:rPr/>
        <w:t>2014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1"/>
        <w:gridCol w:w="2299"/>
        <w:gridCol w:w="2302"/>
      </w:tblGrid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 w:before="1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1" w:type="dxa"/>
          </w:tcPr>
          <w:p>
            <w:pPr>
              <w:pStyle w:val="TableParagraph"/>
              <w:spacing w:line="273" w:lineRule="exact" w:before="1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660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05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4.865.253,00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4.865.253,00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3.582.237,00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3.582.237,00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8.447.490,00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8.447.490,00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215"/>
        <w:ind w:left="0" w:right="214" w:firstLine="0"/>
        <w:jc w:val="right"/>
        <w:rPr>
          <w:rFonts w:ascii="Arial"/>
          <w:sz w:val="18"/>
        </w:rPr>
      </w:pPr>
      <w:r>
        <w:rPr>
          <w:rFonts w:ascii="Arial"/>
          <w:color w:val="466D79"/>
          <w:w w:val="99"/>
          <w:sz w:val="18"/>
        </w:rPr>
        <w:t>3</w:t>
      </w:r>
    </w:p>
    <w:p>
      <w:pPr>
        <w:spacing w:after="0"/>
        <w:jc w:val="right"/>
        <w:rPr>
          <w:rFonts w:ascii="Arial"/>
          <w:sz w:val="18"/>
        </w:rPr>
        <w:sectPr>
          <w:pgSz w:w="11900" w:h="16850"/>
          <w:pgMar w:top="1600" w:bottom="280" w:left="1440" w:right="740"/>
        </w:sectPr>
      </w:pPr>
    </w:p>
    <w:p>
      <w:pPr>
        <w:pStyle w:val="BodyText"/>
        <w:spacing w:before="9"/>
        <w:rPr>
          <w:rFonts w:ascii="Arial"/>
          <w:sz w:val="11"/>
        </w:rPr>
      </w:pPr>
      <w:r>
        <w:rPr/>
        <w:drawing>
          <wp:anchor distT="0" distB="0" distL="0" distR="0" allowOverlap="1" layoutInCell="1" locked="0" behindDoc="1" simplePos="0" relativeHeight="268408775">
            <wp:simplePos x="0" y="0"/>
            <wp:positionH relativeFrom="page">
              <wp:posOffset>0</wp:posOffset>
            </wp:positionH>
            <wp:positionV relativeFrom="page">
              <wp:posOffset>390199</wp:posOffset>
            </wp:positionV>
            <wp:extent cx="7552055" cy="9852539"/>
            <wp:effectExtent l="0" t="0" r="0" b="0"/>
            <wp:wrapNone/>
            <wp:docPr id="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9852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1"/>
        <w:ind w:left="559" w:right="540"/>
        <w:jc w:val="center"/>
      </w:pPr>
      <w:r>
        <w:rPr/>
        <w:t>CAU/SE - SEGUNDA REPROGRAMAÇÃO ORÇAMENTÁRIA -</w:t>
      </w:r>
      <w:r>
        <w:rPr>
          <w:spacing w:val="-18"/>
        </w:rPr>
        <w:t> </w:t>
      </w:r>
      <w:r>
        <w:rPr/>
        <w:t>2014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1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1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1005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1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967.357,00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967.357,00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1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210.811,00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210.811,00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1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1.178.168,00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1.178.168,00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559" w:right="541"/>
        <w:jc w:val="center"/>
      </w:pPr>
      <w:r>
        <w:rPr/>
        <w:t>CAU/TO - SEGUNDA REPROGRAMAÇÃO ORÇAMENTÁRIA -</w:t>
      </w:r>
      <w:r>
        <w:rPr>
          <w:spacing w:val="-16"/>
        </w:rPr>
        <w:t> </w:t>
      </w:r>
      <w:r>
        <w:rPr/>
        <w:t>2014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1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1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1005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1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925.215,00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925.215,00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1" w:type="dxa"/>
          </w:tcPr>
          <w:p>
            <w:pPr>
              <w:pStyle w:val="TableParagraph"/>
              <w:spacing w:line="273" w:lineRule="exact" w:before="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443.321,00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443.321,00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1.368.536,00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1.368.536,00</w:t>
            </w:r>
          </w:p>
        </w:tc>
      </w:tr>
    </w:tbl>
    <w:p>
      <w:pPr>
        <w:pStyle w:val="BodyText"/>
        <w:spacing w:before="12"/>
        <w:rPr>
          <w:sz w:val="23"/>
        </w:rPr>
      </w:pPr>
    </w:p>
    <w:p>
      <w:pPr>
        <w:pStyle w:val="BodyText"/>
        <w:ind w:left="120"/>
      </w:pPr>
      <w:r>
        <w:rPr/>
        <w:t>Art. 2° Esta Resolução entra em vigor na data de sua publicação.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559" w:right="539"/>
        <w:jc w:val="center"/>
      </w:pPr>
      <w:r>
        <w:rPr/>
        <w:t>Brasília, 12 de setembro de 2014.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ind w:left="559" w:right="542"/>
        <w:jc w:val="center"/>
      </w:pPr>
      <w:r>
        <w:rPr/>
        <w:t>HAROLDO PINHEIRO VILLAR DE QUEIROZ</w:t>
      </w:r>
    </w:p>
    <w:p>
      <w:pPr>
        <w:pStyle w:val="BodyText"/>
        <w:ind w:left="559" w:right="543"/>
        <w:jc w:val="center"/>
      </w:pPr>
      <w:r>
        <w:rPr/>
        <w:t>Presidente do CAU/BR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559" w:right="545"/>
        <w:jc w:val="center"/>
      </w:pPr>
      <w:r>
        <w:rPr/>
        <w:t>(Publicada no Diário Oficial da União, Edição n° 203, Seção 1, de 21 de outubro de 2014)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95"/>
        <w:ind w:left="0" w:right="214" w:firstLine="0"/>
        <w:jc w:val="right"/>
        <w:rPr>
          <w:rFonts w:ascii="Arial"/>
          <w:sz w:val="18"/>
        </w:rPr>
      </w:pPr>
      <w:r>
        <w:rPr>
          <w:rFonts w:ascii="Arial"/>
          <w:color w:val="466D79"/>
          <w:w w:val="99"/>
          <w:sz w:val="18"/>
        </w:rPr>
        <w:t>4</w:t>
      </w:r>
    </w:p>
    <w:sectPr>
      <w:pgSz w:w="11900" w:h="16850"/>
      <w:pgMar w:top="1600" w:bottom="280" w:left="14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line="272" w:lineRule="exact"/>
    </w:pPr>
    <w:rPr>
      <w:rFonts w:ascii="Calibri" w:hAnsi="Calibri" w:eastAsia="Calibri" w:cs="Calibri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Claúdia de Mattos Quaresma</dc:creator>
  <dcterms:created xsi:type="dcterms:W3CDTF">2019-04-25T14:51:41Z</dcterms:created>
  <dcterms:modified xsi:type="dcterms:W3CDTF">2019-04-25T14:51:41Z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2019-04-25T00:00:00Z</vt:filetime>
  </property>
</Properties>
</file>