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194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3314" w:right="0"/>
        <w:jc w:val="left"/>
      </w:pPr>
      <w:r>
        <w:rPr/>
        <w:t>RESOLUÇÃO N° 87, DE 12 DE SETEMBRO DE 2014(1)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5595" w:right="1069"/>
        <w:jc w:val="both"/>
      </w:pPr>
      <w:r>
        <w:rPr/>
        <w:t>Altera a Resolução CAU/BR n° 26, de 2012, que dispõe sobre o registro de arquitetos e urbanistas, brasileiros ou estrangeiros portadores de visto permanente, diplomados por instituições de ensino estrangeiras, nos Conselhos de Arquitetura e Urbanismo dos Estados e do Distrito Federal (CAU/UF),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42" w:right="106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34, realizada nos dias 11 e 12 de setembro de 2014;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left="1342" w:right="0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42" w:right="1067"/>
        <w:jc w:val="both"/>
      </w:pPr>
      <w:r>
        <w:rPr/>
        <w:t>Art. 1° A Resolução CAU/BR n° 26, de 6 de junho de 2012, publicada no Diário Oficial da União, Edição n° 119, Seção 1, de 21 de junho de 2012, alterada pela Resolução CAU/BR n° 63, de 8 de novembro de 2013, publicada no Diário Oficial da União, Edição n° 223, Seção 1, de 18 de novembro de 2013, passa a vigorar com as seguintes alterações:</w:t>
      </w:r>
    </w:p>
    <w:p>
      <w:pPr>
        <w:pStyle w:val="BodyText"/>
      </w:pPr>
    </w:p>
    <w:p>
      <w:pPr>
        <w:pStyle w:val="BodyText"/>
        <w:ind w:left="2760" w:right="1067"/>
        <w:jc w:val="both"/>
      </w:pPr>
      <w:r>
        <w:rPr/>
        <w:t>“Art. 4° O registro, no CAU/UF, de arquiteto e urbanista, brasileiro ou estrangeiro portador de visto permanente, diplomado por instituição de ensino superior estrangeira, deve ser requerido por meio de formulário próprio disponível no SICCAU (Anexo I-A), ou pessoalmente, no atendimento do CAU/UF, caso seja do interesse do requerente.</w:t>
      </w:r>
    </w:p>
    <w:p>
      <w:pPr>
        <w:pStyle w:val="BodyText"/>
        <w:spacing w:before="1"/>
      </w:pPr>
    </w:p>
    <w:p>
      <w:pPr>
        <w:pStyle w:val="BodyText"/>
        <w:ind w:left="2760" w:right="1076"/>
        <w:jc w:val="both"/>
      </w:pPr>
      <w:r>
        <w:rPr/>
        <w:t>§ 1° No ato de requerimento de registro, o interessado deverá apresentar os seguintes documentos em arquivos digitalizados: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109" w:val="left" w:leader="none"/>
        </w:tabs>
        <w:spacing w:line="240" w:lineRule="auto" w:before="0" w:after="0"/>
        <w:ind w:left="2760" w:right="1066" w:firstLine="0"/>
        <w:jc w:val="both"/>
        <w:rPr>
          <w:sz w:val="24"/>
        </w:rPr>
      </w:pPr>
      <w:r>
        <w:rPr>
          <w:sz w:val="24"/>
        </w:rPr>
        <w:t>diploma de arquiteto e urbanista obtido em instituição de ensino estrangeira legalizado pela autoridade consular brasileira, acompanhado da respectiva tradução</w:t>
      </w:r>
      <w:r>
        <w:rPr>
          <w:spacing w:val="-4"/>
          <w:sz w:val="24"/>
        </w:rPr>
        <w:t> </w:t>
      </w:r>
      <w:r>
        <w:rPr>
          <w:sz w:val="24"/>
        </w:rPr>
        <w:t>juramentada;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760" w:right="1071"/>
        <w:jc w:val="both"/>
      </w:pPr>
      <w:r>
        <w:rPr/>
        <w:t>a-1) ato de revalidação do diploma por instituição de ensino superior pública, nos termos da legislação em vigor;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958" w:top="1600" w:bottom="1140" w:left="360" w:right="60"/>
        </w:sectPr>
      </w:pPr>
    </w:p>
    <w:p>
      <w:pPr>
        <w:pStyle w:val="ListParagraph"/>
        <w:numPr>
          <w:ilvl w:val="0"/>
          <w:numId w:val="1"/>
        </w:numPr>
        <w:tabs>
          <w:tab w:pos="3044" w:val="left" w:leader="none"/>
        </w:tabs>
        <w:spacing w:line="240" w:lineRule="auto" w:before="38" w:after="0"/>
        <w:ind w:left="2760" w:right="107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47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histórico escolar com indicação da carga horária das disciplinas cursadas, legalizado pela autoridade consular brasileira, acompanhado da respectiva tradução juramentada;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989" w:val="left" w:leader="none"/>
        </w:tabs>
        <w:spacing w:line="240" w:lineRule="auto" w:before="0" w:after="0"/>
        <w:ind w:left="2988" w:right="0" w:hanging="228"/>
        <w:jc w:val="both"/>
        <w:rPr>
          <w:sz w:val="24"/>
        </w:rPr>
      </w:pPr>
      <w:r>
        <w:rPr>
          <w:sz w:val="24"/>
        </w:rPr>
        <w:t>(revogada pela Resolução n° 63, de 8 de novembro de</w:t>
      </w:r>
      <w:r>
        <w:rPr>
          <w:spacing w:val="-10"/>
          <w:sz w:val="24"/>
        </w:rPr>
        <w:t> </w:t>
      </w:r>
      <w:r>
        <w:rPr>
          <w:sz w:val="24"/>
        </w:rPr>
        <w:t>2013);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760" w:right="1072"/>
        <w:jc w:val="both"/>
      </w:pPr>
      <w:r>
        <w:rPr/>
        <w:t>c-1) documento comprobatório do conteúdo programático das disciplinas cursadas, legalizado pela autoridade consular brasileira, acompanhado da respectiva tradução juramentada;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15" w:val="left" w:leader="none"/>
        </w:tabs>
        <w:spacing w:line="240" w:lineRule="auto" w:before="0" w:after="0"/>
        <w:ind w:left="3014" w:right="0" w:hanging="254"/>
        <w:jc w:val="both"/>
        <w:rPr>
          <w:sz w:val="24"/>
        </w:rPr>
      </w:pPr>
      <w:r>
        <w:rPr>
          <w:sz w:val="24"/>
        </w:rPr>
        <w:t>(revogada pela Resolução n° 63, de 8 de novembro de</w:t>
      </w:r>
      <w:r>
        <w:rPr>
          <w:spacing w:val="-12"/>
          <w:sz w:val="24"/>
        </w:rPr>
        <w:t> </w:t>
      </w:r>
      <w:r>
        <w:rPr>
          <w:sz w:val="24"/>
        </w:rPr>
        <w:t>2013);</w:t>
      </w:r>
    </w:p>
    <w:p>
      <w:pPr>
        <w:pStyle w:val="BodyText"/>
      </w:pPr>
    </w:p>
    <w:p>
      <w:pPr>
        <w:pStyle w:val="BodyText"/>
        <w:ind w:left="2760" w:right="1072"/>
        <w:jc w:val="both"/>
      </w:pPr>
      <w:r>
        <w:rPr/>
        <w:t>d-1) documento comprobatório da carga horária total e do tempo de integralização do curso, legalizado pela autoridade consular brasileira, acompanhado da respectiva tradução juramentada;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15" w:val="left" w:leader="none"/>
        </w:tabs>
        <w:spacing w:line="242" w:lineRule="auto" w:before="0" w:after="0"/>
        <w:ind w:left="2760" w:right="1073" w:firstLine="0"/>
        <w:jc w:val="both"/>
        <w:rPr>
          <w:sz w:val="24"/>
        </w:rPr>
      </w:pPr>
      <w:r>
        <w:rPr>
          <w:sz w:val="24"/>
        </w:rPr>
        <w:t>carteira de identidade ou Registro Nacional de Estrangeiro (RNE) dentro do prazo de validade e com classificação</w:t>
      </w:r>
      <w:r>
        <w:rPr>
          <w:spacing w:val="-7"/>
          <w:sz w:val="24"/>
        </w:rPr>
        <w:t> </w:t>
      </w:r>
      <w:r>
        <w:rPr>
          <w:sz w:val="24"/>
        </w:rPr>
        <w:t>permanente;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62" w:val="left" w:leader="none"/>
        </w:tabs>
        <w:spacing w:line="240" w:lineRule="auto" w:before="0" w:after="0"/>
        <w:ind w:left="2961" w:right="0" w:hanging="201"/>
        <w:jc w:val="both"/>
        <w:rPr>
          <w:sz w:val="24"/>
        </w:rPr>
      </w:pPr>
      <w:r>
        <w:rPr>
          <w:sz w:val="24"/>
        </w:rPr>
        <w:t>(REVOGADO);</w:t>
      </w:r>
    </w:p>
    <w:p>
      <w:pPr>
        <w:pStyle w:val="BodyText"/>
      </w:pPr>
    </w:p>
    <w:p>
      <w:pPr>
        <w:pStyle w:val="BodyText"/>
        <w:ind w:left="2760"/>
        <w:jc w:val="both"/>
      </w:pPr>
      <w:r>
        <w:rPr/>
        <w:t>g) 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760"/>
        <w:jc w:val="both"/>
      </w:pPr>
      <w:r>
        <w:rPr/>
        <w:t>h) 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2760"/>
        <w:jc w:val="both"/>
      </w:pPr>
      <w:r>
        <w:rPr/>
        <w:t>i) (revogada pela Resolução n° 63, de 8 de novembro de 2013).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760"/>
        <w:jc w:val="both"/>
      </w:pPr>
      <w:r>
        <w:rPr/>
        <w:t>§ 2°.......................................................................................................................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60"/>
        <w:jc w:val="both"/>
      </w:pPr>
      <w:r>
        <w:rPr/>
        <w:t>§ 3° (REVOGADO)</w:t>
      </w:r>
    </w:p>
    <w:p>
      <w:pPr>
        <w:pStyle w:val="BodyText"/>
        <w:spacing w:before="2"/>
      </w:pPr>
    </w:p>
    <w:p>
      <w:pPr>
        <w:pStyle w:val="BodyText"/>
        <w:spacing w:before="1"/>
        <w:ind w:left="2760"/>
        <w:jc w:val="both"/>
      </w:pPr>
      <w:r>
        <w:rPr/>
        <w:t>§ 4°......................................................................................................................”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60" w:right="1068"/>
        <w:jc w:val="both"/>
      </w:pPr>
      <w:r>
        <w:rPr/>
        <w:t>“Art. 5° O CAU/UF deverá conferir os documentos apresentados pelo interessado e compilar as informações em formulário próprio disponível no SICCAU, que deverá adotar o modelo matricial do Anexo II.</w:t>
      </w:r>
    </w:p>
    <w:p>
      <w:pPr>
        <w:pStyle w:val="BodyText"/>
      </w:pPr>
    </w:p>
    <w:p>
      <w:pPr>
        <w:pStyle w:val="BodyText"/>
        <w:ind w:left="2760" w:right="1070"/>
        <w:jc w:val="both"/>
      </w:pPr>
      <w:r>
        <w:rPr/>
        <w:t>§ 1° Concluída a conferência e a compilação, o processo eletrônico deverá ser encaminhado para análise e apreciação da Comissão de Ensino e Formação do CAU/UF, ou, na falta desta, sucessivamente, da comissão com competência para a matéria, ou do Plenário do CAU/UF, seguindo para análise e deliberação da Comissão de Ensino e Formação do CAU/BR e posterior homologação pelo Plenário do CAU/BR, sendo este o competente para deferir ou revogar o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60"/>
        <w:jc w:val="both"/>
      </w:pPr>
      <w:r>
        <w:rPr/>
        <w:t>§ 2° (revogada pela Resolução n° 63, de 8 de novembro de 2013).</w:t>
      </w:r>
    </w:p>
    <w:p>
      <w:pPr>
        <w:spacing w:after="0"/>
        <w:jc w:val="both"/>
        <w:sectPr>
          <w:pgSz w:w="11900" w:h="16850"/>
          <w:pgMar w:header="0" w:footer="958" w:top="1540" w:bottom="1140" w:left="360" w:right="60"/>
        </w:sectPr>
      </w:pPr>
    </w:p>
    <w:p>
      <w:pPr>
        <w:pStyle w:val="BodyText"/>
        <w:spacing w:before="38"/>
        <w:ind w:left="2760" w:right="1066"/>
        <w:jc w:val="both"/>
      </w:pP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2°-A. O formulário do Anexo II deverá ser preenchido confrontando-se os programas ou conteúdos curriculares cursados pelo interessado com os componentes curriculares previstos nas Diretrizes Curriculares Nacionais do Curso de Arquitetura e Urbanismo.</w:t>
      </w:r>
    </w:p>
    <w:p>
      <w:pPr>
        <w:pStyle w:val="BodyText"/>
        <w:spacing w:before="1"/>
      </w:pPr>
    </w:p>
    <w:p>
      <w:pPr>
        <w:pStyle w:val="BodyText"/>
        <w:spacing w:before="1"/>
        <w:ind w:left="2760" w:right="1074"/>
        <w:jc w:val="both"/>
      </w:pPr>
      <w:r>
        <w:rPr/>
        <w:t>§ 3° Após a homologação do registro pelo Plenário do CAU/BR, o CAU/UF efetivará o registro do interessado no SICCAU.”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60" w:right="1066"/>
        <w:jc w:val="both"/>
      </w:pPr>
      <w:r>
        <w:rPr/>
        <w:t>“Art. 5°-A. O processo de registro deverá seguir os procedimentos e despachos definidos no Anexo III dessa</w:t>
      </w:r>
      <w:r>
        <w:rPr>
          <w:spacing w:val="-5"/>
        </w:rPr>
        <w:t> </w:t>
      </w:r>
      <w:r>
        <w:rPr/>
        <w:t>Resolução.”</w:t>
      </w:r>
    </w:p>
    <w:p>
      <w:pPr>
        <w:pStyle w:val="BodyText"/>
      </w:pPr>
    </w:p>
    <w:p>
      <w:pPr>
        <w:pStyle w:val="BodyText"/>
        <w:ind w:left="2760" w:right="1069"/>
        <w:jc w:val="both"/>
      </w:pPr>
      <w:r>
        <w:rPr/>
        <w:t>“Art. 6° Caso seja necessário confirmar a autenticidade do  diploma revalidado, o CAU/UF solicitará ao interessado a apresentação de prova, por meio de atestado fornecido pela instituição de ensino</w:t>
      </w:r>
      <w:r>
        <w:rPr>
          <w:spacing w:val="-11"/>
        </w:rPr>
        <w:t> </w:t>
      </w:r>
      <w:r>
        <w:rPr/>
        <w:t>emitente.”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760" w:right="1071"/>
        <w:jc w:val="both"/>
      </w:pPr>
      <w:r>
        <w:rPr/>
        <w:t>“Art. 7° O registro concedido ao profissional estrangeiro terá validade vinculada à data de expiração do RNE.”</w:t>
      </w:r>
    </w:p>
    <w:p>
      <w:pPr>
        <w:pStyle w:val="BodyText"/>
        <w:spacing w:before="2"/>
      </w:pPr>
    </w:p>
    <w:p>
      <w:pPr>
        <w:pStyle w:val="BodyText"/>
        <w:ind w:left="2760" w:right="1069"/>
        <w:jc w:val="both"/>
      </w:pPr>
      <w:r>
        <w:rPr/>
        <w:t>Parágrafo único. A reativação do registro profissional será automática mediante a apresentação de novo documento de identidade com validade vigente.”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4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1411" w:right="1143"/>
        <w:jc w:val="center"/>
      </w:pPr>
      <w:r>
        <w:rPr/>
        <w:t>Brasília, 12 de setembro de 2014</w:t>
      </w:r>
    </w:p>
    <w:p>
      <w:pPr>
        <w:pStyle w:val="BodyText"/>
      </w:pPr>
    </w:p>
    <w:p>
      <w:pPr>
        <w:pStyle w:val="BodyText"/>
        <w:ind w:left="1342"/>
      </w:pPr>
      <w:r>
        <w:rPr/>
        <w:t>(1) O Anexo III está publicado no sítio letrônico do CAU/B</w:t>
      </w:r>
      <w:hyperlink r:id="rId7">
        <w:r>
          <w:rPr/>
          <w:t>R: www.caubr.gov.br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412"/>
      </w:pPr>
      <w:r>
        <w:rPr/>
        <w:t>HAROLDO PINHEIRO VILLAR DE QUEIROZ</w:t>
      </w:r>
    </w:p>
    <w:p>
      <w:pPr>
        <w:spacing w:before="2"/>
        <w:ind w:left="1413" w:right="114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5"/>
        <w:ind w:left="134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189, Seção 1, de 1° de outubro de 2014)</w:t>
      </w:r>
    </w:p>
    <w:p>
      <w:pPr>
        <w:spacing w:after="0"/>
        <w:jc w:val="left"/>
        <w:rPr>
          <w:sz w:val="20"/>
        </w:rPr>
        <w:sectPr>
          <w:pgSz w:w="11900" w:h="16850"/>
          <w:pgMar w:header="0" w:footer="958" w:top="1540" w:bottom="1140" w:left="360" w:right="60"/>
        </w:sectPr>
      </w:pPr>
    </w:p>
    <w:p>
      <w:pPr>
        <w:pStyle w:val="Heading1"/>
        <w:spacing w:before="38"/>
      </w:pPr>
      <w:r>
        <w:rPr/>
        <w:drawing>
          <wp:anchor distT="0" distB="0" distL="0" distR="0" allowOverlap="1" layoutInCell="1" locked="0" behindDoc="1" simplePos="0" relativeHeight="26841952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26, DE 6 DE JUNHO DE 2012, ALTERADA PELA RESOLUÇÃO N° 87, DE 12 DE SETEMBRO DE 2014</w:t>
      </w:r>
    </w:p>
    <w:p>
      <w:pPr>
        <w:spacing w:line="242" w:lineRule="auto" w:before="0"/>
        <w:ind w:left="5213" w:right="4943" w:firstLine="3"/>
        <w:jc w:val="center"/>
        <w:rPr>
          <w:b/>
          <w:sz w:val="24"/>
        </w:rPr>
      </w:pPr>
      <w:r>
        <w:rPr>
          <w:b/>
          <w:sz w:val="24"/>
        </w:rPr>
        <w:t>ANEXO I (REVOGADO)</w:t>
      </w:r>
    </w:p>
    <w:p>
      <w:pPr>
        <w:spacing w:after="0" w:line="242" w:lineRule="auto"/>
        <w:jc w:val="center"/>
        <w:rPr>
          <w:sz w:val="24"/>
        </w:rPr>
        <w:sectPr>
          <w:pgSz w:w="11900" w:h="16850"/>
          <w:pgMar w:header="0" w:footer="958" w:top="1540" w:bottom="1140" w:left="360" w:right="60"/>
        </w:sectPr>
      </w:pPr>
    </w:p>
    <w:p>
      <w:pPr>
        <w:spacing w:before="38"/>
        <w:ind w:left="1414" w:right="114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955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RESOLUÇÃO N° 26, DE 6 DE JUNHO DE 2012, ALTERADA PELA RESOLUÇÃO N° 87, DE 12 DE SETEMBRO DE 2014</w:t>
      </w:r>
    </w:p>
    <w:p>
      <w:pPr>
        <w:spacing w:line="293" w:lineRule="exact" w:before="0"/>
        <w:ind w:left="1413" w:right="1143" w:firstLine="0"/>
        <w:jc w:val="center"/>
        <w:rPr>
          <w:b/>
          <w:sz w:val="24"/>
        </w:rPr>
      </w:pPr>
      <w:r>
        <w:rPr>
          <w:b/>
          <w:sz w:val="24"/>
        </w:rPr>
        <w:t>ANEXO I-A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5936"/>
      </w:tblGrid>
      <w:tr>
        <w:trPr>
          <w:trHeight w:val="585" w:hRule="atLeast"/>
        </w:trPr>
        <w:tc>
          <w:tcPr>
            <w:tcW w:w="9174" w:type="dxa"/>
            <w:gridSpan w:val="2"/>
          </w:tcPr>
          <w:p>
            <w:pPr>
              <w:pStyle w:val="TableParagraph"/>
              <w:spacing w:line="292" w:lineRule="exact"/>
              <w:ind w:left="432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MATRICIAL PARA REQUERIMENTO DE REGISTRO DE DIPLOMADOS EM IES</w:t>
            </w:r>
          </w:p>
          <w:p>
            <w:pPr>
              <w:pStyle w:val="TableParagraph"/>
              <w:spacing w:line="273" w:lineRule="exact"/>
              <w:ind w:left="432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ESTRANGEIRAS NO SICCAU</w:t>
            </w:r>
          </w:p>
        </w:tc>
      </w:tr>
      <w:tr>
        <w:trPr>
          <w:trHeight w:val="292" w:hRule="atLeast"/>
        </w:trPr>
        <w:tc>
          <w:tcPr>
            <w:tcW w:w="9174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1 - IDENTIFICAÇÃO DO INTERESSADO</w:t>
            </w:r>
          </w:p>
        </w:tc>
      </w:tr>
      <w:tr>
        <w:trPr>
          <w:trHeight w:val="292" w:hRule="atLeast"/>
        </w:trPr>
        <w:tc>
          <w:tcPr>
            <w:tcW w:w="323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23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Nacionalidade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3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Naturalidade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3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3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 de estrangeiro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3238" w:type="dxa"/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238" w:type="dxa"/>
          </w:tcPr>
          <w:p>
            <w:pPr>
              <w:pStyle w:val="TableParagraph"/>
              <w:tabs>
                <w:tab w:pos="1494" w:val="left" w:leader="none"/>
                <w:tab w:pos="2884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  <w:tab/>
              <w:t>completo</w:t>
              <w:tab/>
              <w:t>de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residência no Brasil</w:t>
            </w:r>
          </w:p>
        </w:tc>
        <w:tc>
          <w:tcPr>
            <w:tcW w:w="5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5939"/>
      </w:tblGrid>
      <w:tr>
        <w:trPr>
          <w:trHeight w:val="292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2 - FORMAÇÃO PROFISSIONAL</w:t>
            </w:r>
          </w:p>
        </w:tc>
      </w:tr>
      <w:tr>
        <w:trPr>
          <w:trHeight w:val="294" w:hRule="atLeast"/>
        </w:trPr>
        <w:tc>
          <w:tcPr>
            <w:tcW w:w="3236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Instituição de formação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 de formação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23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expedição do diploma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5922"/>
      </w:tblGrid>
      <w:tr>
        <w:trPr>
          <w:trHeight w:val="292" w:hRule="atLeast"/>
        </w:trPr>
        <w:tc>
          <w:tcPr>
            <w:tcW w:w="9175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3 - REVALIDAÇÃO DO DIPLOMA</w:t>
            </w:r>
          </w:p>
        </w:tc>
      </w:tr>
      <w:tr>
        <w:trPr>
          <w:trHeight w:val="292" w:hRule="atLeast"/>
        </w:trPr>
        <w:tc>
          <w:tcPr>
            <w:tcW w:w="3253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Instituição de revalidação (1)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5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253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25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expedição</w:t>
            </w:r>
          </w:p>
        </w:tc>
        <w:tc>
          <w:tcPr>
            <w:tcW w:w="5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0" w:after="0"/>
        <w:ind w:left="1342" w:right="1227" w:firstLine="0"/>
        <w:jc w:val="left"/>
        <w:rPr>
          <w:sz w:val="24"/>
        </w:rPr>
      </w:pPr>
      <w:r>
        <w:rPr>
          <w:sz w:val="24"/>
        </w:rPr>
        <w:t>De acordo com o disposto no art. 48, § 2°, da Lei n° 9.394, de 20 de dezembro de 1996</w:t>
      </w:r>
      <w:r>
        <w:rPr>
          <w:spacing w:val="-31"/>
          <w:sz w:val="24"/>
        </w:rPr>
        <w:t> </w:t>
      </w:r>
      <w:r>
        <w:rPr>
          <w:sz w:val="24"/>
        </w:rPr>
        <w:t>e na Resolução CNE/CES n° 1, de 2002, alterada pela Resolução CNE/CES n° 8, de 2007, concedendo ao interessado o equivalente ao diploma de Arquiteto e</w:t>
      </w:r>
      <w:r>
        <w:rPr>
          <w:spacing w:val="-14"/>
          <w:sz w:val="24"/>
        </w:rPr>
        <w:t> </w:t>
      </w:r>
      <w:r>
        <w:rPr>
          <w:sz w:val="24"/>
        </w:rPr>
        <w:t>Urbanista.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958" w:top="1540" w:bottom="1140" w:left="360" w:right="60"/>
        </w:sectPr>
      </w:pPr>
    </w:p>
    <w:p>
      <w:pPr>
        <w:pStyle w:val="Heading1"/>
        <w:spacing w:before="38"/>
      </w:pPr>
      <w:r>
        <w:rPr/>
        <w:drawing>
          <wp:anchor distT="0" distB="0" distL="0" distR="0" allowOverlap="1" layoutInCell="1" locked="0" behindDoc="1" simplePos="0" relativeHeight="26841957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26, DE 6 DE JUNHO DE 2012, ALTERADA PELA RESOLUÇÃO N° 87, DE 12 DE SETEMBRO DE 2014</w:t>
      </w:r>
    </w:p>
    <w:p>
      <w:pPr>
        <w:spacing w:line="293" w:lineRule="exact" w:before="0"/>
        <w:ind w:left="1412" w:right="1143" w:firstLine="0"/>
        <w:jc w:val="center"/>
        <w:rPr>
          <w:b/>
          <w:sz w:val="24"/>
        </w:rPr>
      </w:pPr>
      <w:r>
        <w:rPr>
          <w:b/>
          <w:sz w:val="24"/>
        </w:rPr>
        <w:t>ANEXO II</w:t>
      </w:r>
    </w:p>
    <w:tbl>
      <w:tblPr>
        <w:tblW w:w="0" w:type="auto"/>
        <w:jc w:val="left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2832"/>
        <w:gridCol w:w="3180"/>
        <w:gridCol w:w="1354"/>
      </w:tblGrid>
      <w:tr>
        <w:trPr>
          <w:trHeight w:val="296" w:hRule="atLeast"/>
        </w:trPr>
        <w:tc>
          <w:tcPr>
            <w:tcW w:w="9359" w:type="dxa"/>
            <w:gridSpan w:val="4"/>
            <w:shd w:val="clear" w:color="auto" w:fill="DFDFDF"/>
          </w:tcPr>
          <w:p>
            <w:pPr>
              <w:pStyle w:val="TableParagraph"/>
              <w:spacing w:line="272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MATRIZ CURRICULAR DE ANÁLISE DE CORRESPONDÊNCIA DE CURSO (2)</w:t>
            </w:r>
          </w:p>
        </w:tc>
      </w:tr>
      <w:tr>
        <w:trPr>
          <w:trHeight w:val="289" w:hRule="atLeast"/>
        </w:trPr>
        <w:tc>
          <w:tcPr>
            <w:tcW w:w="482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Conteúdos Curriculares Mínimos (3)</w:t>
            </w:r>
          </w:p>
        </w:tc>
        <w:tc>
          <w:tcPr>
            <w:tcW w:w="453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0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Histórico escolar do curso estrangeiro</w:t>
            </w:r>
          </w:p>
        </w:tc>
      </w:tr>
      <w:tr>
        <w:trPr>
          <w:trHeight w:val="584" w:hRule="atLeast"/>
        </w:trPr>
        <w:tc>
          <w:tcPr>
            <w:tcW w:w="4825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45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9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</w:p>
        </w:tc>
      </w:tr>
      <w:tr>
        <w:trPr>
          <w:trHeight w:val="292" w:hRule="atLeast"/>
        </w:trPr>
        <w:tc>
          <w:tcPr>
            <w:tcW w:w="1993" w:type="dxa"/>
            <w:vMerge w:val="restart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6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Núcleo de Conhecimentos de Fundamentação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Estética e história das artes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Estudos sociais e</w:t>
            </w:r>
          </w:p>
          <w:p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econômicos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Estudos ambientais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Desenho e meios de</w:t>
            </w:r>
          </w:p>
          <w:p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representação e expressão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005" w:type="dxa"/>
            <w:gridSpan w:val="3"/>
            <w:tcBorders>
              <w:top w:val="sing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1993" w:type="dxa"/>
            <w:vMerge w:val="restart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6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Núcleo de Conhecimentos Profissionais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Teoria e história da</w:t>
            </w:r>
          </w:p>
          <w:p>
            <w:pPr>
              <w:pStyle w:val="TableParagraph"/>
              <w:spacing w:line="290" w:lineRule="atLeast"/>
              <w:ind w:left="64" w:right="156"/>
              <w:rPr>
                <w:sz w:val="24"/>
              </w:rPr>
            </w:pPr>
            <w:r>
              <w:rPr>
                <w:sz w:val="24"/>
              </w:rPr>
              <w:t>arquitetura, do urbanismo e do paisagismo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"/>
              <w:ind w:left="64"/>
              <w:rPr>
                <w:sz w:val="24"/>
              </w:rPr>
            </w:pPr>
            <w:r>
              <w:rPr>
                <w:sz w:val="24"/>
              </w:rPr>
              <w:t>Técnicas retrospectivas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Projeto de arquitetura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Projeto de urbanismo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1"/>
              <w:ind w:left="64"/>
              <w:rPr>
                <w:sz w:val="24"/>
              </w:rPr>
            </w:pPr>
            <w:r>
              <w:rPr>
                <w:sz w:val="24"/>
              </w:rPr>
              <w:t>Projeto de paisagismo</w:t>
            </w:r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Tecnologia da construção</w:t>
            </w:r>
          </w:p>
        </w:tc>
        <w:tc>
          <w:tcPr>
            <w:tcW w:w="31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exact" w:before="20"/>
              <w:ind w:left="64"/>
              <w:rPr>
                <w:sz w:val="24"/>
              </w:rPr>
            </w:pPr>
            <w:r>
              <w:rPr>
                <w:sz w:val="24"/>
              </w:rPr>
              <w:t>Sistemas estruturais</w:t>
            </w:r>
          </w:p>
        </w:tc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Conforto ambiental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Topografia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atLeast" w:before="1"/>
              <w:ind w:left="64" w:right="350"/>
              <w:rPr>
                <w:sz w:val="24"/>
              </w:rPr>
            </w:pPr>
            <w:r>
              <w:rPr>
                <w:sz w:val="24"/>
              </w:rPr>
              <w:t>Informática aplicada a arquitetura e urbanismo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993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Planejamento urbano e</w:t>
            </w:r>
          </w:p>
          <w:p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regional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005" w:type="dxa"/>
            <w:gridSpan w:val="3"/>
            <w:tcBorders>
              <w:top w:val="single" w:sz="2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35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8005" w:type="dxa"/>
            <w:gridSpan w:val="3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Trabalho de Curso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005" w:type="dxa"/>
            <w:gridSpan w:val="3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Atividades Complementares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00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Estágios Curriculares Supervisionados</w:t>
            </w:r>
          </w:p>
        </w:tc>
        <w:tc>
          <w:tcPr>
            <w:tcW w:w="135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00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354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3"/>
        <w:gridCol w:w="1354"/>
      </w:tblGrid>
      <w:tr>
        <w:trPr>
          <w:trHeight w:val="292" w:hRule="atLeast"/>
        </w:trPr>
        <w:tc>
          <w:tcPr>
            <w:tcW w:w="8003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Exigências cumpridas na revalidação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003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3"/>
        <w:gridCol w:w="1354"/>
      </w:tblGrid>
      <w:tr>
        <w:trPr>
          <w:trHeight w:val="292" w:hRule="atLeast"/>
        </w:trPr>
        <w:tc>
          <w:tcPr>
            <w:tcW w:w="8003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Matérias sem correspondência nos cursos nacionais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003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3"/>
        <w:gridCol w:w="1354"/>
      </w:tblGrid>
      <w:tr>
        <w:trPr>
          <w:trHeight w:val="294" w:hRule="atLeast"/>
        </w:trPr>
        <w:tc>
          <w:tcPr>
            <w:tcW w:w="8003" w:type="dxa"/>
            <w:tcBorders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 da carga horária (4)</w:t>
            </w:r>
          </w:p>
        </w:tc>
        <w:tc>
          <w:tcPr>
            <w:tcW w:w="1354" w:type="dxa"/>
            <w:tcBorders>
              <w:lef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50"/>
          <w:pgMar w:header="0" w:footer="958" w:top="1540" w:bottom="1140" w:left="360" w:right="60"/>
        </w:sectPr>
      </w:pP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38" w:after="0"/>
        <w:ind w:left="1663" w:right="0" w:hanging="32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59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Nos termos do art. 6º, inciso III da Resolução CNE/CES nº 1 de 28 de janeiro de</w:t>
      </w:r>
      <w:r>
        <w:rPr>
          <w:spacing w:val="-24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0" w:after="0"/>
        <w:ind w:left="1342" w:right="1088" w:firstLine="0"/>
        <w:jc w:val="left"/>
        <w:rPr>
          <w:sz w:val="24"/>
        </w:rPr>
      </w:pPr>
      <w:r>
        <w:rPr>
          <w:sz w:val="24"/>
        </w:rPr>
        <w:t>Conforme disposto no Art. 6º das Diretrizes Curriculares Nacionais do curso de</w:t>
      </w:r>
      <w:r>
        <w:rPr>
          <w:spacing w:val="-35"/>
          <w:sz w:val="24"/>
        </w:rPr>
        <w:t> </w:t>
      </w:r>
      <w:r>
        <w:rPr>
          <w:sz w:val="24"/>
        </w:rPr>
        <w:t>graduação em Arquitetura e Urbanismo – Resolução CNE – CES nº 2, de 17 de junho de 2010, que fundamentam o artigo 2º da Lei</w:t>
      </w:r>
      <w:r>
        <w:rPr>
          <w:spacing w:val="-10"/>
          <w:sz w:val="24"/>
        </w:rPr>
        <w:t> </w:t>
      </w:r>
      <w:r>
        <w:rPr>
          <w:sz w:val="24"/>
        </w:rPr>
        <w:t>12.378/2010.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2" w:after="0"/>
        <w:ind w:left="1342" w:right="1354" w:firstLine="0"/>
        <w:jc w:val="left"/>
        <w:rPr>
          <w:sz w:val="24"/>
        </w:rPr>
      </w:pPr>
      <w:r>
        <w:rPr>
          <w:sz w:val="24"/>
        </w:rPr>
        <w:t>Carga horária mínima de </w:t>
      </w:r>
      <w:r>
        <w:rPr>
          <w:sz w:val="24"/>
          <w:u w:val="single"/>
        </w:rPr>
        <w:t>3.600</w:t>
      </w:r>
      <w:r>
        <w:rPr>
          <w:sz w:val="24"/>
        </w:rPr>
        <w:t> horas, conforme disposto na Resolução CNE nº 2, de</w:t>
      </w:r>
      <w:r>
        <w:rPr>
          <w:spacing w:val="-33"/>
          <w:sz w:val="24"/>
        </w:rPr>
        <w:t> </w:t>
      </w:r>
      <w:r>
        <w:rPr>
          <w:sz w:val="24"/>
        </w:rPr>
        <w:t>18 de junho de</w:t>
      </w:r>
      <w:r>
        <w:rPr>
          <w:spacing w:val="-3"/>
          <w:sz w:val="24"/>
        </w:rPr>
        <w:t> </w:t>
      </w:r>
      <w:r>
        <w:rPr>
          <w:sz w:val="24"/>
        </w:rPr>
        <w:t>2007.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958" w:top="1540" w:bottom="1140" w:left="360" w:right="60"/>
        </w:sect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1964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</w:pPr>
      <w:r>
        <w:rPr/>
        <w:t>RESOLUÇÃO N° 26, DE 6 DE JUNHO DE 2012, ALTERADA PELA RESOLUÇÃO N° 87, DE 12 DE SETEMBRO DE 2014</w:t>
      </w:r>
    </w:p>
    <w:p>
      <w:pPr>
        <w:spacing w:before="2"/>
        <w:ind w:left="1414" w:right="1143" w:firstLine="0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293370</wp:posOffset>
            </wp:positionH>
            <wp:positionV relativeFrom="paragraph">
              <wp:posOffset>117153</wp:posOffset>
            </wp:positionV>
            <wp:extent cx="7039087" cy="6968490"/>
            <wp:effectExtent l="0" t="0" r="0" b="0"/>
            <wp:wrapTopAndBottom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087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header="0" w:footer="958" w:top="1600" w:bottom="1140" w:left="3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342" w:hanging="32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53" w:hanging="32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67" w:hanging="32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381" w:hanging="32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395" w:hanging="32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409" w:hanging="32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423" w:hanging="32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437" w:hanging="32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451" w:hanging="32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760" w:hanging="348"/>
        <w:jc w:val="left"/>
      </w:pPr>
      <w:rPr>
        <w:rFonts w:hint="default" w:ascii="Calibri" w:hAnsi="Calibri" w:eastAsia="Calibri" w:cs="Calibri"/>
        <w:spacing w:val="-18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631" w:hanging="34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4503" w:hanging="3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5375" w:hanging="3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6247" w:hanging="3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7119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991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63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735" w:hanging="348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414" w:right="114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34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2019-04-25T14:53:08Z</dcterms:created>
  <dcterms:modified xsi:type="dcterms:W3CDTF">2019-04-25T14:53:08Z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