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8"/>
        <w:ind w:left="2339"/>
      </w:pPr>
      <w:r>
        <w:rPr/>
        <w:drawing>
          <wp:anchor distT="0" distB="0" distL="0" distR="0" allowOverlap="1" layoutInCell="1" locked="0" behindDoc="1" simplePos="0" relativeHeight="26843320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85, DE 15 DE AGOSTO DE 2014</w:t>
      </w:r>
    </w:p>
    <w:p>
      <w:pPr>
        <w:pStyle w:val="BodyText"/>
        <w:spacing w:before="197"/>
        <w:ind w:left="4355" w:right="106"/>
      </w:pPr>
      <w:r>
        <w:rPr/>
        <w:t>Altera a Resolução n° 18, de 2 de março de 2012, que dispõe sobre os registros de profissionais no Conselho de Arquitetura e Urbanismo, e dá outras providências.</w:t>
      </w:r>
    </w:p>
    <w:p>
      <w:pPr>
        <w:pStyle w:val="BodyText"/>
        <w:spacing w:before="193"/>
        <w:ind w:right="108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33, realizada nos dias 14 e 15 de agosto de 2014;</w:t>
      </w:r>
    </w:p>
    <w:p>
      <w:pPr>
        <w:pStyle w:val="BodyText"/>
        <w:spacing w:before="196"/>
        <w:ind w:right="107"/>
      </w:pPr>
      <w:r>
        <w:rPr/>
        <w:t>Considerando que o art. 5° da Resolução CAU/BR n° 18, de 2 de março de 2012, alterado pela Resolução CAU/BR n° 32, de 2 de agosto de 2012, fixou em um ano o prazo de validade do registro provisório dos egressos dos cursos de arquitetura e urbanismo que apresentarem o certificado de conclusão de curso </w:t>
      </w:r>
      <w:r>
        <w:rPr>
          <w:sz w:val="23"/>
        </w:rPr>
        <w:t>no requerimento de registro</w:t>
      </w:r>
      <w:r>
        <w:rPr>
          <w:spacing w:val="-26"/>
          <w:sz w:val="23"/>
        </w:rPr>
        <w:t> </w:t>
      </w:r>
      <w:r>
        <w:rPr>
          <w:sz w:val="23"/>
        </w:rPr>
        <w:t>profissional</w:t>
      </w:r>
      <w:r>
        <w:rPr/>
        <w:t>;</w:t>
      </w:r>
    </w:p>
    <w:p>
      <w:pPr>
        <w:pStyle w:val="BodyText"/>
        <w:spacing w:before="197"/>
        <w:ind w:right="106"/>
      </w:pPr>
      <w:r>
        <w:rPr/>
        <w:t>Considerando que o registro provisório se justifica ante o tempo despendido para as instituições de ensino superior não-universitárias expedirem os diplomas de graduação e para as universidades credenciadas promoverem o registro dos diplomas, na forma da Lei n° 9.394, de 20 de dezembro de 1996, e da Resolução CNE/CES n°</w:t>
      </w:r>
      <w:r>
        <w:rPr>
          <w:spacing w:val="-13"/>
        </w:rPr>
        <w:t> </w:t>
      </w:r>
      <w:r>
        <w:rPr/>
        <w:t>12/2007;</w:t>
      </w:r>
    </w:p>
    <w:p>
      <w:pPr>
        <w:pStyle w:val="BodyText"/>
        <w:spacing w:before="194"/>
        <w:ind w:right="106"/>
      </w:pPr>
      <w:r>
        <w:rPr/>
        <w:t>Considerando que o prazo fixado no art. 5° da Resolução CAU/BR n° 18, de 2012, tem-se mostrado insuficiente para que os egressos dos cursos de graduação obtenham o diploma devidamente registrado e que lhes habilita ao registro definitivo no</w:t>
      </w:r>
      <w:r>
        <w:rPr>
          <w:spacing w:val="-4"/>
        </w:rPr>
        <w:t> </w:t>
      </w:r>
      <w:r>
        <w:rPr/>
        <w:t>CAU;</w:t>
      </w:r>
    </w:p>
    <w:p>
      <w:pPr>
        <w:pStyle w:val="Heading1"/>
        <w:spacing w:before="196"/>
        <w:jc w:val="both"/>
      </w:pPr>
      <w:r>
        <w:rPr/>
        <w:t>RESOLVE:</w:t>
      </w:r>
    </w:p>
    <w:p>
      <w:pPr>
        <w:pStyle w:val="BodyText"/>
        <w:spacing w:before="197"/>
        <w:ind w:right="107"/>
      </w:pPr>
      <w:r>
        <w:rPr/>
        <w:t>Art. 1° O art. 5° da Resolução CAU/BR n° 18, de 2 de março de 2012, publicada no DOU de 2 de abril de 2012, Seção 1, alterado pela Resolução CAU/BR n° 32, de 2 de agosto de 2012, publicada no DOU de 22 de agosto de 2012, Seção 1, passa a vigorar acrescido do seguinte parágrafo:</w:t>
      </w:r>
    </w:p>
    <w:p>
      <w:pPr>
        <w:spacing w:before="191"/>
        <w:ind w:left="1520" w:right="0" w:firstLine="0"/>
        <w:jc w:val="left"/>
        <w:rPr>
          <w:sz w:val="22"/>
        </w:rPr>
      </w:pPr>
      <w:r>
        <w:rPr>
          <w:spacing w:val="-1"/>
          <w:sz w:val="22"/>
        </w:rPr>
        <w:t>“Art.  5°</w:t>
      </w:r>
      <w:r>
        <w:rPr>
          <w:spacing w:val="17"/>
          <w:sz w:val="22"/>
        </w:rPr>
        <w:t> </w:t>
      </w:r>
      <w:r>
        <w:rPr>
          <w:spacing w:val="-1"/>
          <w:sz w:val="22"/>
        </w:rPr>
        <w:t>............................................................................................................................</w:t>
      </w:r>
    </w:p>
    <w:p>
      <w:pPr>
        <w:spacing w:before="0"/>
        <w:ind w:left="1520" w:right="0" w:firstLine="0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</w:t>
      </w:r>
    </w:p>
    <w:p>
      <w:pPr>
        <w:spacing w:before="1"/>
        <w:ind w:left="1520" w:right="103" w:firstLine="0"/>
        <w:jc w:val="both"/>
        <w:rPr>
          <w:sz w:val="22"/>
        </w:rPr>
      </w:pPr>
      <w:r>
        <w:rPr>
          <w:sz w:val="22"/>
        </w:rPr>
        <w:t>§ </w:t>
      </w:r>
      <w:r>
        <w:rPr>
          <w:spacing w:val="-5"/>
          <w:sz w:val="22"/>
        </w:rPr>
        <w:t>2°-A. </w:t>
      </w:r>
      <w:r>
        <w:rPr>
          <w:sz w:val="22"/>
        </w:rPr>
        <w:t>O </w:t>
      </w:r>
      <w:r>
        <w:rPr>
          <w:spacing w:val="-4"/>
          <w:sz w:val="22"/>
        </w:rPr>
        <w:t>prazo </w:t>
      </w:r>
      <w:r>
        <w:rPr>
          <w:spacing w:val="-3"/>
          <w:sz w:val="22"/>
        </w:rPr>
        <w:t>de </w:t>
      </w:r>
      <w:r>
        <w:rPr>
          <w:spacing w:val="-5"/>
          <w:sz w:val="22"/>
        </w:rPr>
        <w:t>registro provisório </w:t>
      </w:r>
      <w:r>
        <w:rPr>
          <w:sz w:val="22"/>
        </w:rPr>
        <w:t>a </w:t>
      </w:r>
      <w:r>
        <w:rPr>
          <w:spacing w:val="-4"/>
          <w:sz w:val="22"/>
        </w:rPr>
        <w:t>que </w:t>
      </w:r>
      <w:r>
        <w:rPr>
          <w:spacing w:val="-3"/>
          <w:sz w:val="22"/>
        </w:rPr>
        <w:t>se </w:t>
      </w:r>
      <w:r>
        <w:rPr>
          <w:spacing w:val="-5"/>
          <w:sz w:val="22"/>
        </w:rPr>
        <w:t>refere </w:t>
      </w:r>
      <w:r>
        <w:rPr>
          <w:sz w:val="22"/>
        </w:rPr>
        <w:t>o § 2° </w:t>
      </w:r>
      <w:r>
        <w:rPr>
          <w:spacing w:val="-5"/>
          <w:sz w:val="22"/>
        </w:rPr>
        <w:t>antecedente </w:t>
      </w:r>
      <w:r>
        <w:rPr>
          <w:spacing w:val="-4"/>
          <w:sz w:val="22"/>
        </w:rPr>
        <w:t>poderá ser </w:t>
      </w:r>
      <w:r>
        <w:rPr>
          <w:spacing w:val="-5"/>
          <w:sz w:val="22"/>
        </w:rPr>
        <w:t>prorrogado </w:t>
      </w:r>
      <w:r>
        <w:rPr>
          <w:spacing w:val="-4"/>
          <w:sz w:val="22"/>
        </w:rPr>
        <w:t>por até igual </w:t>
      </w:r>
      <w:r>
        <w:rPr>
          <w:spacing w:val="-5"/>
          <w:sz w:val="22"/>
        </w:rPr>
        <w:t>período quando, mediante requerimento </w:t>
      </w:r>
      <w:r>
        <w:rPr>
          <w:spacing w:val="-3"/>
          <w:sz w:val="22"/>
        </w:rPr>
        <w:t>do </w:t>
      </w:r>
      <w:r>
        <w:rPr>
          <w:spacing w:val="-5"/>
          <w:sz w:val="22"/>
        </w:rPr>
        <w:t>interessado, </w:t>
      </w:r>
      <w:r>
        <w:rPr>
          <w:sz w:val="22"/>
        </w:rPr>
        <w:t>a </w:t>
      </w:r>
      <w:r>
        <w:rPr>
          <w:spacing w:val="-4"/>
          <w:sz w:val="22"/>
        </w:rPr>
        <w:t>ser </w:t>
      </w:r>
      <w:r>
        <w:rPr>
          <w:spacing w:val="-5"/>
          <w:sz w:val="22"/>
        </w:rPr>
        <w:t>firmado </w:t>
      </w:r>
      <w:r>
        <w:rPr>
          <w:spacing w:val="-4"/>
          <w:sz w:val="22"/>
        </w:rPr>
        <w:t>por meio </w:t>
      </w:r>
      <w:r>
        <w:rPr>
          <w:spacing w:val="-3"/>
          <w:sz w:val="22"/>
        </w:rPr>
        <w:t>de </w:t>
      </w:r>
      <w:r>
        <w:rPr>
          <w:spacing w:val="-5"/>
          <w:sz w:val="22"/>
        </w:rPr>
        <w:t>formulário próprio disponível </w:t>
      </w:r>
      <w:r>
        <w:rPr>
          <w:spacing w:val="-3"/>
          <w:sz w:val="22"/>
        </w:rPr>
        <w:t>no </w:t>
      </w:r>
      <w:r>
        <w:rPr>
          <w:spacing w:val="-5"/>
          <w:sz w:val="22"/>
        </w:rPr>
        <w:t>SICCAU, </w:t>
      </w:r>
      <w:r>
        <w:rPr>
          <w:spacing w:val="-3"/>
          <w:sz w:val="22"/>
        </w:rPr>
        <w:t>for </w:t>
      </w:r>
      <w:r>
        <w:rPr>
          <w:spacing w:val="-5"/>
          <w:sz w:val="22"/>
        </w:rPr>
        <w:t>apresentada justificativa </w:t>
      </w:r>
      <w:r>
        <w:rPr>
          <w:spacing w:val="-4"/>
          <w:sz w:val="22"/>
        </w:rPr>
        <w:t>para </w:t>
      </w:r>
      <w:r>
        <w:rPr>
          <w:sz w:val="22"/>
        </w:rPr>
        <w:t>a </w:t>
      </w:r>
      <w:r>
        <w:rPr>
          <w:spacing w:val="-4"/>
          <w:sz w:val="22"/>
        </w:rPr>
        <w:t>não </w:t>
      </w:r>
      <w:r>
        <w:rPr>
          <w:spacing w:val="-5"/>
          <w:sz w:val="22"/>
        </w:rPr>
        <w:t>apresentação </w:t>
      </w:r>
      <w:r>
        <w:rPr>
          <w:spacing w:val="-3"/>
          <w:sz w:val="22"/>
        </w:rPr>
        <w:t>do </w:t>
      </w:r>
      <w:r>
        <w:rPr>
          <w:spacing w:val="-4"/>
          <w:sz w:val="22"/>
        </w:rPr>
        <w:t>diploma </w:t>
      </w:r>
      <w:r>
        <w:rPr>
          <w:spacing w:val="-3"/>
          <w:sz w:val="22"/>
        </w:rPr>
        <w:t>de </w:t>
      </w:r>
      <w:r>
        <w:rPr>
          <w:spacing w:val="-5"/>
          <w:sz w:val="22"/>
        </w:rPr>
        <w:t>graduação devidamente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registrado.</w:t>
      </w:r>
    </w:p>
    <w:p>
      <w:pPr>
        <w:spacing w:before="1"/>
        <w:ind w:left="1520" w:right="0" w:firstLine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........................................................................................................................................”</w:t>
      </w:r>
    </w:p>
    <w:p>
      <w:pPr>
        <w:pStyle w:val="BodyText"/>
        <w:spacing w:before="198"/>
      </w:pPr>
      <w:r>
        <w:rPr/>
        <w:t>Art. 2° Esta Resolução entrará em vigor na data de sua publicação.</w:t>
      </w:r>
    </w:p>
    <w:p>
      <w:pPr>
        <w:pStyle w:val="BodyText"/>
        <w:spacing w:before="194"/>
        <w:ind w:left="2577" w:right="2583"/>
        <w:jc w:val="center"/>
      </w:pPr>
      <w:r>
        <w:rPr/>
        <w:t>Brasília, 15 de agosto de 2014.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Heading1"/>
        <w:ind w:left="2577" w:right="2583"/>
        <w:jc w:val="center"/>
      </w:pPr>
      <w:r>
        <w:rPr/>
        <w:t>HAROLDO PINHEIRO VILLAR DE QUEIROZ</w:t>
      </w:r>
    </w:p>
    <w:p>
      <w:pPr>
        <w:pStyle w:val="BodyText"/>
        <w:ind w:left="2573" w:right="2583"/>
        <w:jc w:val="center"/>
      </w:pPr>
      <w:r>
        <w:rPr/>
        <w:t>Presidente do CAU/BR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sz w:val="22"/>
        </w:rPr>
        <w:t>(Publicada no Diário Oficial da União, Edição n° 165, Seção 1, de 28de agosto de</w:t>
      </w:r>
      <w:r>
        <w:rPr>
          <w:spacing w:val="-27"/>
          <w:sz w:val="22"/>
        </w:rPr>
        <w:t> </w:t>
      </w:r>
      <w:r>
        <w:rPr>
          <w:sz w:val="22"/>
        </w:rPr>
        <w:t>2014.)</w:t>
      </w:r>
    </w:p>
    <w:p>
      <w:pPr>
        <w:pStyle w:val="BodyText"/>
        <w:spacing w:before="3"/>
        <w:ind w:left="0"/>
        <w:jc w:val="left"/>
        <w:rPr>
          <w:sz w:val="15"/>
        </w:rPr>
      </w:pPr>
    </w:p>
    <w:p>
      <w:pPr>
        <w:spacing w:line="367" w:lineRule="auto" w:before="93"/>
        <w:ind w:left="1263" w:right="441" w:hanging="816"/>
        <w:jc w:val="left"/>
        <w:rPr>
          <w:rFonts w:ascii="Arial" w:hAnsi="Arial"/>
          <w:sz w:val="20"/>
        </w:rPr>
      </w:pPr>
      <w:r>
        <w:rPr>
          <w:rFonts w:ascii="Arial" w:hAnsi="Arial"/>
          <w:color w:val="234060"/>
          <w:sz w:val="20"/>
        </w:rPr>
        <w:t>SCS Quadra 2, Bloco C, Entrada 22, Edifício Serra Dourada, Salas 401/409 – CEP 70300-902 Brasília, Distrito Federal | </w:t>
      </w:r>
      <w:hyperlink r:id="rId6">
        <w:r>
          <w:rPr>
            <w:rFonts w:ascii="Arial" w:hAnsi="Arial"/>
            <w:color w:val="234060"/>
            <w:sz w:val="20"/>
          </w:rPr>
          <w:t>www.caubr.gov.br </w:t>
        </w:r>
      </w:hyperlink>
      <w:r>
        <w:rPr>
          <w:rFonts w:ascii="Arial" w:hAnsi="Arial"/>
          <w:color w:val="234060"/>
          <w:sz w:val="20"/>
        </w:rPr>
        <w:t>–</w:t>
      </w:r>
      <w:r>
        <w:rPr>
          <w:rFonts w:ascii="Arial" w:hAnsi="Arial"/>
          <w:color w:val="234060"/>
          <w:spacing w:val="-2"/>
          <w:sz w:val="20"/>
        </w:rPr>
        <w:t> </w:t>
      </w:r>
      <w:hyperlink r:id="rId7">
        <w:r>
          <w:rPr>
            <w:rFonts w:ascii="Arial" w:hAnsi="Arial"/>
            <w:color w:val="234060"/>
            <w:sz w:val="20"/>
          </w:rPr>
          <w:t>atendimento@caubr.gov.br</w:t>
        </w:r>
      </w:hyperlink>
    </w:p>
    <w:sectPr>
      <w:type w:val="continuous"/>
      <w:pgSz w:w="11900" w:h="16850"/>
      <w:pgMar w:top="154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2019-04-25T14:53:19Z</dcterms:created>
  <dcterms:modified xsi:type="dcterms:W3CDTF">2019-04-25T14:53:19Z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