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23"/>
        </w:rPr>
      </w:pPr>
    </w:p>
    <w:p>
      <w:pPr>
        <w:pStyle w:val="BodyText"/>
        <w:spacing w:before="90"/>
        <w:ind w:left="1931"/>
      </w:pPr>
      <w:r>
        <w:rPr/>
        <w:t>RESOLUÇÃO N° 69, DE 27 DE DEZEMBRO DE 2013.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00"/>
      </w:pPr>
      <w:r>
        <w:rPr>
          <w:color w:val="365F91"/>
        </w:rPr>
        <w:t>Revogada pela Resolução CAU/BR nº 121, de 2016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4637" w:right="105"/>
        <w:jc w:val="both"/>
      </w:pPr>
      <w:r>
        <w:rPr>
          <w:strike/>
        </w:rPr>
        <w:t>Altera a Resolução CAU/BR n° 61, de 2013,</w:t>
      </w:r>
      <w:r>
        <w:rPr>
          <w:strike w:val="0"/>
        </w:rPr>
        <w:t> </w:t>
      </w:r>
      <w:r>
        <w:rPr>
          <w:strike/>
        </w:rPr>
        <w:t>que dispõe sobre a cobrança dos valores de</w:t>
      </w:r>
      <w:r>
        <w:rPr>
          <w:strike w:val="0"/>
        </w:rPr>
        <w:t> </w:t>
      </w:r>
      <w:r>
        <w:rPr>
          <w:strike/>
        </w:rPr>
        <w:t>anuidades devidas aos Conselhos de </w:t>
      </w:r>
      <w:r>
        <w:rPr>
          <w:strike/>
          <w:spacing w:val="-3"/>
        </w:rPr>
        <w:t>Arquitetura</w:t>
      </w:r>
      <w:r>
        <w:rPr>
          <w:strike w:val="0"/>
          <w:spacing w:val="-3"/>
        </w:rPr>
        <w:t> </w:t>
      </w:r>
      <w:r>
        <w:rPr>
          <w:strike/>
        </w:rPr>
        <w:t>e Urbanismo dos Estados e do Distrito Federal</w:t>
      </w:r>
      <w:r>
        <w:rPr>
          <w:strike w:val="0"/>
        </w:rPr>
        <w:t> </w:t>
      </w:r>
      <w:r>
        <w:rPr>
          <w:strike/>
        </w:rPr>
        <w:t>(CAU/UF) e dá outras</w:t>
      </w:r>
      <w:r>
        <w:rPr>
          <w:strike/>
          <w:spacing w:val="-2"/>
        </w:rPr>
        <w:t> </w:t>
      </w:r>
      <w:r>
        <w:rPr>
          <w:strike/>
        </w:rPr>
        <w:t>providências.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90"/>
        <w:ind w:left="100"/>
      </w:pPr>
      <w:r>
        <w:rPr>
          <w:strike/>
        </w:rPr>
        <w:t>O PRESIDENTE DO CONSELHO DE ARQUITETURA E URBANISMO DO BRASIL</w:t>
      </w:r>
    </w:p>
    <w:p>
      <w:pPr>
        <w:pStyle w:val="BodyText"/>
        <w:ind w:left="100" w:right="106"/>
        <w:jc w:val="both"/>
      </w:pPr>
      <w:r>
        <w:rPr>
          <w:strike/>
        </w:rPr>
        <w:t>(CAU/BR), no uso das atribuições que lhe conferem o art. 29 da Lei n° 12.378, de 31 de</w:t>
      </w:r>
      <w:r>
        <w:rPr>
          <w:strike w:val="0"/>
        </w:rPr>
        <w:t> </w:t>
      </w:r>
      <w:r>
        <w:rPr>
          <w:strike/>
        </w:rPr>
        <w:t>dezembro de 2010, e o art. 70, inciso XVII do Regimento Geral aprovado pela Resolução</w:t>
      </w:r>
      <w:r>
        <w:rPr>
          <w:strike w:val="0"/>
        </w:rPr>
        <w:t> </w:t>
      </w:r>
      <w:r>
        <w:rPr>
          <w:strike/>
        </w:rPr>
        <w:t>CAU/BR n° 33, de 6 de setembro de 2012;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00" w:right="108"/>
        <w:jc w:val="both"/>
      </w:pPr>
      <w:r>
        <w:rPr>
          <w:strike/>
        </w:rPr>
        <w:t>Considerando que pela Resolução n° 4, de 15 de dezembro de 2011, art. 2°, IV, fora concedido</w:t>
      </w:r>
      <w:r>
        <w:rPr>
          <w:strike w:val="0"/>
        </w:rPr>
        <w:t> </w:t>
      </w:r>
      <w:r>
        <w:rPr>
          <w:strike/>
        </w:rPr>
        <w:t>o benefício do pagamento da anuidade, com redução de 90% (noventa por cento), aos</w:t>
      </w:r>
      <w:r>
        <w:rPr>
          <w:strike w:val="0"/>
        </w:rPr>
        <w:t> </w:t>
      </w:r>
      <w:r>
        <w:rPr>
          <w:strike/>
        </w:rPr>
        <w:t>profissionais que tivessem completado 35 (trinta e cinco) anos de contribuição na data da</w:t>
      </w:r>
      <w:r>
        <w:rPr>
          <w:strike w:val="0"/>
        </w:rPr>
        <w:t> </w:t>
      </w:r>
      <w:r>
        <w:rPr>
          <w:strike/>
        </w:rPr>
        <w:t>publicação da Lei n° 12.378, de 2010;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00" w:right="109"/>
        <w:jc w:val="both"/>
      </w:pPr>
      <w:r>
        <w:rPr>
          <w:strike/>
        </w:rPr>
        <w:t>Considerando que a Resolução CAU/BR n° 61, de 7 de novembro de 2013, não contemplou a</w:t>
      </w:r>
      <w:r>
        <w:rPr>
          <w:strike w:val="0"/>
        </w:rPr>
        <w:t> </w:t>
      </w:r>
      <w:r>
        <w:rPr>
          <w:strike/>
        </w:rPr>
        <w:t>possibilidade de redução do valor da anuidade para os profissionais a que se reportava o art. 2°,</w:t>
      </w:r>
      <w:r>
        <w:rPr>
          <w:strike w:val="0"/>
        </w:rPr>
        <w:t> </w:t>
      </w:r>
      <w:r>
        <w:rPr>
          <w:strike/>
        </w:rPr>
        <w:t>IV da Resolução n° 4, de 2011;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00" w:right="101"/>
        <w:jc w:val="both"/>
      </w:pPr>
      <w:r>
        <w:rPr>
          <w:strike/>
        </w:rPr>
        <w:t>Considerando as ponderações da Ouvidoria Geral do CAU, que recomenda que a eventual</w:t>
      </w:r>
      <w:r>
        <w:rPr>
          <w:strike w:val="0"/>
        </w:rPr>
        <w:t> </w:t>
      </w:r>
      <w:r>
        <w:rPr>
          <w:strike/>
        </w:rPr>
        <w:t>suspensão de benefícios seja feita de forma gradativa, evitando-se surpreender os profissionais</w:t>
      </w:r>
      <w:r>
        <w:rPr>
          <w:strike w:val="0"/>
        </w:rPr>
        <w:t> </w:t>
      </w:r>
      <w:r>
        <w:rPr>
          <w:strike/>
        </w:rPr>
        <w:t>que já contassem, eventualmente, com a expectativa do benefício de redução do valor de</w:t>
      </w:r>
      <w:r>
        <w:rPr>
          <w:strike w:val="0"/>
        </w:rPr>
        <w:t> </w:t>
      </w:r>
      <w:r>
        <w:rPr>
          <w:strike/>
        </w:rPr>
        <w:t>anuidade;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90"/>
        <w:ind w:left="100" w:right="0" w:firstLine="0"/>
        <w:jc w:val="left"/>
        <w:rPr>
          <w:sz w:val="24"/>
        </w:rPr>
      </w:pPr>
      <w:r>
        <w:rPr>
          <w:strike/>
          <w:sz w:val="24"/>
        </w:rPr>
        <w:t>RESOLVE, </w:t>
      </w:r>
      <w:r>
        <w:rPr>
          <w:i/>
          <w:strike/>
          <w:sz w:val="24"/>
        </w:rPr>
        <w:t>AD REFERENDUM </w:t>
      </w:r>
      <w:r>
        <w:rPr>
          <w:strike/>
          <w:sz w:val="24"/>
        </w:rPr>
        <w:t>DO PLENÁRIO: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0"/>
        <w:ind w:left="100"/>
      </w:pPr>
      <w:r>
        <w:rPr>
          <w:strike/>
        </w:rPr>
        <w:t>Art. 1° O art. 3° da Resolução CAU/BR n° 61, de 7 de novembro de 2013, passam a vigorar</w:t>
      </w:r>
      <w:r>
        <w:rPr>
          <w:strike w:val="0"/>
        </w:rPr>
        <w:t> </w:t>
      </w:r>
      <w:r>
        <w:rPr>
          <w:strike/>
        </w:rPr>
        <w:t>acrescido do § 3° com a seguinte redação: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802" w:right="101"/>
        <w:jc w:val="both"/>
      </w:pPr>
      <w:r>
        <w:rPr>
          <w:strike/>
          <w:spacing w:val="-60"/>
        </w:rPr>
        <w:t> </w:t>
      </w:r>
      <w:r>
        <w:rPr>
          <w:strike/>
        </w:rPr>
        <w:t>“§ 3° Exclusivamente aos arquitetos e urbanistas que, até a data da publicação</w:t>
      </w:r>
      <w:r>
        <w:rPr>
          <w:strike w:val="0"/>
        </w:rPr>
        <w:t> </w:t>
      </w:r>
      <w:r>
        <w:rPr>
          <w:strike/>
        </w:rPr>
        <w:t>da Lei n° 12.378, de 31 de dezembro de 2010, tenham completado 35 (trinta e</w:t>
      </w:r>
      <w:r>
        <w:rPr>
          <w:strike w:val="0"/>
        </w:rPr>
        <w:t> </w:t>
      </w:r>
      <w:r>
        <w:rPr>
          <w:strike/>
        </w:rPr>
        <w:t>cinco) anos de contribuição aos então Conselhos Regionais de Engenharia,</w:t>
      </w:r>
      <w:r>
        <w:rPr>
          <w:strike w:val="0"/>
        </w:rPr>
        <w:t> </w:t>
      </w:r>
      <w:r>
        <w:rPr>
          <w:strike/>
        </w:rPr>
        <w:t>Arquitetura</w:t>
      </w:r>
      <w:r>
        <w:rPr>
          <w:strike/>
          <w:spacing w:val="28"/>
        </w:rPr>
        <w:t> </w:t>
      </w:r>
      <w:r>
        <w:rPr>
          <w:strike/>
        </w:rPr>
        <w:t>e</w:t>
      </w:r>
      <w:r>
        <w:rPr>
          <w:strike/>
          <w:spacing w:val="29"/>
        </w:rPr>
        <w:t> </w:t>
      </w:r>
      <w:r>
        <w:rPr>
          <w:strike/>
        </w:rPr>
        <w:t>Agronomia</w:t>
      </w:r>
      <w:r>
        <w:rPr>
          <w:strike/>
          <w:spacing w:val="30"/>
        </w:rPr>
        <w:t> </w:t>
      </w:r>
      <w:r>
        <w:rPr>
          <w:strike/>
        </w:rPr>
        <w:t>(CREA),</w:t>
      </w:r>
      <w:r>
        <w:rPr>
          <w:strike/>
          <w:spacing w:val="29"/>
        </w:rPr>
        <w:t> </w:t>
      </w:r>
      <w:r>
        <w:rPr>
          <w:strike/>
        </w:rPr>
        <w:t>será</w:t>
      </w:r>
      <w:r>
        <w:rPr>
          <w:strike/>
          <w:spacing w:val="29"/>
        </w:rPr>
        <w:t> </w:t>
      </w:r>
      <w:r>
        <w:rPr>
          <w:strike/>
        </w:rPr>
        <w:t>concedido,</w:t>
      </w:r>
      <w:r>
        <w:rPr>
          <w:strike/>
          <w:spacing w:val="31"/>
        </w:rPr>
        <w:t> </w:t>
      </w:r>
      <w:r>
        <w:rPr>
          <w:strike/>
        </w:rPr>
        <w:t>cumulativamente</w:t>
      </w:r>
      <w:r>
        <w:rPr>
          <w:strike/>
          <w:spacing w:val="29"/>
        </w:rPr>
        <w:t> </w:t>
      </w:r>
      <w:r>
        <w:rPr>
          <w:strike/>
        </w:rPr>
        <w:t>com</w:t>
      </w:r>
      <w:r>
        <w:rPr>
          <w:strike/>
          <w:spacing w:val="30"/>
        </w:rPr>
        <w:t> </w:t>
      </w:r>
      <w:r>
        <w:rPr>
          <w:strike/>
        </w:rPr>
        <w:t>o</w:t>
      </w:r>
    </w:p>
    <w:p>
      <w:pPr>
        <w:pStyle w:val="BodyText"/>
        <w:spacing w:before="1"/>
        <w:ind w:left="1802" w:right="101"/>
        <w:jc w:val="both"/>
      </w:pPr>
      <w:r>
        <w:rPr>
          <w:strike/>
          <w:spacing w:val="-60"/>
        </w:rPr>
        <w:t> </w:t>
      </w:r>
      <w:r>
        <w:rPr>
          <w:strike/>
        </w:rPr>
        <w:t>benefício de que trata o art. 2°, inciso III, letra “b” desta Resolução, adicional</w:t>
      </w:r>
      <w:r>
        <w:rPr>
          <w:strike w:val="0"/>
        </w:rPr>
        <w:t> </w:t>
      </w:r>
      <w:r>
        <w:rPr>
          <w:strike/>
        </w:rPr>
        <w:t>de desconto de 40% (quarenta por cento), perfazendo o desconto total de 90%</w:t>
      </w:r>
      <w:r>
        <w:rPr>
          <w:strike w:val="0"/>
        </w:rPr>
        <w:t> </w:t>
      </w:r>
      <w:r>
        <w:rPr>
          <w:strike/>
        </w:rPr>
        <w:t>(noventa  por  cento),  para  o  caso  de  optarem  pelo  pagamento  integral</w:t>
      </w:r>
      <w:r>
        <w:rPr>
          <w:strike/>
          <w:spacing w:val="25"/>
        </w:rPr>
        <w:t> </w:t>
      </w:r>
      <w:r>
        <w:rPr>
          <w:strike/>
        </w:rPr>
        <w:t>da</w:t>
      </w:r>
    </w:p>
    <w:p>
      <w:pPr>
        <w:pStyle w:val="BodyText"/>
        <w:ind w:left="1802"/>
        <w:jc w:val="both"/>
      </w:pPr>
      <w:r>
        <w:rPr>
          <w:strike/>
          <w:spacing w:val="-60"/>
        </w:rPr>
        <w:t> </w:t>
      </w:r>
      <w:r>
        <w:rPr>
          <w:strike/>
        </w:rPr>
        <w:t>anuidade na forma prevista no inciso I do caput deste artigo.”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00" w:h="16850"/>
          <w:pgMar w:header="568" w:footer="1055" w:top="1600" w:bottom="1240" w:left="1460" w:right="1020"/>
          <w:pgNumType w:start="1"/>
        </w:sectPr>
      </w:pPr>
    </w:p>
    <w:p>
      <w:pPr>
        <w:pStyle w:val="BodyText"/>
        <w:spacing w:before="80"/>
        <w:ind w:left="100"/>
      </w:pPr>
      <w:r>
        <w:rPr>
          <w:strike/>
        </w:rPr>
        <w:t>Art. 2° Esta Resolução entra em vigor na data de sua publicação e vigorará até 31 de dezembro</w:t>
      </w:r>
      <w:r>
        <w:rPr>
          <w:strike w:val="0"/>
        </w:rPr>
        <w:t> </w:t>
      </w:r>
      <w:r>
        <w:rPr>
          <w:strike/>
        </w:rPr>
        <w:t>de 2015.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3065"/>
      </w:pPr>
      <w:r>
        <w:rPr>
          <w:strike/>
        </w:rPr>
        <w:t>Brasília, 27 de dezembro de 2013.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line="274" w:lineRule="exact" w:before="1"/>
        <w:ind w:left="2339" w:right="2340" w:firstLine="0"/>
        <w:jc w:val="center"/>
        <w:rPr>
          <w:b/>
          <w:sz w:val="24"/>
        </w:rPr>
      </w:pPr>
      <w:r>
        <w:rPr>
          <w:b/>
          <w:strike/>
          <w:sz w:val="24"/>
        </w:rPr>
        <w:t>HAROLDO PINHEIRO VILLAR QUEIROZ</w:t>
      </w:r>
    </w:p>
    <w:p>
      <w:pPr>
        <w:pStyle w:val="BodyText"/>
        <w:spacing w:line="274" w:lineRule="exact"/>
        <w:ind w:left="2336" w:right="2340"/>
        <w:jc w:val="center"/>
      </w:pPr>
      <w:r>
        <w:rPr>
          <w:strike/>
        </w:rPr>
        <w:t>Presidente do CAU/BR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90"/>
        <w:ind w:left="100" w:right="106"/>
        <w:jc w:val="both"/>
      </w:pPr>
      <w:r>
        <w:rPr>
          <w:strike/>
        </w:rPr>
        <w:t>(Publicada no Diário Oficial da União, Edição n° 253, Seção 1, de 31 de dezembro de 2013.</w:t>
      </w:r>
      <w:r>
        <w:rPr>
          <w:strike w:val="0"/>
        </w:rPr>
        <w:t> </w:t>
      </w:r>
      <w:r>
        <w:rPr>
          <w:strike/>
        </w:rPr>
        <w:t>Ratificada na 26ª Reunião Plenária Ordinária do CAU/BR, de 23 de janeiro de 2014.</w:t>
      </w:r>
      <w:r>
        <w:rPr>
          <w:strike w:val="0"/>
        </w:rPr>
        <w:t> </w:t>
      </w:r>
      <w:r>
        <w:rPr>
          <w:strike/>
        </w:rPr>
        <w:t>Retificação publicada no Diário Oficial da União, Edição n° 22, Seção 1, de 31 de janeiro de</w:t>
      </w:r>
      <w:r>
        <w:rPr>
          <w:strike w:val="0"/>
        </w:rPr>
        <w:t> </w:t>
      </w:r>
      <w:r>
        <w:rPr>
          <w:strike/>
        </w:rPr>
        <w:t>2014.)</w:t>
      </w:r>
    </w:p>
    <w:sectPr>
      <w:pgSz w:w="11900" w:h="16850"/>
      <w:pgMar w:header="568" w:footer="1055" w:top="1600" w:bottom="124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1599">
          <wp:simplePos x="0" y="0"/>
          <wp:positionH relativeFrom="page">
            <wp:posOffset>0</wp:posOffset>
          </wp:positionH>
          <wp:positionV relativeFrom="page">
            <wp:posOffset>9846472</wp:posOffset>
          </wp:positionV>
          <wp:extent cx="7555992" cy="439749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4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359985pt;margin-top:782.372498pt;width:9.050pt;height:12.1pt;mso-position-horizontal-relative:page;mso-position-vertical-relative:page;z-index:-3832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1575">
          <wp:simplePos x="0" y="0"/>
          <wp:positionH relativeFrom="page">
            <wp:posOffset>0</wp:posOffset>
          </wp:positionH>
          <wp:positionV relativeFrom="page">
            <wp:posOffset>360974</wp:posOffset>
          </wp:positionV>
          <wp:extent cx="7555992" cy="58486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2019-04-25T15:37:25Z</dcterms:created>
  <dcterms:modified xsi:type="dcterms:W3CDTF">2019-04-25T15:37:25Z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