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1"/>
        <w:ind w:left="2237"/>
        <w:jc w:val="left"/>
      </w:pPr>
      <w:r>
        <w:rPr/>
        <w:t>RESOLUÇÃO N° 63, DE 8 DE NOVEMBRO DE 2013</w:t>
      </w:r>
    </w:p>
    <w:p>
      <w:pPr>
        <w:pStyle w:val="BodyText"/>
        <w:rPr>
          <w:b/>
        </w:rPr>
      </w:pPr>
    </w:p>
    <w:p>
      <w:pPr>
        <w:pStyle w:val="BodyText"/>
        <w:ind w:left="4375" w:right="267"/>
        <w:jc w:val="both"/>
      </w:pPr>
      <w:r>
        <w:rPr/>
        <w:t>Altera a Resolução CAU/BR n° 26, de 2012, que trata do registro de arquitetos e urbanistas, brasileiros ou estrangeiros portadores de visto permanente, diplomados por instituições de ensino estrangeiras, nos Conselhos de Arquitetura e Urbanismo dos Estados e do Distrito Federal (CAU/UF) e dá outras providências.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22" w:right="266"/>
        <w:jc w:val="both"/>
      </w:pPr>
      <w:r>
        <w:rPr/>
        <w:t>O Conselho de Arquitetura e Urbanismo do Brasil (CAU/BR), no uso das competências e prerrogativas previstas no art. 28, incisos I e II da Lei n° 12.378, de 31 de dezembro de 2010, e nos artigos 2°, incisos II e IV, 3°, incisos I e V, e 9°, incisos I e XLII do Regimento Geral aprovado pela Resolução CAU/BR n° 33, de 6 de setembro de 2012, e de acordo com a deliberação adotada na Reunião Plenária Ordinária n° 24, realizada no dia 8 de novembro de 2013;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ind w:left="122"/>
        <w:jc w:val="left"/>
      </w:pPr>
      <w:r>
        <w:rPr/>
        <w:t>RESOLVE:</w:t>
      </w: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22" w:right="275"/>
        <w:jc w:val="both"/>
      </w:pPr>
      <w:r>
        <w:rPr/>
        <w:t>Art. 1° Na Resolução CAU/BR n° 26, de 6 de junho de 2012, são revogadas as alíneas “c”, “d” e “i” do § 1° do art. 4° e o § 2° do art. 5°.</w:t>
      </w:r>
    </w:p>
    <w:p>
      <w:pPr>
        <w:pStyle w:val="BodyText"/>
      </w:pPr>
    </w:p>
    <w:p>
      <w:pPr>
        <w:pStyle w:val="BodyText"/>
        <w:ind w:left="122" w:right="268"/>
        <w:jc w:val="both"/>
      </w:pPr>
      <w:r>
        <w:rPr/>
        <w:t>Art. 2° Os artigos 3° e 5° e o Anexo I da Resolução CAU/BR n° 26, de 6 de junho de 2012, passam a vigorar com as seguintes alterações:</w:t>
      </w:r>
    </w:p>
    <w:p>
      <w:pPr>
        <w:pStyle w:val="BodyText"/>
        <w:spacing w:before="1"/>
      </w:pPr>
    </w:p>
    <w:p>
      <w:pPr>
        <w:pStyle w:val="BodyText"/>
        <w:spacing w:before="1"/>
        <w:ind w:left="1540" w:right="270"/>
        <w:jc w:val="both"/>
      </w:pPr>
      <w:r>
        <w:rPr/>
        <w:t>“Art. 3° As atividades, atribuições e campos de atuação dos arquitetos e urbanistas referidos nesta Resolução são aqueles definidos na Lei n° 12.378, de 31 de dezembro de 2010, e nas Resoluções do CAU/BR que tratam da matéria.”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40" w:right="267"/>
        <w:jc w:val="both"/>
      </w:pPr>
      <w:r>
        <w:rPr/>
        <w:t>“Art. 5° Apresentado o requerimento de registro devidamente instruído, o CAU/UF deverá conferir os documentos e informações inseridos pelo interessado em campos específicos no SICCAU, que deverão seguir a relação descrita no Anexo I.</w:t>
      </w:r>
    </w:p>
    <w:p>
      <w:pPr>
        <w:pStyle w:val="BodyText"/>
      </w:pPr>
    </w:p>
    <w:p>
      <w:pPr>
        <w:pStyle w:val="BodyText"/>
        <w:ind w:left="1540" w:right="268"/>
        <w:jc w:val="both"/>
      </w:pPr>
      <w:r>
        <w:rPr/>
        <w:t>§ 1° Após conferência e aceite dos documentos e informações, o processo eletrônico deverá ser encaminhado para análise e apreciação da Comissão de Ensino e Formação do CAU/UF, ou, na falta desta, sucessivamente, da comissão com competência para a matéria, ou do Plenário, e posterior homologação da Comissão de Ensino e Formação do CAU/BR.</w:t>
      </w:r>
    </w:p>
    <w:p>
      <w:pPr>
        <w:pStyle w:val="BodyText"/>
        <w:spacing w:before="1"/>
        <w:ind w:left="1540"/>
        <w:jc w:val="both"/>
      </w:pPr>
      <w:r>
        <w:rPr/>
        <w:t>.....................................................................................................................”</w:t>
      </w:r>
    </w:p>
    <w:p>
      <w:pPr>
        <w:pStyle w:val="BodyText"/>
      </w:pPr>
    </w:p>
    <w:p>
      <w:pPr>
        <w:pStyle w:val="Heading1"/>
        <w:ind w:right="2742"/>
      </w:pPr>
      <w:r>
        <w:rPr/>
        <w:t>ANEXO I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50"/>
          <w:pgMar w:header="708" w:footer="956" w:top="1500" w:bottom="1140" w:left="1580" w:right="860"/>
        </w:sectPr>
      </w:pPr>
    </w:p>
    <w:p>
      <w:pPr>
        <w:pStyle w:val="BodyText"/>
        <w:spacing w:before="4"/>
        <w:rPr>
          <w:b/>
          <w:sz w:val="3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5487"/>
      </w:tblGrid>
      <w:tr>
        <w:trPr>
          <w:trHeight w:val="292" w:hRule="atLeast"/>
        </w:trPr>
        <w:tc>
          <w:tcPr>
            <w:tcW w:w="9174" w:type="dxa"/>
            <w:gridSpan w:val="2"/>
            <w:shd w:val="clear" w:color="auto" w:fill="D9D9D9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1 - IDENTIFICAÇÃO DO INTERESSADO</w:t>
            </w:r>
          </w:p>
        </w:tc>
      </w:tr>
      <w:tr>
        <w:trPr>
          <w:trHeight w:val="292" w:hRule="atLeast"/>
        </w:trPr>
        <w:tc>
          <w:tcPr>
            <w:tcW w:w="368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Nome completo</w:t>
            </w:r>
          </w:p>
        </w:tc>
        <w:tc>
          <w:tcPr>
            <w:tcW w:w="548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68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Nacionalidade</w:t>
            </w:r>
          </w:p>
        </w:tc>
        <w:tc>
          <w:tcPr>
            <w:tcW w:w="548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36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Naturalidade</w:t>
            </w:r>
          </w:p>
        </w:tc>
        <w:tc>
          <w:tcPr>
            <w:tcW w:w="548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68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Data de nascimento</w:t>
            </w:r>
          </w:p>
        </w:tc>
        <w:tc>
          <w:tcPr>
            <w:tcW w:w="548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68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Identidade de estrangeiro</w:t>
            </w:r>
          </w:p>
        </w:tc>
        <w:tc>
          <w:tcPr>
            <w:tcW w:w="548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68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548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87" w:hRule="atLeast"/>
        </w:trPr>
        <w:tc>
          <w:tcPr>
            <w:tcW w:w="3687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Endereço completo de residência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no Brasil</w:t>
            </w:r>
          </w:p>
        </w:tc>
        <w:tc>
          <w:tcPr>
            <w:tcW w:w="548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5487"/>
      </w:tblGrid>
      <w:tr>
        <w:trPr>
          <w:trHeight w:val="292" w:hRule="atLeast"/>
        </w:trPr>
        <w:tc>
          <w:tcPr>
            <w:tcW w:w="9174" w:type="dxa"/>
            <w:gridSpan w:val="2"/>
            <w:shd w:val="clear" w:color="auto" w:fill="D9D9D9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2 - FORMAÇÃO PROFISSIONAL</w:t>
            </w:r>
          </w:p>
        </w:tc>
      </w:tr>
      <w:tr>
        <w:trPr>
          <w:trHeight w:val="292" w:hRule="atLeast"/>
        </w:trPr>
        <w:tc>
          <w:tcPr>
            <w:tcW w:w="368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Instituição de formação</w:t>
            </w:r>
          </w:p>
        </w:tc>
        <w:tc>
          <w:tcPr>
            <w:tcW w:w="548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368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Curso de formação</w:t>
            </w:r>
          </w:p>
        </w:tc>
        <w:tc>
          <w:tcPr>
            <w:tcW w:w="548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368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Cidade</w:t>
            </w:r>
          </w:p>
        </w:tc>
        <w:tc>
          <w:tcPr>
            <w:tcW w:w="548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68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País</w:t>
            </w:r>
          </w:p>
        </w:tc>
        <w:tc>
          <w:tcPr>
            <w:tcW w:w="548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68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Data de expedição do diploma</w:t>
            </w:r>
          </w:p>
        </w:tc>
        <w:tc>
          <w:tcPr>
            <w:tcW w:w="548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2"/>
        <w:rPr>
          <w:b/>
          <w:sz w:val="23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5487"/>
      </w:tblGrid>
      <w:tr>
        <w:trPr>
          <w:trHeight w:val="294" w:hRule="atLeast"/>
        </w:trPr>
        <w:tc>
          <w:tcPr>
            <w:tcW w:w="9174" w:type="dxa"/>
            <w:gridSpan w:val="2"/>
            <w:shd w:val="clear" w:color="auto" w:fill="D9D9D9"/>
          </w:tcPr>
          <w:p>
            <w:pPr>
              <w:pStyle w:val="TableParagraph"/>
              <w:spacing w:line="273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3 - REVALIDAÇÃO DO DIPLOMA</w:t>
            </w:r>
          </w:p>
        </w:tc>
      </w:tr>
      <w:tr>
        <w:trPr>
          <w:trHeight w:val="292" w:hRule="atLeast"/>
        </w:trPr>
        <w:tc>
          <w:tcPr>
            <w:tcW w:w="368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Instituição de revalidação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548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68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Cidade</w:t>
            </w:r>
          </w:p>
        </w:tc>
        <w:tc>
          <w:tcPr>
            <w:tcW w:w="548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68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UF</w:t>
            </w:r>
          </w:p>
        </w:tc>
        <w:tc>
          <w:tcPr>
            <w:tcW w:w="548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3687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Data de expedição</w:t>
            </w:r>
          </w:p>
        </w:tc>
        <w:tc>
          <w:tcPr>
            <w:tcW w:w="548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122" w:right="272" w:firstLine="55"/>
        <w:jc w:val="both"/>
      </w:pPr>
      <w:r>
        <w:rPr/>
        <w:t>(1) De acordo com o disposto no art. 48, § 2°, da Lei n° 9.394, de 20 de dezembro de 1996 e na Resolução CNE/CES n° 1, de 2002, alterada pela Resolução CNE/CES n° 8, de 2007, concedendo ao interessado o equivalente ao diploma de Arquiteto e Urbanista.</w:t>
      </w:r>
    </w:p>
    <w:p>
      <w:pPr>
        <w:pStyle w:val="BodyText"/>
        <w:spacing w:before="11" w:after="1"/>
        <w:rPr>
          <w:sz w:val="23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3"/>
      </w:tblGrid>
      <w:tr>
        <w:trPr>
          <w:trHeight w:val="585" w:hRule="atLeast"/>
        </w:trPr>
        <w:tc>
          <w:tcPr>
            <w:tcW w:w="9213" w:type="dxa"/>
            <w:shd w:val="clear" w:color="auto" w:fill="BEBEBE"/>
          </w:tcPr>
          <w:p>
            <w:pPr>
              <w:pStyle w:val="TableParagraph"/>
              <w:spacing w:line="29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4 - DOCUMENTOS EXIGIDOS PARA ANÁLISE - Profissionais brasileiros, diplomados por</w:t>
            </w:r>
          </w:p>
          <w:p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Instituições de Ensino Superior Estrangeiras</w:t>
            </w:r>
          </w:p>
        </w:tc>
      </w:tr>
      <w:tr>
        <w:trPr>
          <w:trHeight w:val="294" w:hRule="atLeast"/>
        </w:trPr>
        <w:tc>
          <w:tcPr>
            <w:tcW w:w="9213" w:type="dxa"/>
          </w:tcPr>
          <w:p>
            <w:pPr>
              <w:pStyle w:val="TableParagraph"/>
              <w:spacing w:line="273" w:lineRule="exact" w:before="1"/>
              <w:ind w:left="69"/>
              <w:rPr>
                <w:sz w:val="24"/>
              </w:rPr>
            </w:pPr>
            <w:r>
              <w:rPr>
                <w:sz w:val="24"/>
              </w:rPr>
              <w:t>Título de eleitor</w:t>
            </w:r>
          </w:p>
        </w:tc>
      </w:tr>
      <w:tr>
        <w:trPr>
          <w:trHeight w:val="292" w:hRule="atLeast"/>
        </w:trPr>
        <w:tc>
          <w:tcPr>
            <w:tcW w:w="9213" w:type="dxa"/>
          </w:tcPr>
          <w:p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Quitação eleitoral</w:t>
            </w:r>
          </w:p>
        </w:tc>
      </w:tr>
      <w:tr>
        <w:trPr>
          <w:trHeight w:val="292" w:hRule="atLeast"/>
        </w:trPr>
        <w:tc>
          <w:tcPr>
            <w:tcW w:w="9213" w:type="dxa"/>
          </w:tcPr>
          <w:p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Quitação com o serviço militar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22" w:right="274"/>
        <w:jc w:val="both"/>
      </w:pPr>
      <w:r>
        <w:rPr/>
        <w:t>Art. 3° O texto da Resolução CAU/BR n° 26, de 6 de junho de 2012, consolidado com as alterações de que trata esta Resolução, será publicado no sítio eletrônico do CAU/BR na Internet.</w:t>
      </w:r>
    </w:p>
    <w:p>
      <w:pPr>
        <w:pStyle w:val="BodyText"/>
        <w:spacing w:before="2"/>
      </w:pPr>
    </w:p>
    <w:p>
      <w:pPr>
        <w:pStyle w:val="BodyText"/>
        <w:spacing w:before="1"/>
        <w:ind w:left="122"/>
        <w:jc w:val="both"/>
      </w:pPr>
      <w:r>
        <w:rPr/>
        <w:t>Art. 4° Esta Resolução entra em vigor na data de sua publicação.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596" w:right="2742"/>
        <w:jc w:val="center"/>
      </w:pPr>
      <w:r>
        <w:rPr/>
        <w:t>Brasília, 8 de novembro de 2013.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ind w:right="2744"/>
      </w:pPr>
      <w:r>
        <w:rPr/>
        <w:t>HAROLDO PINHEIRO VILLAR DE QUEIROZ</w:t>
      </w:r>
    </w:p>
    <w:p>
      <w:pPr>
        <w:spacing w:before="0"/>
        <w:ind w:left="2596" w:right="2743" w:firstLine="0"/>
        <w:jc w:val="center"/>
        <w:rPr>
          <w:b/>
          <w:sz w:val="24"/>
        </w:rPr>
      </w:pPr>
      <w:r>
        <w:rPr>
          <w:b/>
          <w:sz w:val="24"/>
        </w:rPr>
        <w:t>Presidente do CAU/BR</w:t>
      </w: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19"/>
        </w:rPr>
      </w:pPr>
    </w:p>
    <w:p>
      <w:pPr>
        <w:spacing w:before="0"/>
        <w:ind w:left="122" w:right="0" w:firstLine="0"/>
        <w:jc w:val="both"/>
        <w:rPr>
          <w:sz w:val="20"/>
        </w:rPr>
      </w:pPr>
      <w:r>
        <w:rPr>
          <w:sz w:val="20"/>
        </w:rPr>
        <w:t>(Publicada no Diário Oficial da União, Edição n° 223, Seção 1, de 18 de novembro de 2013)</w:t>
      </w:r>
    </w:p>
    <w:sectPr>
      <w:pgSz w:w="11900" w:h="16850"/>
      <w:pgMar w:header="708" w:footer="956" w:top="1500" w:bottom="1140" w:left="15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064" from="62.304001pt,780.935974pt" to="550.924001pt,780.935974pt" stroked="true" strokeweight="1.44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223999pt;margin-top:786.903442pt;width:420.7pt;height:26.95pt;mso-position-horizontal-relative:page;mso-position-vertical-relative:page;z-index:-6040" type="#_x0000_t202" filled="false" stroked="false">
          <v:textbox inset="0,0,0,0">
            <w:txbxContent>
              <w:p>
                <w:pPr>
                  <w:spacing w:line="288" w:lineRule="auto" w:before="12"/>
                  <w:ind w:left="939" w:right="3" w:hanging="92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003333"/>
                    <w:sz w:val="20"/>
                  </w:rPr>
                  <w:t>SCS Quadra 2, Bloco C, Entrada 22, Edifício Serra Dourada, Salas 401/409 – CEP 70300-902 Brasília, Distrito Federal | </w:t>
                </w:r>
                <w:hyperlink r:id="rId1">
                  <w:r>
                    <w:rPr>
                      <w:rFonts w:ascii="Arial" w:hAnsi="Arial"/>
                      <w:color w:val="003333"/>
                      <w:sz w:val="20"/>
                    </w:rPr>
                    <w:t>www.caubr.gov.br </w:t>
                  </w:r>
                </w:hyperlink>
                <w:r>
                  <w:rPr>
                    <w:rFonts w:ascii="Arial" w:hAnsi="Arial"/>
                    <w:color w:val="003333"/>
                    <w:sz w:val="20"/>
                  </w:rPr>
                  <w:t>– </w:t>
                </w:r>
                <w:hyperlink r:id="rId2">
                  <w:r>
                    <w:rPr>
                      <w:rFonts w:ascii="Arial" w:hAnsi="Arial"/>
                      <w:color w:val="003333"/>
                      <w:sz w:val="20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367">
          <wp:simplePos x="0" y="0"/>
          <wp:positionH relativeFrom="page">
            <wp:posOffset>1080769</wp:posOffset>
          </wp:positionH>
          <wp:positionV relativeFrom="page">
            <wp:posOffset>449579</wp:posOffset>
          </wp:positionV>
          <wp:extent cx="3337559" cy="38862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37559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596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2019-04-25T15:38:01Z</dcterms:created>
  <dcterms:modified xsi:type="dcterms:W3CDTF">2019-04-25T15:38:01Z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