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3073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2"/>
        <w:ind w:left="2136"/>
      </w:pPr>
      <w:r>
        <w:rPr/>
        <w:t>RESOLUÇÃO N° 60, DE 7 DE NOVEMBRO DE 2013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353" w:right="403"/>
        <w:jc w:val="both"/>
      </w:pPr>
      <w:r>
        <w:rPr/>
        <w:t>Cria o Centro de Serviços Compartilhados dos Conselhos de Arquitetura e Urbanismo (CSCCAU), compreendendo o CAU/BR e os CAU/UF, institui a Comissão Temporária Gestora, e dá outras 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  <w:jc w:val="both"/>
      </w:pPr>
      <w:r>
        <w:rPr/>
        <w:t>O CONSELHO DE ARQUITETURA E URBANISMO DO BRASIL (CAU/BR), no uso das</w:t>
      </w:r>
    </w:p>
    <w:p>
      <w:pPr>
        <w:pStyle w:val="BodyText"/>
        <w:spacing w:before="2"/>
        <w:ind w:left="100" w:right="406"/>
        <w:jc w:val="both"/>
      </w:pPr>
      <w:r>
        <w:rPr/>
        <w:t>competências e prerrogativas previstas no art. 28, incisos </w:t>
      </w:r>
      <w:r>
        <w:rPr>
          <w:spacing w:val="-2"/>
        </w:rPr>
        <w:t>II, </w:t>
      </w:r>
      <w:r>
        <w:rPr/>
        <w:t>III e XI da Lei n° 12.378, de 31 de dezembro de 2010, e nos artigos 2°, incisos II e VI, 3°, incisos V, VI e XV e 9°, incisos I, III e XLII do Regimento Geral aprovado pela Resolução CAU/BR n° 33, de 6 de setembro de 2012, e de acordo com a deliberação adotada na Sexta Reunião Plenária Ampliada entre o CAU/BR e os CAU/UF, realizada no dia 7 de novembro de 2013; 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404"/>
        <w:jc w:val="both"/>
      </w:pPr>
      <w:r>
        <w:rPr/>
        <w:t>Considerando as funções do CAU/BR e dos CAU/UF previstas nos artigos 24, 28 e 34 da Lei n° 12.378, de 31 de dezembro de 2010;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410"/>
        <w:jc w:val="both"/>
      </w:pPr>
      <w:r>
        <w:rPr/>
        <w:t>Considerando que o Sistema de Informação e Comunicação dos Conselhos de Arquitetura e Urbanismo (SICCAU) foi criado pela Resolução CAU/BR n° 5, de 15 de dezembro de 2011;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401"/>
        <w:jc w:val="both"/>
      </w:pPr>
      <w:r>
        <w:rPr/>
        <w:t>Considerando que o SICCAU foi concebido como um prestador de serviços para viabilizar a implantação do Conselho de Arquitetura e Urbanismo do Brasil (CAU/BR) e dos Conselhos de Arquitetura e Urbanismo dos Estados e do Distrito Federal (CAU/UF) em prazo urgente, operando como um sistema único, minimizando as despesas locais, preservando a uniformidade de procedimentos e a qualidade dos serviços prestados aos arquitetos e urbanistas, necessários para o exercício da profissão de Arquitetura e Urbanismo no</w:t>
      </w:r>
      <w:r>
        <w:rPr>
          <w:spacing w:val="-5"/>
        </w:rPr>
        <w:t> </w:t>
      </w:r>
      <w:r>
        <w:rPr/>
        <w:t>País;</w:t>
      </w:r>
    </w:p>
    <w:p>
      <w:pPr>
        <w:pStyle w:val="BodyText"/>
      </w:pPr>
    </w:p>
    <w:p>
      <w:pPr>
        <w:pStyle w:val="BodyText"/>
        <w:ind w:left="100" w:right="403"/>
        <w:jc w:val="both"/>
      </w:pPr>
      <w:r>
        <w:rPr/>
        <w:t>Considerando que pela Resolução CAU/BR n° 5, de 15 de dezembro de 2011, o Presidente do CAU/BR foi autorizado a adotar as providências para a aquisição de softwares e para a contratação de serviços com vistas ao desenvolvimento e implantação, no âmbito do Conselho de Arquitetura e Urbanismo do Brasil (CAU/BR) e dos Conselhos de Arquitetura e Urbanismo dos Estados e do Distrito Federal (CAU/UF) do Sistema de Informação e Comunicação dos Conselhos de Arquitetura e Urbanismo (SICCAU);</w:t>
      </w:r>
    </w:p>
    <w:p>
      <w:pPr>
        <w:pStyle w:val="BodyText"/>
      </w:pPr>
    </w:p>
    <w:p>
      <w:pPr>
        <w:pStyle w:val="BodyText"/>
        <w:spacing w:before="1"/>
        <w:ind w:left="100" w:right="407"/>
        <w:jc w:val="both"/>
      </w:pPr>
      <w:r>
        <w:rPr/>
        <w:t>Considerando que os recursos tecnológicos indispensáveis à implantação do SICCAU foram providos pelo CAU/BR, com recursos de implantação, sendo necessária a continuidade de investimentos e o custeio da manutenção;</w:t>
      </w:r>
    </w:p>
    <w:p>
      <w:pPr>
        <w:pStyle w:val="BodyText"/>
      </w:pPr>
    </w:p>
    <w:p>
      <w:pPr>
        <w:pStyle w:val="BodyText"/>
        <w:spacing w:before="1"/>
        <w:ind w:left="100" w:right="399"/>
        <w:jc w:val="both"/>
      </w:pPr>
      <w:r>
        <w:rPr/>
        <w:t>Considerando que os novos serviços e investimentos devem ser compartilhados por todos os Conselhos de Arquitetura e Urbanismo (CAU) enquanto gestores dos serviços, segundo critérios e regulamentação a serem definidos por</w:t>
      </w:r>
      <w:r>
        <w:rPr>
          <w:spacing w:val="-8"/>
        </w:rPr>
        <w:t> </w:t>
      </w:r>
      <w:r>
        <w:rPr/>
        <w:t>aqueles;</w:t>
      </w:r>
    </w:p>
    <w:p>
      <w:pPr>
        <w:pStyle w:val="BodyText"/>
        <w:spacing w:before="3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00" w:right="400"/>
        <w:jc w:val="both"/>
      </w:pPr>
      <w:r>
        <w:rPr/>
        <w:t>Art. 1° Fica criado o Centro de Serviços Compartilhados dos Conselhos de Arquitetura e Urbanismo (CSC-CAU), compreendendo o Conselho de Arquitetura e Urbanismo do Brasil (CAU/BR) e os Conselhos de Arquitetura e Urbanismo dos Estados e do Distrito Federal (CAU/UF), com o objetivo de aglutinar e gerenciar os serviços relacionados no art. 3° desta Resolução.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400"/>
        <w:jc w:val="both"/>
      </w:pPr>
      <w:r>
        <w:rPr/>
        <w:t>Art. 2° O Centro de Serviços Compartilhados do Conselho de Arquitetura e Urbanismo (CSCCAU) será gerenciado por uma comissão temporária denominada Comissão Temporária Gestora - CSC com a seguinte composição:</w:t>
      </w:r>
    </w:p>
    <w:p>
      <w:pPr>
        <w:pStyle w:val="BodyText"/>
        <w:spacing w:before="2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3075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27"/>
        <w:jc w:val="left"/>
        <w:rPr>
          <w:sz w:val="22"/>
        </w:rPr>
      </w:pPr>
      <w:r>
        <w:rPr>
          <w:sz w:val="22"/>
        </w:rPr>
        <w:t>- o Presidente do CAU/BR, sem direito a</w:t>
      </w:r>
      <w:r>
        <w:rPr>
          <w:spacing w:val="-12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00" w:right="400" w:firstLine="0"/>
        <w:jc w:val="both"/>
        <w:rPr>
          <w:sz w:val="22"/>
        </w:rPr>
      </w:pPr>
      <w:r>
        <w:rPr>
          <w:strike/>
          <w:sz w:val="22"/>
        </w:rPr>
        <w:t>- quatro representantes do CAU/BR, sendo um membro indicado pelo Plenário, um membro indicado pela Comissão de Organização e Administração (COA), um membro indicado pela Comissão de Planejamento e Finanças (CPFi) e um membro indicado pelo Presidente do CAU/BR, todos homologados pelo Plenário do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92" w:after="0"/>
        <w:ind w:left="100" w:right="401" w:firstLine="0"/>
        <w:jc w:val="both"/>
        <w:rPr>
          <w:sz w:val="22"/>
        </w:rPr>
      </w:pPr>
      <w:r>
        <w:rPr>
          <w:sz w:val="22"/>
        </w:rPr>
        <w:t>- três representantes do CAU/BR, sendo um membro indicado pelo Plenário, o coordenador da Comissão de Organização e Administração (COA) e o coordenador da Comissão de Planejamento e Finanças (CPFi), e seus substitutos, todos homologados pelo Plenário do CAU/BR; </w:t>
      </w:r>
      <w:r>
        <w:rPr>
          <w:color w:val="365F91"/>
          <w:sz w:val="22"/>
        </w:rPr>
        <w:t>(Redação dada pela Resolução CAU/BR n° 139, de 28 de abril de</w:t>
      </w:r>
      <w:r>
        <w:rPr>
          <w:color w:val="365F91"/>
          <w:spacing w:val="-3"/>
          <w:sz w:val="22"/>
        </w:rPr>
        <w:t> </w:t>
      </w:r>
      <w:r>
        <w:rPr>
          <w:color w:val="365F91"/>
          <w:sz w:val="22"/>
        </w:rPr>
        <w:t>2017)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376" w:right="0" w:hanging="276"/>
        <w:jc w:val="both"/>
        <w:rPr>
          <w:sz w:val="22"/>
        </w:rPr>
      </w:pPr>
      <w:r>
        <w:rPr>
          <w:strike/>
          <w:sz w:val="22"/>
        </w:rPr>
        <w:t>- quatro presidentes de CAU/UF, todos indicados pelo conjunto de presidentes de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91" w:after="0"/>
        <w:ind w:left="100" w:right="401" w:firstLine="0"/>
        <w:jc w:val="both"/>
        <w:rPr>
          <w:sz w:val="22"/>
        </w:rPr>
      </w:pPr>
      <w:r>
        <w:rPr>
          <w:sz w:val="22"/>
        </w:rPr>
        <w:t>- três presidentes de CAU/UF, e seus substitutos, todos indicados pelo conjunto de presidentes de CAU/UF e homologados pelo Plenário do CAU/BR; e </w:t>
      </w:r>
      <w:r>
        <w:rPr>
          <w:color w:val="365F91"/>
          <w:sz w:val="22"/>
        </w:rPr>
        <w:t>(Redação dada pela Resolução CAU/BR n° 139, de 28 de abril de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2017)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0" w:after="0"/>
        <w:ind w:left="388" w:right="0" w:hanging="288"/>
        <w:jc w:val="left"/>
        <w:rPr>
          <w:sz w:val="22"/>
        </w:rPr>
      </w:pPr>
      <w:r>
        <w:rPr>
          <w:sz w:val="22"/>
        </w:rPr>
        <w:t>- o gerente técnico do CAU/BR, sem direito a</w:t>
      </w:r>
      <w:r>
        <w:rPr>
          <w:spacing w:val="-11"/>
          <w:sz w:val="22"/>
        </w:rPr>
        <w:t> </w:t>
      </w:r>
      <w:r>
        <w:rPr>
          <w:sz w:val="22"/>
        </w:rPr>
        <w:t>voto.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0" w:right="332"/>
      </w:pPr>
      <w:r>
        <w:rPr/>
        <w:t>§ 1° Os trabalhos da Comissão Temporária Gestora - CSC serão coordenados pelo Presidente do CAU/BR.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§ 2° Os trabalhos de secretaria da Comissão Temporária Gestora - CSC serão prestados pela Gerência Técnica do CAU/BR.</w:t>
      </w:r>
    </w:p>
    <w:p>
      <w:pPr>
        <w:pStyle w:val="BodyText"/>
      </w:pPr>
    </w:p>
    <w:p>
      <w:pPr>
        <w:pStyle w:val="BodyText"/>
        <w:ind w:left="100"/>
      </w:pPr>
      <w:r>
        <w:rPr/>
        <w:t>§ 3° Ressalvado o disposto no § 4°, o mandato dos membros eleitos para a composição da Comissão Temporária Gestora - CSC é de 12 (doze) meses.</w:t>
      </w:r>
    </w:p>
    <w:p>
      <w:pPr>
        <w:pStyle w:val="BodyText"/>
      </w:pPr>
    </w:p>
    <w:p>
      <w:pPr>
        <w:pStyle w:val="BodyText"/>
        <w:ind w:left="100" w:right="332"/>
      </w:pPr>
      <w:r>
        <w:rPr/>
        <w:t>§ 4° O primeiro mandato dos membros eleitos para a composição da Comissão Temporária Gestora - CSC se encerrará em 31 de dezembro de 2014.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Art. 3° São competências da Comissão Temporária Gestora - CSC: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28" w:val="left" w:leader="none"/>
        </w:tabs>
        <w:spacing w:line="240" w:lineRule="auto" w:before="0" w:after="0"/>
        <w:ind w:left="227" w:right="0" w:hanging="127"/>
        <w:jc w:val="left"/>
        <w:rPr>
          <w:sz w:val="22"/>
        </w:rPr>
      </w:pPr>
      <w:r>
        <w:rPr>
          <w:sz w:val="22"/>
        </w:rPr>
        <w:t>- elaborar a sua norma de</w:t>
      </w:r>
      <w:r>
        <w:rPr>
          <w:spacing w:val="-7"/>
          <w:sz w:val="22"/>
        </w:rPr>
        <w:t> </w:t>
      </w:r>
      <w:r>
        <w:rPr>
          <w:sz w:val="22"/>
        </w:rPr>
        <w:t>funcionamento;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1" w:after="0"/>
        <w:ind w:left="100" w:right="400" w:firstLine="0"/>
        <w:jc w:val="left"/>
        <w:rPr>
          <w:sz w:val="22"/>
        </w:rPr>
      </w:pPr>
      <w:r>
        <w:rPr>
          <w:sz w:val="22"/>
        </w:rPr>
        <w:t>- estabelecer as diretrizes e o regulamento relativos à gestão, manutenção e evolução dos seguintes serviços</w:t>
      </w:r>
      <w:r>
        <w:rPr>
          <w:spacing w:val="-1"/>
          <w:sz w:val="22"/>
        </w:rPr>
        <w:t> </w:t>
      </w:r>
      <w:r>
        <w:rPr>
          <w:sz w:val="22"/>
        </w:rPr>
        <w:t>compartilhados: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53" w:val="left" w:leader="none"/>
        </w:tabs>
        <w:spacing w:line="240" w:lineRule="auto" w:before="1" w:after="0"/>
        <w:ind w:left="100" w:right="402" w:firstLine="0"/>
        <w:jc w:val="left"/>
        <w:rPr>
          <w:sz w:val="22"/>
        </w:rPr>
      </w:pPr>
      <w:r>
        <w:rPr>
          <w:sz w:val="22"/>
        </w:rPr>
        <w:t>Sistema de Informação e Comunicação dos Conselhos de Arquitetura e Urbanismo (SICCAU) nos módulos:</w:t>
      </w:r>
    </w:p>
    <w:p>
      <w:pPr>
        <w:pStyle w:val="BodyText"/>
        <w:spacing w:line="506" w:lineRule="exact" w:before="53"/>
        <w:ind w:left="100" w:right="3197"/>
      </w:pPr>
      <w:r>
        <w:rPr/>
        <w:t>1 - Gerencial: Siscont, Patrimônio, Passagens e Diárias, e Almoxarifado; 2 - Corporativo e Ambiente do Arquiteto e Urbanista;</w:t>
      </w:r>
    </w:p>
    <w:p>
      <w:pPr>
        <w:pStyle w:val="BodyText"/>
        <w:spacing w:line="201" w:lineRule="exact"/>
        <w:ind w:left="100"/>
      </w:pPr>
      <w:r>
        <w:rPr/>
        <w:t>3 - Sistema de Informação Geográfica;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2"/>
        </w:rPr>
      </w:pPr>
      <w:r>
        <w:rPr>
          <w:sz w:val="22"/>
        </w:rPr>
        <w:t>Serviço de Hospedagem em Data</w:t>
      </w:r>
      <w:r>
        <w:rPr>
          <w:spacing w:val="-6"/>
          <w:sz w:val="22"/>
        </w:rPr>
        <w:t> </w:t>
      </w:r>
      <w:r>
        <w:rPr>
          <w:sz w:val="22"/>
        </w:rPr>
        <w:t>Center;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0" w:after="0"/>
        <w:ind w:left="100" w:right="400" w:firstLine="0"/>
        <w:jc w:val="both"/>
        <w:rPr>
          <w:sz w:val="22"/>
        </w:rPr>
      </w:pPr>
      <w:r>
        <w:rPr>
          <w:sz w:val="22"/>
        </w:rPr>
        <w:t>- estabelecer as diretrizes do regulamento de compartilhamento das despesas para custeio dos serviços relacionados no inciso II deste artigo, entre o CAU/BR e os CAU/UF, a serem efetivadas a partir de 1° de janeiro de</w:t>
      </w:r>
      <w:r>
        <w:rPr>
          <w:spacing w:val="-8"/>
          <w:sz w:val="22"/>
        </w:rPr>
        <w:t> </w:t>
      </w:r>
      <w:r>
        <w:rPr>
          <w:sz w:val="22"/>
        </w:rPr>
        <w:t>2014;</w:t>
      </w:r>
    </w:p>
    <w:p>
      <w:pPr>
        <w:pStyle w:val="BodyText"/>
        <w:spacing w:before="3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3078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</w:r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0" w:after="0"/>
        <w:ind w:left="100" w:right="402" w:firstLine="0"/>
        <w:jc w:val="both"/>
        <w:rPr>
          <w:sz w:val="22"/>
        </w:rPr>
      </w:pPr>
      <w:r>
        <w:rPr>
          <w:sz w:val="22"/>
        </w:rPr>
        <w:t>- estabelecer as diretrizes e o regulamento relativos à gestão, manutenção e evolução da rede integrada de</w:t>
      </w:r>
      <w:r>
        <w:rPr>
          <w:spacing w:val="-1"/>
          <w:sz w:val="22"/>
        </w:rPr>
        <w:t> </w:t>
      </w:r>
      <w:r>
        <w:rPr>
          <w:sz w:val="22"/>
        </w:rPr>
        <w:t>atendimento;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100" w:right="398" w:firstLine="0"/>
        <w:jc w:val="both"/>
        <w:rPr>
          <w:sz w:val="22"/>
        </w:rPr>
      </w:pPr>
      <w:r>
        <w:rPr>
          <w:sz w:val="22"/>
        </w:rPr>
        <w:t>- estabelecer as diretrizes relativas à gestão, manutenção e evolução de outros serviços a serem compartilhados.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399"/>
        <w:jc w:val="both"/>
      </w:pPr>
      <w:r>
        <w:rPr/>
        <w:t>Parágrafo único. A Comissão Temporária Gestora - CSC terá o prazo de 30 (trinta) dias para submeter o disposto neste artigo à deliberação do CAU/BR em Reunião Plenária Ordinária ou Reunião Plenária Ampliada do Conselho de Arquitetura e Urbanismo.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402"/>
        <w:jc w:val="both"/>
      </w:pPr>
      <w:r>
        <w:rPr/>
        <w:t>Art. 4° A Comissão Temporária Gestora - CSC terá o prazo de funcionamento de 12 (doze) meses, prorrogável por iguais períodos, e se reunirá ordinariamente a cada 3 (três) meses.</w:t>
      </w:r>
    </w:p>
    <w:p>
      <w:pPr>
        <w:pStyle w:val="BodyText"/>
        <w:spacing w:before="2"/>
      </w:pPr>
    </w:p>
    <w:p>
      <w:pPr>
        <w:pStyle w:val="BodyText"/>
        <w:spacing w:before="1"/>
        <w:ind w:left="100" w:right="400"/>
        <w:jc w:val="both"/>
      </w:pPr>
      <w:r>
        <w:rPr/>
        <w:t>Parágrafo único. Até a aprovação do previsto no art. 3° desta Resolução, os custos para participação dos representantes nas reuniões da Comissão Temporária Gestora - CSC serão arcados pelo CAU de origem do membro participante.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0"/>
        <w:jc w:val="both"/>
      </w:pPr>
      <w:r>
        <w:rPr/>
        <w:t>Art. 5° Esta Resolução entra em vigor na data de sua publicação.</w:t>
      </w:r>
    </w:p>
    <w:p>
      <w:pPr>
        <w:pStyle w:val="BodyText"/>
      </w:pPr>
    </w:p>
    <w:p>
      <w:pPr>
        <w:pStyle w:val="BodyText"/>
        <w:ind w:left="615" w:right="914"/>
        <w:jc w:val="center"/>
      </w:pPr>
      <w:r>
        <w:rPr/>
        <w:t>Brasília, 7 de novembro de 2013.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613" w:right="918"/>
        <w:jc w:val="center"/>
      </w:pPr>
      <w:r>
        <w:rPr/>
        <w:t>HAROLDO PINHEIRO VILLAR DE QUEIROZ</w:t>
      </w:r>
    </w:p>
    <w:p>
      <w:pPr>
        <w:pStyle w:val="BodyText"/>
        <w:spacing w:line="250" w:lineRule="exact"/>
        <w:ind w:left="615" w:right="916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615" w:right="918"/>
        <w:jc w:val="center"/>
      </w:pPr>
      <w:r>
        <w:rPr/>
        <w:t>(Publicada no Diário Oficial da União, Edição n° 222, Seção 1, de 14 de novembro de 2013)</w:t>
      </w:r>
    </w:p>
    <w:p>
      <w:pPr>
        <w:pStyle w:val="BodyText"/>
        <w:spacing w:before="2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52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100" w:hanging="30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30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30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30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30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30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30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30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300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100" w:hanging="2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5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5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5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5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5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5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5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5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2019-04-25T15:37:57Z</dcterms:created>
  <dcterms:modified xsi:type="dcterms:W3CDTF">2019-04-25T15:37:57Z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