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239"/>
      </w:pPr>
      <w:r>
        <w:rPr/>
        <w:t>RESOLUÇÃO N° 57, DE 5 DE OUTUBRO DE 2013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139, de 28 de abril de 2017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4353" w:right="104"/>
        <w:jc w:val="both"/>
      </w:pPr>
      <w:r>
        <w:rPr>
          <w:strike/>
        </w:rPr>
        <w:t>Fixa os critérios para admissão de entidades nacionais</w:t>
      </w:r>
      <w:r>
        <w:rPr>
          <w:strike w:val="0"/>
        </w:rPr>
        <w:t> </w:t>
      </w:r>
      <w:r>
        <w:rPr>
          <w:strike/>
        </w:rPr>
        <w:t>no Colegiado Permanente com a Participação das</w:t>
      </w:r>
      <w:r>
        <w:rPr>
          <w:strike w:val="0"/>
        </w:rPr>
        <w:t> </w:t>
      </w:r>
      <w:r>
        <w:rPr>
          <w:strike/>
        </w:rPr>
        <w:t>Entidades Nacionais de Arquitetos e Urbanistas</w:t>
      </w:r>
      <w:r>
        <w:rPr>
          <w:strike w:val="0"/>
        </w:rPr>
        <w:t> </w:t>
      </w:r>
      <w:r>
        <w:rPr>
          <w:strike/>
        </w:rPr>
        <w:t>(CEAU) e dá outras</w:t>
      </w:r>
      <w:r>
        <w:rPr>
          <w:strike/>
          <w:spacing w:val="-5"/>
        </w:rPr>
        <w:t> </w:t>
      </w:r>
      <w:r>
        <w:rPr>
          <w:strike/>
        </w:rPr>
        <w:t>providências.</w:t>
      </w:r>
    </w:p>
    <w:p>
      <w:pPr>
        <w:pStyle w:val="BodyText"/>
        <w:rPr>
          <w:sz w:val="18"/>
        </w:rPr>
      </w:pPr>
    </w:p>
    <w:p>
      <w:pPr>
        <w:pStyle w:val="BodyText"/>
        <w:spacing w:before="91"/>
        <w:ind w:left="100"/>
      </w:pPr>
      <w:r>
        <w:rPr>
          <w:strike/>
        </w:rPr>
        <w:t>O CONSELHO DE ARQUITETURA E URBANISMO DO BRASIL (CAU/BR), no uso das</w:t>
      </w:r>
    </w:p>
    <w:p>
      <w:pPr>
        <w:pStyle w:val="BodyText"/>
        <w:spacing w:before="1"/>
        <w:ind w:left="100" w:right="104"/>
        <w:jc w:val="both"/>
      </w:pPr>
      <w:r>
        <w:rPr>
          <w:strike/>
        </w:rPr>
        <w:t>competências previstas no art. 28, incisos II e X da Lei n° 12.378, de 31 de dezembro de 2010, e nos</w:t>
      </w:r>
      <w:r>
        <w:rPr>
          <w:strike w:val="0"/>
        </w:rPr>
        <w:t> </w:t>
      </w:r>
      <w:r>
        <w:rPr>
          <w:strike/>
        </w:rPr>
        <w:t>artigos 2°, inciso II, 3°, incisos V e XIV, e 9°, incisos I e XIV do Regimento Geral, aprovado pela</w:t>
      </w:r>
      <w:r>
        <w:rPr>
          <w:strike w:val="0"/>
        </w:rPr>
        <w:t> </w:t>
      </w:r>
      <w:r>
        <w:rPr>
          <w:strike/>
        </w:rPr>
        <w:t>Resolução CAU/BR n° 33, de 6 de setembro de 2012, de acordo com a deliberação adotada na Reunião</w:t>
      </w:r>
      <w:r>
        <w:rPr>
          <w:strike w:val="0"/>
        </w:rPr>
        <w:t> </w:t>
      </w:r>
      <w:r>
        <w:rPr>
          <w:strike/>
        </w:rPr>
        <w:t>Plenária Ordinária n° 23, realizada no dia 5 de outubro de 2013;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03"/>
        <w:jc w:val="both"/>
      </w:pPr>
      <w:r>
        <w:rPr>
          <w:strike/>
        </w:rPr>
        <w:t>Considerando que o art. 61 da Lei n° 12.378, de 2010, estabelece que o CAU/BR instituirá colegiado</w:t>
      </w:r>
      <w:r>
        <w:rPr>
          <w:strike w:val="0"/>
        </w:rPr>
        <w:t> </w:t>
      </w:r>
      <w:r>
        <w:rPr>
          <w:strike/>
        </w:rPr>
        <w:t>permanente com a participação das entidades nacionais dos arquitetos e urbanistas, para tratar das</w:t>
      </w:r>
      <w:r>
        <w:rPr>
          <w:strike w:val="0"/>
        </w:rPr>
        <w:t> </w:t>
      </w:r>
      <w:r>
        <w:rPr>
          <w:strike/>
        </w:rPr>
        <w:t>questões do ensino e do exercício profissional;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99"/>
        <w:jc w:val="both"/>
      </w:pPr>
      <w:r>
        <w:rPr>
          <w:strike/>
        </w:rPr>
        <w:t>Considerando que o Regimento Geral do CAU/BR, aprovado pela Resolução CAU/BR n° 33, de 2012,</w:t>
      </w:r>
      <w:r>
        <w:rPr>
          <w:strike w:val="0"/>
        </w:rPr>
        <w:t> </w:t>
      </w:r>
      <w:r>
        <w:rPr>
          <w:strike/>
        </w:rPr>
        <w:t>ao regular a composição do Colegiado Permanente com a Participação das Entidades Nacionais dos</w:t>
      </w:r>
      <w:r>
        <w:rPr>
          <w:strike w:val="0"/>
        </w:rPr>
        <w:t> </w:t>
      </w:r>
      <w:r>
        <w:rPr>
          <w:strike/>
        </w:rPr>
        <w:t>Arquitetos e Urbanistas (CEAU) estabeleceu que dele participariam, como membros efetivos, as cinco</w:t>
      </w:r>
      <w:r>
        <w:rPr>
          <w:strike w:val="0"/>
        </w:rPr>
        <w:t> </w:t>
      </w:r>
      <w:r>
        <w:rPr>
          <w:strike/>
        </w:rPr>
        <w:t>entidades nacionais fundadoras do Colégio Brasileiro de Arquitetos e como membro honorário a</w:t>
      </w:r>
      <w:r>
        <w:rPr>
          <w:strike w:val="0"/>
        </w:rPr>
        <w:t> </w:t>
      </w:r>
      <w:r>
        <w:rPr>
          <w:strike/>
        </w:rPr>
        <w:t>Federação Nacional dos Estudantes de Arquitetura e Urbanismo (FENEA);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  <w:spacing w:val="-56"/>
          <w:w w:val="100"/>
        </w:rPr>
        <w:t> </w:t>
      </w:r>
      <w:r>
        <w:rPr>
          <w:strike/>
        </w:rPr>
        <w:t>Considerando que o Regimento Geral do CAU/BR estabeleceu que a “admissão de outras entidades</w:t>
      </w:r>
      <w:r>
        <w:rPr>
          <w:strike w:val="0"/>
        </w:rPr>
        <w:t> </w:t>
      </w:r>
      <w:r>
        <w:rPr>
          <w:strike/>
        </w:rPr>
        <w:t>nacionais de arquitetos e urbanistas será definida em normativo específico do CAU/BR”;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Considerando o interesse de integrar o CEAU, declarado por entidades nacionais que agregam</w:t>
      </w:r>
      <w:r>
        <w:rPr>
          <w:strike w:val="0"/>
        </w:rPr>
        <w:t> </w:t>
      </w:r>
      <w:r>
        <w:rPr>
          <w:strike/>
        </w:rPr>
        <w:t>profissionais atuantes em campos de atuação da Arquitetura e Urbanismo;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2"/>
        <w:ind w:left="100" w:right="103"/>
        <w:jc w:val="both"/>
      </w:pPr>
      <w:r>
        <w:rPr>
          <w:strike/>
        </w:rPr>
        <w:t>Art. 1° Esta Resolução fixa os critérios e procedimentos para admissão de entidades nacionais no</w:t>
      </w:r>
      <w:r>
        <w:rPr>
          <w:strike w:val="0"/>
        </w:rPr>
        <w:t> </w:t>
      </w:r>
      <w:r>
        <w:rPr>
          <w:strike/>
        </w:rPr>
        <w:t>Colegiado Permanente com a Participação das Entidades Nacionais de Arquitetos e Urbanistas (CEAU),</w:t>
      </w:r>
      <w:r>
        <w:rPr>
          <w:strike w:val="0"/>
        </w:rPr>
        <w:t> </w:t>
      </w:r>
      <w:r>
        <w:rPr>
          <w:strike/>
        </w:rPr>
        <w:t>instituído nos termos do art. 61 da Lei n° 12.378, de 2010, e do art. 7° do Regimento Geral do CAU/BR,</w:t>
      </w:r>
      <w:r>
        <w:rPr>
          <w:strike w:val="0"/>
        </w:rPr>
        <w:t> </w:t>
      </w:r>
      <w:r>
        <w:rPr>
          <w:strike/>
        </w:rPr>
        <w:t>aprovado pela Resolução CAU/BR n° 33, de 6 de setembro de 2012.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2° O ingresso de entidades nacionais como membro do CEAU será deliberado pelo Plenário do</w:t>
      </w:r>
      <w:r>
        <w:rPr>
          <w:strike w:val="0"/>
        </w:rPr>
        <w:t> </w:t>
      </w:r>
      <w:r>
        <w:rPr>
          <w:strike/>
        </w:rPr>
        <w:t>CAU/BR, ouvida a Comissão de Organização e Administração do 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01"/>
        <w:jc w:val="both"/>
      </w:pPr>
      <w:r>
        <w:rPr>
          <w:strike/>
        </w:rPr>
        <w:t>Art. 3° Para os fins previstos no art. 61 da Lei n° 12.378, de 2010, considera-se entidade nacional de</w:t>
      </w:r>
      <w:r>
        <w:rPr>
          <w:strike w:val="0"/>
        </w:rPr>
        <w:t> </w:t>
      </w:r>
      <w:r>
        <w:rPr>
          <w:strike/>
        </w:rPr>
        <w:t>arquitetos e urbanistas a sociedade civil de direito privado sem fins econômicos ou a organização</w:t>
      </w:r>
      <w:r>
        <w:rPr>
          <w:strike w:val="0"/>
        </w:rPr>
        <w:t> </w:t>
      </w:r>
      <w:r>
        <w:rPr>
          <w:strike/>
        </w:rPr>
        <w:t>sindical que esteja em conformidade com os campos de atuação profissional da Arquitetura e</w:t>
      </w:r>
      <w:r>
        <w:rPr>
          <w:strike w:val="0"/>
        </w:rPr>
        <w:t> </w:t>
      </w:r>
      <w:r>
        <w:rPr>
          <w:strike/>
        </w:rPr>
        <w:t>Urbanismo expressos nessa</w:t>
      </w:r>
      <w:r>
        <w:rPr>
          <w:strike/>
          <w:spacing w:val="-2"/>
        </w:rPr>
        <w:t> </w:t>
      </w:r>
      <w:r>
        <w:rPr>
          <w:strike/>
        </w:rPr>
        <w:t>Lei.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4° Quanto à forma de associação, a entidade nacional é considerada: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92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– federada, quando constituída por departamentos ou unidades associativas de arquitetos e urbanistas de âmbito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estadual;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91" w:after="0"/>
        <w:ind w:left="299" w:right="0" w:hanging="199"/>
        <w:jc w:val="left"/>
        <w:rPr>
          <w:sz w:val="22"/>
        </w:rPr>
      </w:pPr>
      <w:r>
        <w:rPr>
          <w:strike/>
          <w:sz w:val="22"/>
        </w:rPr>
        <w:t>– associativa, quando constituída por pessoas físicas ou jurídicas de arquitetos e urbanistas;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ou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92" w:after="0"/>
        <w:ind w:left="374" w:right="0" w:hanging="274"/>
        <w:jc w:val="left"/>
        <w:rPr>
          <w:sz w:val="22"/>
        </w:rPr>
      </w:pPr>
      <w:r>
        <w:rPr>
          <w:strike/>
          <w:sz w:val="22"/>
        </w:rPr>
        <w:t>– de ensino, quando constituída por docentes e instituições de ensino de Arquitetura e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Urbanismo.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6"/>
        <w:jc w:val="both"/>
      </w:pPr>
      <w:r>
        <w:rPr>
          <w:strike/>
        </w:rPr>
        <w:t>§ 1° Será considerada entidade nacional federada aquela que tenha unidades filiadas com sede em, pelo</w:t>
      </w:r>
      <w:r>
        <w:rPr>
          <w:strike w:val="0"/>
        </w:rPr>
        <w:t> </w:t>
      </w:r>
      <w:r>
        <w:rPr>
          <w:strike/>
        </w:rPr>
        <w:t>menos, 9 (nove) Unidades da Federação, distribuídas no mínimo em três regiões geopolíticas do País e</w:t>
      </w:r>
      <w:r>
        <w:rPr>
          <w:strike w:val="0"/>
        </w:rPr>
        <w:t> </w:t>
      </w:r>
      <w:r>
        <w:rPr>
          <w:strike/>
        </w:rPr>
        <w:t>com instância deliberativa composta exclusivamente por arquitetos e urbanistas.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01"/>
        <w:jc w:val="both"/>
      </w:pPr>
      <w:r>
        <w:rPr>
          <w:strike/>
        </w:rPr>
        <w:t>§ 2° Será considerada entidade nacional associativa aquela entidade que tenha representação em pelo</w:t>
      </w:r>
      <w:r>
        <w:rPr>
          <w:strike w:val="0"/>
        </w:rPr>
        <w:t> </w:t>
      </w:r>
      <w:r>
        <w:rPr>
          <w:strike/>
        </w:rPr>
        <w:t>menos 9 (nove) Unidades da Federação, distribuídas no mínimo em três regiões geopolíticas do País e</w:t>
      </w:r>
      <w:r>
        <w:rPr>
          <w:strike w:val="0"/>
        </w:rPr>
        <w:t> </w:t>
      </w:r>
      <w:r>
        <w:rPr>
          <w:strike/>
        </w:rPr>
        <w:t>com o mínimo de associados por Unidade da Federação equivalentes ao dobro da representação dos</w:t>
      </w:r>
      <w:r>
        <w:rPr>
          <w:strike w:val="0"/>
        </w:rPr>
        <w:t> </w:t>
      </w:r>
      <w:r>
        <w:rPr>
          <w:strike/>
        </w:rPr>
        <w:t>plenários dos CAU/UF estabelecidos no art. 32 da Lei n° 12.378, de 2010.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3"/>
        <w:jc w:val="both"/>
      </w:pPr>
      <w:r>
        <w:rPr>
          <w:strike/>
        </w:rPr>
        <w:t>§ 3° Será considerada entidade nacional de ensino aquela constituída por instituições de ensino superior</w:t>
      </w:r>
      <w:r>
        <w:rPr>
          <w:strike w:val="0"/>
        </w:rPr>
        <w:t> </w:t>
      </w:r>
      <w:r>
        <w:rPr>
          <w:strike/>
        </w:rPr>
        <w:t>cadastradas no CAU, em pelo menos 9 (nove) Unidades da Federação distribuídas no mínimo em três</w:t>
      </w:r>
      <w:r>
        <w:rPr>
          <w:strike w:val="0"/>
        </w:rPr>
        <w:t> </w:t>
      </w:r>
      <w:r>
        <w:rPr>
          <w:strike/>
        </w:rPr>
        <w:t>regiões geopolíticas do País e instância deliberativa composta exclusivamente por arquitetos e</w:t>
      </w:r>
      <w:r>
        <w:rPr>
          <w:strike w:val="0"/>
        </w:rPr>
        <w:t> </w:t>
      </w:r>
      <w:r>
        <w:rPr>
          <w:strike/>
        </w:rPr>
        <w:t>urbanistas.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5° Para ser admitida como membro do CEAU, a entidade</w:t>
      </w:r>
      <w:r>
        <w:rPr>
          <w:strike/>
          <w:spacing w:val="-20"/>
        </w:rPr>
        <w:t> </w:t>
      </w:r>
      <w:r>
        <w:rPr>
          <w:strike/>
        </w:rPr>
        <w:t>deverá: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92" w:after="0"/>
        <w:ind w:left="100" w:right="103" w:firstLine="0"/>
        <w:jc w:val="left"/>
        <w:rPr>
          <w:sz w:val="22"/>
        </w:rPr>
      </w:pPr>
      <w:r>
        <w:rPr>
          <w:strike/>
          <w:sz w:val="22"/>
        </w:rPr>
        <w:t>– protocolar requerimento de ingresso como membro efetivo do CEAU acompanhado de documentação comprobatória da situação informada no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requerimento;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92" w:after="0"/>
        <w:ind w:left="100" w:right="107" w:firstLine="0"/>
        <w:jc w:val="left"/>
        <w:rPr>
          <w:sz w:val="22"/>
        </w:rPr>
      </w:pPr>
      <w:r>
        <w:rPr>
          <w:strike/>
          <w:sz w:val="22"/>
        </w:rPr>
        <w:t>– ser considerada entidade nacional federada, associativa ou de ensino, conforme os critérios do art. 4°;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91" w:after="0"/>
        <w:ind w:left="374" w:right="0" w:hanging="274"/>
        <w:jc w:val="left"/>
        <w:rPr>
          <w:sz w:val="22"/>
        </w:rPr>
      </w:pPr>
      <w:r>
        <w:rPr>
          <w:strike/>
          <w:sz w:val="22"/>
        </w:rPr>
        <w:t>– ter ato constitutivo e alterações devidamente registrados no cartório ou ofício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competente;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92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– comprovar o efetivo funcionamento estabelecidos em um período de carência mínimo de 3 (três) anos;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V- ser representante de profissionais da Arquitetura e Urbanismo ou campos de atuação profissional expressos no paragrafo único do art. 2° da Lei n° 12.378, de 2010;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VI – receber, do Plenário do CAU/BR, aprovação do seu requerimento.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6° O requerimento de ingresso como membro efetivo do CEAU deverá ser acompanhado dos</w:t>
      </w:r>
      <w:r>
        <w:rPr>
          <w:strike w:val="0"/>
        </w:rPr>
        <w:t> </w:t>
      </w:r>
      <w:r>
        <w:rPr>
          <w:strike/>
        </w:rPr>
        <w:t>seguintes documentos, autenticados na forma da lei: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26" w:val="left" w:leader="none"/>
        </w:tabs>
        <w:spacing w:line="240" w:lineRule="auto" w:before="92" w:after="0"/>
        <w:ind w:left="225" w:right="0" w:hanging="125"/>
        <w:jc w:val="left"/>
        <w:rPr>
          <w:sz w:val="22"/>
        </w:rPr>
      </w:pPr>
      <w:r>
        <w:rPr>
          <w:strike/>
          <w:sz w:val="22"/>
        </w:rPr>
        <w:t>– ato constitutivo e alterações vigentes, registrados no cartório ou ofício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competente;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91" w:after="0"/>
        <w:ind w:left="299" w:right="0" w:hanging="199"/>
        <w:jc w:val="left"/>
        <w:rPr>
          <w:sz w:val="22"/>
        </w:rPr>
      </w:pPr>
      <w:r>
        <w:rPr>
          <w:strike/>
          <w:sz w:val="22"/>
        </w:rPr>
        <w:t>– ata de eleição da atual diretoria, registrada no cartório ou ofício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competente;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40" w:lineRule="auto" w:before="91" w:after="0"/>
        <w:ind w:left="100" w:right="104" w:firstLine="0"/>
        <w:jc w:val="left"/>
        <w:rPr>
          <w:sz w:val="22"/>
        </w:rPr>
      </w:pPr>
      <w:r>
        <w:rPr>
          <w:strike/>
          <w:sz w:val="22"/>
        </w:rPr>
        <w:t>– comprovante de inscrição no Cadastro Nacional de Pessoas Jurídicas da Secretaria da Receita Federal do Brasil;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92" w:after="0"/>
        <w:ind w:left="100" w:right="103" w:firstLine="0"/>
        <w:jc w:val="both"/>
        <w:rPr>
          <w:sz w:val="22"/>
        </w:rPr>
      </w:pPr>
      <w:r>
        <w:rPr>
          <w:strike/>
          <w:sz w:val="22"/>
        </w:rPr>
        <w:t>– comprovantes do efetivo funcionamento como personalidade jurídica e da prática de atividades de acordo com os objetivos definidos em seu ato constitutivo, de forma contínua, durante os últimos três anos imediatamente anteriores à data do requerimento, conforme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segue: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92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atas de reuniões e de assembleias, contendo registro de atividades relativas aos objetivos definidos no ato constitutivo da entidade, assinadas pelos diretores ou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associados;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00" w:bottom="1240" w:left="1460" w:right="1020"/>
        </w:sectPr>
      </w:pP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40" w:lineRule="auto" w:before="81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demonstrativos de execução de atividades voltadas para a valorização profissional, como a promoção de eventos de cunho técnico-cultural ou intercâmbio com outros órgãos e entidades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similares;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convênios firmados com entidades públicas ou privadas, visando à valorização profissional;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e/ou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92" w:after="0"/>
        <w:ind w:left="100" w:right="106" w:firstLine="0"/>
        <w:jc w:val="left"/>
        <w:rPr>
          <w:sz w:val="22"/>
        </w:rPr>
      </w:pPr>
      <w:r>
        <w:rPr>
          <w:strike/>
          <w:sz w:val="22"/>
        </w:rPr>
        <w:t>informativos, boletins ou revistas publicados pela entidade, além de outras peças que também comprovem as atividades desenvolvidas no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período.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06"/>
        <w:jc w:val="both"/>
      </w:pPr>
      <w:r>
        <w:rPr>
          <w:strike/>
        </w:rPr>
        <w:t>Parágrafo único. Para fim de comprovação do efetivo funcionamento, conforme disposto no inciso IV</w:t>
      </w:r>
      <w:r>
        <w:rPr>
          <w:strike w:val="0"/>
        </w:rPr>
        <w:t> </w:t>
      </w:r>
      <w:r>
        <w:rPr>
          <w:strike/>
        </w:rPr>
        <w:t>deste artigo, a entidade nacional deverá apresentar cinco documentos para cada um dos três anos</w:t>
      </w:r>
      <w:r>
        <w:rPr>
          <w:strike w:val="0"/>
        </w:rPr>
        <w:t> </w:t>
      </w:r>
      <w:r>
        <w:rPr>
          <w:strike/>
        </w:rPr>
        <w:t>anteriores à data do requerimento, autenticados na forma da lei.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05"/>
        <w:jc w:val="both"/>
      </w:pPr>
      <w:r>
        <w:rPr>
          <w:strike/>
        </w:rPr>
        <w:t>Art. 7° São considerados membros fundadores do CEAU as entidades nacionais referidas nos incisos IV</w:t>
      </w:r>
      <w:r>
        <w:rPr>
          <w:strike w:val="0"/>
        </w:rPr>
        <w:t> </w:t>
      </w:r>
      <w:r>
        <w:rPr>
          <w:strike/>
        </w:rPr>
        <w:t>a VIII do § 1° do art. 154 do Regimento Geral aprovado pela Resolução CAU/BR n° 33, de 2012, as</w:t>
      </w:r>
      <w:r>
        <w:rPr>
          <w:strike w:val="0"/>
        </w:rPr>
        <w:t> </w:t>
      </w:r>
      <w:r>
        <w:rPr>
          <w:strike/>
        </w:rPr>
        <w:t>quais são signatárias do MANIFESTO À SOCIEDADE BRASILEIRA de 8 de julho de 1998, através</w:t>
      </w:r>
      <w:r>
        <w:rPr>
          <w:strike w:val="0"/>
        </w:rPr>
        <w:t> </w:t>
      </w:r>
      <w:r>
        <w:rPr>
          <w:strike/>
        </w:rPr>
        <w:t>do qual firmaram compromisso de constituir-se no Colégio Brasileiro de Arquitetos e Urbanistas e que</w:t>
      </w:r>
      <w:r>
        <w:rPr>
          <w:strike w:val="0"/>
        </w:rPr>
        <w:t> </w:t>
      </w:r>
      <w:r>
        <w:rPr>
          <w:strike/>
        </w:rPr>
        <w:t>vieram a constituir a composição original do CEAU com primeira reunião oficial ocorrida em 6 de</w:t>
      </w:r>
      <w:r>
        <w:rPr>
          <w:strike w:val="0"/>
        </w:rPr>
        <w:t> </w:t>
      </w:r>
      <w:r>
        <w:rPr>
          <w:strike/>
        </w:rPr>
        <w:t>janeiro de</w:t>
      </w:r>
      <w:r>
        <w:rPr>
          <w:strike/>
          <w:spacing w:val="-3"/>
        </w:rPr>
        <w:t> </w:t>
      </w:r>
      <w:r>
        <w:rPr>
          <w:strike/>
        </w:rPr>
        <w:t>2012.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§ 1° As entidades nacionais referidas no </w:t>
      </w:r>
      <w:r>
        <w:rPr>
          <w:i/>
          <w:strike/>
        </w:rPr>
        <w:t>caput </w:t>
      </w:r>
      <w:r>
        <w:rPr>
          <w:strike/>
        </w:rPr>
        <w:t>deste artigo</w:t>
      </w:r>
      <w:r>
        <w:rPr>
          <w:strike/>
          <w:spacing w:val="-15"/>
        </w:rPr>
        <w:t> </w:t>
      </w:r>
      <w:r>
        <w:rPr>
          <w:strike/>
        </w:rPr>
        <w:t>são: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Associação Brasileira de Arquitetos Paisagistas</w:t>
      </w:r>
      <w:r>
        <w:rPr>
          <w:strike/>
          <w:spacing w:val="-24"/>
          <w:sz w:val="22"/>
        </w:rPr>
        <w:t> </w:t>
      </w:r>
      <w:r>
        <w:rPr>
          <w:strike/>
          <w:sz w:val="22"/>
        </w:rPr>
        <w:t>(ABAP);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40" w:lineRule="auto" w:before="91" w:after="0"/>
        <w:ind w:left="340" w:right="0" w:hanging="240"/>
        <w:jc w:val="left"/>
        <w:rPr>
          <w:sz w:val="22"/>
        </w:rPr>
      </w:pPr>
      <w:r>
        <w:rPr>
          <w:strike/>
          <w:sz w:val="22"/>
        </w:rPr>
        <w:t>Associação Brasileira de Ensino de Arquitetura e Urbanismo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(ABEA);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Associação Brasileira dos Escritórios de Arquitetura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(AsBEA);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40" w:lineRule="auto" w:before="91" w:after="0"/>
        <w:ind w:left="340" w:right="0" w:hanging="240"/>
        <w:jc w:val="left"/>
        <w:rPr>
          <w:sz w:val="22"/>
        </w:rPr>
      </w:pPr>
      <w:r>
        <w:rPr>
          <w:strike/>
          <w:sz w:val="22"/>
        </w:rPr>
        <w:t>Federação Nacional de Arquitetos e Urbanistas (FNA);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Instituto de Arquitetos do Brasil – Direção Nacional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(IAB).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00" w:right="103"/>
      </w:pPr>
      <w:r>
        <w:rPr>
          <w:strike/>
        </w:rPr>
        <w:t>§ 2° Integra o Colegiado Permanente, como membro honorário, com direito a voz e sem direito a voto, a</w:t>
      </w:r>
      <w:r>
        <w:rPr>
          <w:strike w:val="0"/>
        </w:rPr>
        <w:t> </w:t>
      </w:r>
      <w:r>
        <w:rPr>
          <w:strike/>
        </w:rPr>
        <w:t>Federação Nacional de Estudantes de Arquitetura e Urbanismo (FeNEA).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8° Esta Resolução entra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352" w:right="2354"/>
        <w:jc w:val="center"/>
      </w:pPr>
      <w:r>
        <w:rPr>
          <w:strike/>
        </w:rPr>
        <w:t>Brasília, 5 de outubro de 2013.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50" w:lineRule="exact" w:before="92"/>
        <w:ind w:left="2352" w:right="2357"/>
        <w:jc w:val="center"/>
      </w:pPr>
      <w:r>
        <w:rPr>
          <w:strike/>
        </w:rPr>
        <w:t>HAROLDO PINHEIRO VILLAR DE QUEIROZ</w:t>
      </w:r>
    </w:p>
    <w:p>
      <w:pPr>
        <w:pStyle w:val="BodyText"/>
        <w:spacing w:line="250" w:lineRule="exact"/>
        <w:ind w:left="2352" w:right="2353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736"/>
      </w:pPr>
      <w:r>
        <w:rPr>
          <w:strike/>
        </w:rPr>
        <w:t>(Publicada no Diário Oficial da União, Edição n° 207, Seção 1, de 24 de outubro de 2013)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615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81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591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9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39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9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9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6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9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9" w:hanging="22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3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3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3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3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3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3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3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3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33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4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42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86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2"/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2019-04-25T15:37:38Z</dcterms:created>
  <dcterms:modified xsi:type="dcterms:W3CDTF">2019-04-25T15:37:38Z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