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  <w:ind w:right="2264"/>
      </w:pPr>
      <w:r>
        <w:rPr/>
        <w:t>RESOLUÇÃO N° 53, DE 6 DE SETEMBRO DE 2013</w:t>
      </w:r>
    </w:p>
    <w:p>
      <w:pPr>
        <w:pStyle w:val="BodyText"/>
        <w:rPr>
          <w:b/>
        </w:rPr>
      </w:pPr>
    </w:p>
    <w:p>
      <w:pPr>
        <w:pStyle w:val="BodyText"/>
        <w:ind w:left="4355" w:right="107"/>
        <w:jc w:val="both"/>
      </w:pPr>
      <w:r>
        <w:rPr/>
        <w:t>Aprova as normas para a organização e o funcionamento da Conferência Nacional de Arquitetura e Urbanismo.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O Conselho de Arquitetura e Urbanismo do Brasil (CAU/BR), no uso das competências previstas no art. 28, incisos I, II e X da Lei n° 12.378, de 31 de dezembro de 2010, e nos artigos 2°, incisos II e IV, 3°, incisos I, V e XIV e 9°, incisos I e II do Regimento Geral aprovado pela Resolução CAU/BR n° 33, de 6 de setembro de 2012, de acordo com a deliberação adotada na Reunião Plenária Ordinária n° 22, realizada nos dias 5 e 6 de setembro de 2013;</w:t>
      </w:r>
    </w:p>
    <w:p>
      <w:pPr>
        <w:pStyle w:val="BodyText"/>
      </w:pPr>
    </w:p>
    <w:p>
      <w:pPr>
        <w:pStyle w:val="Heading1"/>
        <w:ind w:left="102"/>
        <w:jc w:val="left"/>
      </w:pPr>
      <w:r>
        <w:rPr/>
        <w:t>RESOLVE: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08"/>
        <w:jc w:val="both"/>
      </w:pPr>
      <w:r>
        <w:rPr/>
        <w:t>Art. 1° Fica instituída, no âmbito do Conselho de Arquitetura e Urbanismo do Brasil (CAU/BR) e dos Conselhos de Arquitetura e Urbanismo dos Estados e do Distrito Federal (CAU/UF), como evento oficial, a ser realizado a cada três anos, a Conferência Nacional de Arquitetura e Urbanismo.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  <w:jc w:val="both"/>
      </w:pPr>
      <w:r>
        <w:rPr/>
        <w:t>Art. 2° A Conferência Nacional de Arquitetura e Urbanismo tem por objetivos: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- debater e posicionar os Conselhos de Arquitetura e Urbanismo, as entidades de classe representativas dos arquitetos e urbanistas e a sociedade</w:t>
      </w:r>
      <w:r>
        <w:rPr>
          <w:spacing w:val="-6"/>
          <w:sz w:val="24"/>
        </w:rPr>
        <w:t> </w:t>
      </w:r>
      <w:r>
        <w:rPr>
          <w:sz w:val="24"/>
        </w:rPr>
        <w:t>sobre: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0" w:lineRule="auto" w:before="0" w:after="0"/>
        <w:ind w:left="102" w:right="112" w:firstLine="0"/>
        <w:jc w:val="left"/>
        <w:rPr>
          <w:sz w:val="24"/>
        </w:rPr>
      </w:pPr>
      <w:r>
        <w:rPr>
          <w:sz w:val="24"/>
        </w:rPr>
        <w:t>os temas atuais e relevantes relacionados à Arquitetura e Urbanismo nos âmbitos nacional e</w:t>
      </w:r>
      <w:r>
        <w:rPr>
          <w:spacing w:val="-2"/>
          <w:sz w:val="24"/>
        </w:rPr>
        <w:t> </w:t>
      </w:r>
      <w:r>
        <w:rPr>
          <w:sz w:val="24"/>
        </w:rPr>
        <w:t>regional;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42" w:lineRule="auto" w:before="1" w:after="0"/>
        <w:ind w:left="102" w:right="108" w:firstLine="0"/>
        <w:jc w:val="left"/>
        <w:rPr>
          <w:sz w:val="24"/>
        </w:rPr>
      </w:pPr>
      <w:r>
        <w:rPr>
          <w:sz w:val="24"/>
        </w:rPr>
        <w:t>as políticas nacionais e regionais de interesse da Arquitetura e Urbanismo e dos arquitetos e</w:t>
      </w:r>
      <w:r>
        <w:rPr>
          <w:spacing w:val="-3"/>
          <w:sz w:val="24"/>
        </w:rPr>
        <w:t> </w:t>
      </w:r>
      <w:r>
        <w:rPr>
          <w:sz w:val="24"/>
        </w:rPr>
        <w:t>urbanistas;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0" w:after="0"/>
        <w:ind w:left="102" w:right="108" w:firstLine="0"/>
        <w:jc w:val="left"/>
        <w:rPr>
          <w:sz w:val="24"/>
        </w:rPr>
      </w:pPr>
      <w:r>
        <w:rPr>
          <w:sz w:val="24"/>
        </w:rPr>
        <w:t>as normas e políticas de orientação, disciplina e fiscalização do exercício da profissão de arquiteto e</w:t>
      </w:r>
      <w:r>
        <w:rPr>
          <w:spacing w:val="-3"/>
          <w:sz w:val="24"/>
        </w:rPr>
        <w:t> </w:t>
      </w:r>
      <w:r>
        <w:rPr>
          <w:sz w:val="24"/>
        </w:rPr>
        <w:t>urbanista;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- promover a comunicação dos arquitetos e urbanistas visando à abordagem de temas relacionados à profissão, incluindo o desenvolvimento e a disseminação do conhecimento na área de Arquitetura e</w:t>
      </w:r>
      <w:r>
        <w:rPr>
          <w:spacing w:val="-1"/>
          <w:sz w:val="24"/>
        </w:rPr>
        <w:t> </w:t>
      </w:r>
      <w:r>
        <w:rPr>
          <w:sz w:val="24"/>
        </w:rPr>
        <w:t>Urbanismo.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6"/>
        <w:jc w:val="both"/>
      </w:pPr>
      <w:r>
        <w:rPr/>
        <w:t>Parágrafo único. As conclusões das Conferências Nacionais de Arquitetura e Urbanismo têm caráter de recomendação ao Conselho de Arquitetura e Urbanismo do Brasil (CAU/BR) e aos Conselhos de Arquitetura e Urbanismo dos Estados e do Distrito Federal (CAU/UF), os quais deverão, em conformidade com as suas respectivas competências, incluí-las nas suas pautas de discussões.</w:t>
      </w:r>
    </w:p>
    <w:p>
      <w:pPr>
        <w:pStyle w:val="BodyText"/>
        <w:spacing w:before="1"/>
      </w:pPr>
    </w:p>
    <w:p>
      <w:pPr>
        <w:pStyle w:val="BodyText"/>
        <w:ind w:left="102" w:right="113"/>
        <w:jc w:val="both"/>
      </w:pPr>
      <w:r>
        <w:rPr/>
        <w:t>Art. 3° Cada Conferência Nacional de Arquitetura e Urbanismo será organizada e dirigida por uma Comissão Organizadora, designada pelo Plenário do CAU/BR e presidida pelo Presidente do</w:t>
      </w:r>
      <w:r>
        <w:rPr>
          <w:spacing w:val="1"/>
        </w:rPr>
        <w:t> </w:t>
      </w:r>
      <w:r>
        <w:rPr/>
        <w:t>CAU/BR.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708" w:footer="1285" w:top="1500" w:bottom="1480" w:left="1600" w:right="1020"/>
        </w:sectPr>
      </w:pPr>
    </w:p>
    <w:p>
      <w:pPr>
        <w:pStyle w:val="BodyText"/>
        <w:spacing w:before="41"/>
        <w:ind w:left="102" w:right="109"/>
        <w:jc w:val="both"/>
      </w:pPr>
      <w:r>
        <w:rPr/>
        <w:t>Parágrafo único. Cabe à Comissão Organizadora definir a distribuição do temário, os nomes dos expositores, a programação dos trabalhos, os serviços de apoio e infraestrutura e o regimento interno da Conferência.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/>
        <w:jc w:val="both"/>
      </w:pPr>
      <w:r>
        <w:rPr/>
        <w:t>Art. 4° São membros das Conferências: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5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- efetivos: os conselheiros e presidentes do Conselho de Arquitetura e Urbanismo do Brasil (CAU/BR) e dos Conselhos de Arquitetura e Urbanismo dos Estados e do Distrito Federal (CAU/UF), os membros dos colegiados permanentes a que se refere o art. 61 da Lei n° 12.378, de 2010 (CEAU-CAU/BR e CEAU-CAU/UF) e os arquitetos e urbanistas inscritos na Conferência, todos com direito a</w:t>
      </w:r>
      <w:r>
        <w:rPr>
          <w:spacing w:val="-4"/>
          <w:sz w:val="24"/>
        </w:rPr>
        <w:t> </w:t>
      </w:r>
      <w:r>
        <w:rPr>
          <w:sz w:val="24"/>
        </w:rPr>
        <w:t>voto;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07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- convidados: as pessoas a quem a Comissão Organizadora conceder tal qualidade, sem direito a voto, salvo se for arquiteto e</w:t>
      </w:r>
      <w:r>
        <w:rPr>
          <w:spacing w:val="-5"/>
          <w:sz w:val="24"/>
        </w:rPr>
        <w:t> </w:t>
      </w:r>
      <w:r>
        <w:rPr>
          <w:sz w:val="24"/>
        </w:rPr>
        <w:t>urbanista.</w:t>
      </w:r>
    </w:p>
    <w:p>
      <w:pPr>
        <w:pStyle w:val="BodyText"/>
        <w:spacing w:before="2"/>
      </w:pPr>
    </w:p>
    <w:p>
      <w:pPr>
        <w:pStyle w:val="BodyText"/>
        <w:ind w:left="102" w:right="109"/>
        <w:jc w:val="both"/>
      </w:pPr>
      <w:r>
        <w:rPr/>
        <w:t>§ 1° Os convidados, expositores e membros dos órgãos dos Conselhos de Arquitetura e Urbanismo terão identificação especial durante a Conferência.</w:t>
      </w:r>
    </w:p>
    <w:p>
      <w:pPr>
        <w:pStyle w:val="BodyText"/>
      </w:pPr>
    </w:p>
    <w:p>
      <w:pPr>
        <w:pStyle w:val="BodyText"/>
        <w:ind w:left="102" w:right="107"/>
        <w:jc w:val="both"/>
      </w:pPr>
      <w:r>
        <w:rPr/>
        <w:t>§ 2° Os estudantes de Arquitetura e Urbanismo participarão como ouvintes da Conferência, com direito a voz por meio de representante indicado pela Federação Nacional de Estudantes de Arquitetura e Urbanismo</w:t>
      </w:r>
      <w:r>
        <w:rPr>
          <w:spacing w:val="3"/>
        </w:rPr>
        <w:t> </w:t>
      </w:r>
      <w:r>
        <w:rPr/>
        <w:t>(FENEA).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Art. 5° Durante o funcionamento da Conferência, a Comissão Organizadora será representada pelo Presidente, com poderes para cumprir a programação estabelecida e decidir as questões ocorrentes e os casos omissos.</w:t>
      </w:r>
    </w:p>
    <w:p>
      <w:pPr>
        <w:pStyle w:val="BodyText"/>
      </w:pPr>
    </w:p>
    <w:p>
      <w:pPr>
        <w:pStyle w:val="BodyText"/>
        <w:ind w:left="102" w:right="109"/>
        <w:jc w:val="both"/>
      </w:pPr>
      <w:r>
        <w:rPr/>
        <w:t>Art. 6° Os trabalhos da Conferência serão desenvolvidos em sessões plenárias, painéis ou outros modos de exposição ou atuação dos participantes.</w:t>
      </w:r>
    </w:p>
    <w:p>
      <w:pPr>
        <w:pStyle w:val="BodyText"/>
        <w:spacing w:before="2"/>
      </w:pPr>
    </w:p>
    <w:p>
      <w:pPr>
        <w:pStyle w:val="BodyText"/>
        <w:ind w:left="102" w:right="114"/>
        <w:jc w:val="both"/>
      </w:pPr>
      <w:r>
        <w:rPr/>
        <w:t>§ 1° As sessões são dirigidas por um Presidente e um Relator, escolhidos pela Comissão Organizadora.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06"/>
        <w:jc w:val="both"/>
      </w:pPr>
      <w:r>
        <w:rPr/>
        <w:t>§ 2° Quando as sessões se desenvolverem em forma de painéis, os expositores ocuparão a metade do tempo total e a outra metade será destinada aos debates e votações de propostas ou conclusões pelos participantes.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8"/>
        <w:jc w:val="both"/>
      </w:pPr>
      <w:r>
        <w:rPr/>
        <w:t>§ 3° Será facultado aos expositores submeterem as suas conclusões à aprovação dos participantes.</w:t>
      </w:r>
    </w:p>
    <w:p>
      <w:pPr>
        <w:pStyle w:val="BodyText"/>
      </w:pPr>
    </w:p>
    <w:p>
      <w:pPr>
        <w:pStyle w:val="BodyText"/>
        <w:ind w:left="102" w:right="110"/>
        <w:jc w:val="both"/>
      </w:pPr>
      <w:r>
        <w:rPr/>
        <w:t>Art. 7° Os recursos para o custeio das Conferências, incluindo a participação de conselheiros, convidados e colaboradores, serão alocados no orçamento anual do CAU/BR e dos CAU/UF.</w:t>
      </w:r>
    </w:p>
    <w:p>
      <w:pPr>
        <w:pStyle w:val="BodyText"/>
        <w:spacing w:before="2"/>
      </w:pPr>
    </w:p>
    <w:p>
      <w:pPr>
        <w:pStyle w:val="BodyText"/>
        <w:ind w:left="102" w:right="110"/>
        <w:jc w:val="both"/>
      </w:pPr>
      <w:r>
        <w:rPr/>
        <w:t>Art. 8° A primeira Conferência Nacional de Arquitetura e Urbanismo será realizada no ano de 2014, paralelamente ao XX Congresso Brasileiro de Arquitetos, na Cidade de Fortaleza, Estado do Ceará.</w:t>
      </w:r>
    </w:p>
    <w:p>
      <w:pPr>
        <w:spacing w:after="0"/>
        <w:jc w:val="both"/>
        <w:sectPr>
          <w:pgSz w:w="11900" w:h="16850"/>
          <w:pgMar w:header="708" w:footer="1285" w:top="1500" w:bottom="1480" w:left="1600" w:right="1020"/>
        </w:sectPr>
      </w:pPr>
    </w:p>
    <w:p>
      <w:pPr>
        <w:pStyle w:val="BodyText"/>
        <w:spacing w:before="41"/>
        <w:ind w:left="102" w:right="107"/>
        <w:jc w:val="both"/>
      </w:pPr>
      <w:r>
        <w:rPr/>
        <w:t>Parágrafo único. O CAU/BR poderá firmar os convênios ou contratos necessários com o promotor do XX Congresso Brasileiro de Arquitetos, com vistas a viabilizar a realização da Primeira Conferência Nacional de Arquitetura e Urbanismo.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6"/>
        <w:jc w:val="both"/>
      </w:pPr>
      <w:r>
        <w:rPr/>
        <w:t>Art. 9° O Presidente do CAU/BR, por meio de Portaria Normativa, regulamentará esta Resolução.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  <w:jc w:val="both"/>
      </w:pPr>
      <w:r>
        <w:rPr/>
        <w:t>Art. 10. Esta Resolução entra em vigor na data de sua publicação.</w:t>
      </w:r>
    </w:p>
    <w:p>
      <w:pPr>
        <w:pStyle w:val="BodyText"/>
      </w:pPr>
    </w:p>
    <w:p>
      <w:pPr>
        <w:pStyle w:val="BodyText"/>
        <w:ind w:left="2254" w:right="2261"/>
        <w:jc w:val="center"/>
      </w:pPr>
      <w:r>
        <w:rPr/>
        <w:t>Brasília, 6 de setembro de 2013.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right="2262"/>
      </w:pPr>
      <w:r>
        <w:rPr/>
        <w:t>HAROLDO PINHEIRO VILLAR DE QUEIROZ</w:t>
      </w:r>
    </w:p>
    <w:p>
      <w:pPr>
        <w:spacing w:before="2"/>
        <w:ind w:left="2254" w:right="2261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7"/>
        </w:rPr>
      </w:pPr>
    </w:p>
    <w:p>
      <w:pPr>
        <w:spacing w:before="0"/>
        <w:ind w:left="102" w:right="0" w:firstLine="0"/>
        <w:jc w:val="both"/>
        <w:rPr>
          <w:sz w:val="20"/>
        </w:rPr>
      </w:pPr>
      <w:r>
        <w:rPr>
          <w:sz w:val="20"/>
        </w:rPr>
        <w:t>(Publicada no Diário Oficial da União, Edição n° 188, Seção 1, de 27 de setembro de 2013)</w:t>
      </w:r>
    </w:p>
    <w:sectPr>
      <w:pgSz w:w="11900" w:h="16850"/>
      <w:pgMar w:header="708" w:footer="1285" w:top="1500" w:bottom="14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02624" from="62.304001pt,764.495972pt" to="550.924001pt,764.495972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543999pt;margin-top:770.439453pt;width:472.1pt;height:26.95pt;mso-position-horizontal-relative:page;mso-position-vertical-relative:page;z-index:-251801600" type="#_x0000_t202" filled="false" stroked="false">
          <v:textbox inset="0,0,0,0">
            <w:txbxContent>
              <w:p>
                <w:pPr>
                  <w:spacing w:line="288" w:lineRule="auto" w:before="12"/>
                  <w:ind w:left="2600" w:right="1" w:hanging="2581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003333"/>
                    <w:sz w:val="20"/>
                  </w:rPr>
                  <w:t>SCS Quadra 2, Bloco E, Edifício Serra Dourada, Salas 401/409 | CEP 70302-000 Brasília, Distrito Federal </w:t>
                </w:r>
                <w:hyperlink r:id="rId1">
                  <w:r>
                    <w:rPr>
                      <w:rFonts w:ascii="Arial" w:hAnsi="Arial"/>
                      <w:color w:val="003333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12832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102" w:hanging="123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2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2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2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2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2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2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2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23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2" w:hanging="312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31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31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31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31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31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31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31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31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2" w:hanging="144"/>
        <w:jc w:val="left"/>
      </w:pPr>
      <w:rPr>
        <w:rFonts w:hint="default" w:ascii="Calibri" w:hAnsi="Calibri" w:eastAsia="Calibri" w:cs="Calibri"/>
        <w:spacing w:val="-27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4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4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4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4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4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4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4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44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25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 w:right="108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2020-06-26T11:25:27Z</dcterms:created>
  <dcterms:modified xsi:type="dcterms:W3CDTF">2020-06-26T11:25:27Z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2020-06-26T00:00:00Z</vt:filetime>
  </property>
</Properties>
</file>