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38"/>
        <w:ind w:left="2881"/>
        <w:jc w:val="left"/>
      </w:pPr>
      <w:r>
        <w:rPr/>
        <w:drawing>
          <wp:anchor distT="0" distB="0" distL="0" distR="0" allowOverlap="1" layoutInCell="1" locked="0" behindDoc="1" simplePos="0" relativeHeight="268432847">
            <wp:simplePos x="0" y="0"/>
            <wp:positionH relativeFrom="page">
              <wp:posOffset>0</wp:posOffset>
            </wp:positionH>
            <wp:positionV relativeFrom="page">
              <wp:posOffset>366545</wp:posOffset>
            </wp:positionV>
            <wp:extent cx="7470139" cy="953627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0139" cy="9536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RESOLUÇÃO N° 43, DE 25 DE JANEIRO DE 2013.</w:t>
      </w:r>
    </w:p>
    <w:p>
      <w:pPr>
        <w:pStyle w:val="BodyText"/>
        <w:spacing w:before="12"/>
        <w:rPr>
          <w:b/>
          <w:sz w:val="23"/>
        </w:rPr>
      </w:pPr>
    </w:p>
    <w:p>
      <w:pPr>
        <w:pStyle w:val="BodyText"/>
        <w:ind w:left="4792" w:right="112"/>
        <w:jc w:val="both"/>
      </w:pPr>
      <w:r>
        <w:rPr/>
        <w:t>Fixa prazo para o cumprimento da Resolução CAU/BR n° 42, de 19 de dezembro de 2012, e dá outras providências.</w:t>
      </w:r>
    </w:p>
    <w:p>
      <w:pPr>
        <w:pStyle w:val="BodyText"/>
        <w:spacing w:before="1"/>
      </w:pPr>
    </w:p>
    <w:p>
      <w:pPr>
        <w:pStyle w:val="BodyText"/>
        <w:spacing w:before="1"/>
        <w:ind w:left="538" w:right="109"/>
        <w:jc w:val="both"/>
      </w:pPr>
      <w:r>
        <w:rPr/>
        <w:t>O Conselho de Arquitetura e Urbanismo do Brasil (CAU/BR), no uso das competências previstas nos artigos 28, incisos II, III e XI e 60 da Lei n° 12.378, de 31 de dezembro de 2010, e nos artigos 2°, inciso VI, letra “c”, 3°, incisos V e VI e 9°, incisos I e III do Regimento Geral aprovado pela Resolução CAU/BR n° 33, de 6 de setembro de 2012, e de acordo com a deliberação adotada na Reunião Plenária Ordinária n° 14, realizada nos dias 24 e 25 de janeiro de 2013;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ind w:left="538"/>
        <w:jc w:val="both"/>
      </w:pPr>
      <w:r>
        <w:rPr/>
        <w:t>RESOLVE:</w:t>
      </w:r>
    </w:p>
    <w:p>
      <w:pPr>
        <w:pStyle w:val="BodyText"/>
        <w:rPr>
          <w:b/>
        </w:rPr>
      </w:pPr>
    </w:p>
    <w:p>
      <w:pPr>
        <w:pStyle w:val="BodyText"/>
        <w:ind w:left="538" w:right="110"/>
        <w:jc w:val="both"/>
      </w:pPr>
      <w:r>
        <w:rPr/>
        <w:t>Art. 1° Fixa os seguintes prazos para que os Conselhos de Arquitetura e Urbanismo dos Estados e do Distrito Federal (CAU/UF) adotem providências de sua responsabilidade relacionadas ao cumprimento de disposições da Resolução CAU/BR n° 42, de 19 de dezembro de 2012: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731" w:val="left" w:leader="none"/>
        </w:tabs>
        <w:spacing w:line="240" w:lineRule="auto" w:before="0" w:after="0"/>
        <w:ind w:left="538" w:right="110" w:firstLine="0"/>
        <w:jc w:val="both"/>
        <w:rPr>
          <w:sz w:val="24"/>
        </w:rPr>
      </w:pPr>
      <w:r>
        <w:rPr>
          <w:sz w:val="24"/>
        </w:rPr>
        <w:t>- 15 de fevereiro de 2013: ajustamento de convênios bancários ou reformulação dos convênios bancários existentes, de forma tal a que seja feita a repartição dos recursos destinados ao Fundo de Apoio Financeiro aos CAU/UF no momento do ingresso dos recursos na rede bancária responsável pela arrecadação, nos termos previstos no art. 2°, inciso I e parágrafo único da Resolução CAU/BR n° 42, de</w:t>
      </w:r>
      <w:r>
        <w:rPr>
          <w:spacing w:val="-10"/>
          <w:sz w:val="24"/>
        </w:rPr>
        <w:t> </w:t>
      </w:r>
      <w:r>
        <w:rPr>
          <w:sz w:val="24"/>
        </w:rPr>
        <w:t>2012;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753" w:val="left" w:leader="none"/>
        </w:tabs>
        <w:spacing w:line="240" w:lineRule="auto" w:before="0" w:after="0"/>
        <w:ind w:left="538" w:right="116" w:firstLine="0"/>
        <w:jc w:val="both"/>
        <w:rPr>
          <w:sz w:val="24"/>
        </w:rPr>
      </w:pPr>
      <w:r>
        <w:rPr>
          <w:sz w:val="24"/>
        </w:rPr>
        <w:t>- 28 de fevereiro de 2013: transferência, ao Fundo de Apoio Financeiro dos CAU/UF, dos valores a ele destinados e recolhidos, até 15 de fevereiro de 2013, em desconformidade com o disposto no art. 2°, inciso I da Resolução CAU/BR n° 42, de</w:t>
      </w:r>
      <w:r>
        <w:rPr>
          <w:spacing w:val="-6"/>
          <w:sz w:val="24"/>
        </w:rPr>
        <w:t> </w:t>
      </w:r>
      <w:r>
        <w:rPr>
          <w:sz w:val="24"/>
        </w:rPr>
        <w:t>2012.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538" w:right="113"/>
        <w:jc w:val="both"/>
      </w:pPr>
      <w:r>
        <w:rPr/>
        <w:t>Art. 2° O descumprimento, por parte dos Conselhos de Arquitetura e Urbanismo dos Estados e do Distrito Federal (CAU/UF), dos prazos e condições fixados nesta Resolução, configurará violação ao art. 34, inciso II da Lei n° 12.378, de 31 de dezembro de 2010.</w:t>
      </w:r>
    </w:p>
    <w:p>
      <w:pPr>
        <w:pStyle w:val="BodyText"/>
        <w:spacing w:before="1"/>
      </w:pPr>
    </w:p>
    <w:p>
      <w:pPr>
        <w:pStyle w:val="BodyText"/>
        <w:spacing w:before="1"/>
        <w:ind w:left="538"/>
        <w:jc w:val="both"/>
      </w:pPr>
      <w:r>
        <w:rPr/>
        <w:t>Art. 3° Esta Resolução entra em vigor na data de sua publicação.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3153" w:right="2726"/>
        <w:jc w:val="center"/>
      </w:pPr>
      <w:r>
        <w:rPr/>
        <w:t>Brasília, 25 de janeiro de 2013.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ind w:right="2728"/>
      </w:pPr>
      <w:r>
        <w:rPr/>
        <w:t>HAROLDO PINHEIRO VILLAR DE QUEIROZ</w:t>
      </w:r>
    </w:p>
    <w:p>
      <w:pPr>
        <w:spacing w:before="0"/>
        <w:ind w:left="3153" w:right="2727" w:firstLine="0"/>
        <w:jc w:val="center"/>
        <w:rPr>
          <w:b/>
          <w:sz w:val="24"/>
        </w:rPr>
      </w:pPr>
      <w:r>
        <w:rPr>
          <w:b/>
          <w:sz w:val="24"/>
        </w:rPr>
        <w:t>Presidente do CAU/BR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23"/>
        </w:rPr>
      </w:pPr>
    </w:p>
    <w:p>
      <w:pPr>
        <w:spacing w:before="0"/>
        <w:ind w:left="538" w:right="112" w:firstLine="0"/>
        <w:jc w:val="both"/>
        <w:rPr>
          <w:sz w:val="20"/>
        </w:rPr>
      </w:pPr>
      <w:r>
        <w:rPr>
          <w:sz w:val="20"/>
        </w:rPr>
        <w:t>(Publicada no Diário Oficial da União, Edição n° 19, Seção 1, de 28 de janeiro de 2013, e republicada na Edição n° 20, Seção 1, de 29 de janeiro de 2013).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spacing w:before="0"/>
        <w:ind w:left="111" w:right="0" w:firstLine="0"/>
        <w:jc w:val="left"/>
        <w:rPr>
          <w:rFonts w:ascii="Arial" w:hAnsi="Arial"/>
          <w:sz w:val="16"/>
        </w:rPr>
      </w:pPr>
      <w:r>
        <w:rPr>
          <w:rFonts w:ascii="Arial" w:hAnsi="Arial"/>
          <w:color w:val="003333"/>
          <w:spacing w:val="-2"/>
          <w:sz w:val="16"/>
        </w:rPr>
        <w:t>SCN </w:t>
      </w:r>
      <w:r>
        <w:rPr>
          <w:rFonts w:ascii="Arial" w:hAnsi="Arial"/>
          <w:color w:val="003333"/>
          <w:spacing w:val="-3"/>
          <w:sz w:val="16"/>
        </w:rPr>
        <w:t>Quadra </w:t>
      </w:r>
      <w:r>
        <w:rPr>
          <w:rFonts w:ascii="Arial" w:hAnsi="Arial"/>
          <w:color w:val="003333"/>
          <w:sz w:val="16"/>
        </w:rPr>
        <w:t>1, </w:t>
      </w:r>
      <w:r>
        <w:rPr>
          <w:rFonts w:ascii="Arial" w:hAnsi="Arial"/>
          <w:color w:val="003333"/>
          <w:spacing w:val="-3"/>
          <w:sz w:val="16"/>
        </w:rPr>
        <w:t>Bloco </w:t>
      </w:r>
      <w:r>
        <w:rPr>
          <w:rFonts w:ascii="Arial" w:hAnsi="Arial"/>
          <w:color w:val="003333"/>
          <w:sz w:val="16"/>
        </w:rPr>
        <w:t>E, </w:t>
      </w:r>
      <w:r>
        <w:rPr>
          <w:rFonts w:ascii="Arial" w:hAnsi="Arial"/>
          <w:color w:val="003333"/>
          <w:spacing w:val="-3"/>
          <w:sz w:val="16"/>
        </w:rPr>
        <w:t>Edifício </w:t>
      </w:r>
      <w:r>
        <w:rPr>
          <w:rFonts w:ascii="Arial" w:hAnsi="Arial"/>
          <w:color w:val="003333"/>
          <w:spacing w:val="-4"/>
          <w:sz w:val="16"/>
        </w:rPr>
        <w:t>Central </w:t>
      </w:r>
      <w:r>
        <w:rPr>
          <w:rFonts w:ascii="Arial" w:hAnsi="Arial"/>
          <w:color w:val="003333"/>
          <w:spacing w:val="-3"/>
          <w:sz w:val="16"/>
        </w:rPr>
        <w:t>Park, Salas </w:t>
      </w:r>
      <w:r>
        <w:rPr>
          <w:rFonts w:ascii="Arial" w:hAnsi="Arial"/>
          <w:color w:val="003333"/>
          <w:spacing w:val="-4"/>
          <w:sz w:val="16"/>
        </w:rPr>
        <w:t>302/303 </w:t>
      </w:r>
      <w:r>
        <w:rPr>
          <w:rFonts w:ascii="Arial" w:hAnsi="Arial"/>
          <w:color w:val="003333"/>
          <w:sz w:val="16"/>
        </w:rPr>
        <w:t>| </w:t>
      </w:r>
      <w:r>
        <w:rPr>
          <w:rFonts w:ascii="Arial" w:hAnsi="Arial"/>
          <w:color w:val="003333"/>
          <w:spacing w:val="-2"/>
          <w:sz w:val="16"/>
        </w:rPr>
        <w:t>CEP </w:t>
      </w:r>
      <w:r>
        <w:rPr>
          <w:rFonts w:ascii="Arial" w:hAnsi="Arial"/>
          <w:color w:val="003333"/>
          <w:spacing w:val="-4"/>
          <w:sz w:val="16"/>
        </w:rPr>
        <w:t>70711-903 </w:t>
      </w:r>
      <w:r>
        <w:rPr>
          <w:rFonts w:ascii="Arial" w:hAnsi="Arial"/>
          <w:color w:val="003333"/>
          <w:spacing w:val="-3"/>
          <w:sz w:val="16"/>
        </w:rPr>
        <w:t>Brasília/DF </w:t>
      </w:r>
      <w:r>
        <w:rPr>
          <w:rFonts w:ascii="Arial" w:hAnsi="Arial"/>
          <w:color w:val="003333"/>
          <w:sz w:val="16"/>
        </w:rPr>
        <w:t>| </w:t>
      </w:r>
      <w:r>
        <w:rPr>
          <w:rFonts w:ascii="Arial" w:hAnsi="Arial"/>
          <w:color w:val="003333"/>
          <w:spacing w:val="-3"/>
          <w:sz w:val="16"/>
        </w:rPr>
        <w:t>Tel.: (61) 3326-2272 </w:t>
      </w:r>
      <w:r>
        <w:rPr>
          <w:rFonts w:ascii="Arial" w:hAnsi="Arial"/>
          <w:color w:val="003333"/>
          <w:sz w:val="16"/>
        </w:rPr>
        <w:t>/ </w:t>
      </w:r>
      <w:r>
        <w:rPr>
          <w:rFonts w:ascii="Arial" w:hAnsi="Arial"/>
          <w:color w:val="003333"/>
          <w:spacing w:val="-3"/>
          <w:sz w:val="16"/>
        </w:rPr>
        <w:t>2297 </w:t>
      </w:r>
      <w:r>
        <w:rPr>
          <w:rFonts w:ascii="Arial" w:hAnsi="Arial"/>
          <w:color w:val="003333"/>
          <w:sz w:val="16"/>
        </w:rPr>
        <w:t>– </w:t>
      </w:r>
      <w:r>
        <w:rPr>
          <w:rFonts w:ascii="Arial" w:hAnsi="Arial"/>
          <w:color w:val="003333"/>
          <w:spacing w:val="-3"/>
          <w:sz w:val="16"/>
        </w:rPr>
        <w:t>3328 -5632 </w:t>
      </w:r>
      <w:r>
        <w:rPr>
          <w:rFonts w:ascii="Arial" w:hAnsi="Arial"/>
          <w:color w:val="003333"/>
          <w:sz w:val="16"/>
        </w:rPr>
        <w:t>/ </w:t>
      </w:r>
      <w:r>
        <w:rPr>
          <w:rFonts w:ascii="Arial" w:hAnsi="Arial"/>
          <w:color w:val="003333"/>
          <w:spacing w:val="-3"/>
          <w:sz w:val="16"/>
        </w:rPr>
        <w:t>5946</w:t>
      </w:r>
    </w:p>
    <w:p>
      <w:pPr>
        <w:spacing w:before="36"/>
        <w:ind w:left="111" w:right="0" w:firstLine="0"/>
        <w:jc w:val="left"/>
        <w:rPr>
          <w:rFonts w:ascii="Arial"/>
          <w:sz w:val="20"/>
        </w:rPr>
      </w:pPr>
      <w:hyperlink r:id="rId6">
        <w:r>
          <w:rPr>
            <w:rFonts w:ascii="Arial"/>
            <w:b/>
            <w:color w:val="003333"/>
            <w:sz w:val="20"/>
          </w:rPr>
          <w:t>www.caubr.gov.br </w:t>
        </w:r>
      </w:hyperlink>
      <w:r>
        <w:rPr>
          <w:rFonts w:ascii="Arial"/>
          <w:color w:val="003333"/>
          <w:sz w:val="20"/>
        </w:rPr>
        <w:t>/ </w:t>
      </w:r>
      <w:hyperlink r:id="rId7">
        <w:r>
          <w:rPr>
            <w:rFonts w:ascii="Arial"/>
            <w:color w:val="003333"/>
            <w:sz w:val="20"/>
          </w:rPr>
          <w:t>atendimento@caubr.gov.br</w:t>
        </w:r>
      </w:hyperlink>
    </w:p>
    <w:sectPr>
      <w:type w:val="continuous"/>
      <w:pgSz w:w="11900" w:h="16850"/>
      <w:pgMar w:top="1540" w:bottom="280" w:left="88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"/>
      <w:lvlJc w:val="left"/>
      <w:pPr>
        <w:ind w:left="538" w:hanging="192"/>
        <w:jc w:val="left"/>
      </w:pPr>
      <w:rPr>
        <w:rFonts w:hint="default" w:ascii="Calibri" w:hAnsi="Calibri" w:eastAsia="Calibri" w:cs="Calibri"/>
        <w:spacing w:val="-3"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485" w:hanging="192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431" w:hanging="192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377" w:hanging="192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323" w:hanging="192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269" w:hanging="192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215" w:hanging="192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161" w:hanging="192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107" w:hanging="192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3153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ind w:left="538" w:right="110"/>
      <w:jc w:val="both"/>
    </w:pPr>
    <w:rPr>
      <w:rFonts w:ascii="Calibri" w:hAnsi="Calibri" w:eastAsia="Calibri" w:cs="Calibri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caubr.gov.br/" TargetMode="External"/><Relationship Id="rId7" Type="http://schemas.openxmlformats.org/officeDocument/2006/relationships/hyperlink" Target="mailto:atendimento@caubr.gov.br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2019-04-25T15:44:48Z</dcterms:created>
  <dcterms:modified xsi:type="dcterms:W3CDTF">2019-04-25T15:44:48Z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2013-01-29T00:00:00Z</vt:filetime>
  </property>
  <property fmtid="{D5CDD505-2E9C-101B-9397-08002B2CF9AE}" pid="3" name="Creator">
    <vt:lpwstr>Versão de Avaliação do Microsoft® Word 2010</vt:lpwstr>
  </property>
  <property fmtid="{D5CDD505-2E9C-101B-9397-08002B2CF9AE}" pid="4" name="LastSaved">
    <vt:filetime>2019-04-25T00:00:00Z</vt:filetime>
  </property>
</Properties>
</file>