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8"/>
        <w:ind w:left="2833"/>
      </w:pPr>
      <w:r>
        <w:rPr/>
        <w:drawing>
          <wp:anchor distT="0" distB="0" distL="0" distR="0" allowOverlap="1" layoutInCell="1" locked="0" behindDoc="1" simplePos="0" relativeHeight="268430231">
            <wp:simplePos x="0" y="0"/>
            <wp:positionH relativeFrom="page">
              <wp:posOffset>0</wp:posOffset>
            </wp:positionH>
            <wp:positionV relativeFrom="page">
              <wp:posOffset>366545</wp:posOffset>
            </wp:positionV>
            <wp:extent cx="7470139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39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40, DE 5 DE DEZEMBRO DE 2012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4792" w:right="146"/>
        <w:jc w:val="both"/>
      </w:pPr>
      <w:r>
        <w:rPr/>
        <w:t>Aprova a segunda reprogramação orçamentária do CAU/BR, consolida o orçamento de 2012 dos Conselhos de Arquitetura e Urbanismo e dá outras providências.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38" w:right="148"/>
        <w:jc w:val="both"/>
      </w:pPr>
      <w:r>
        <w:rPr/>
        <w:t>O Conselho de Arquitetura e Urbanismo do Brasil (CAU/BR), no uso das competências previstas no art. 28, incisos II, III e XI da Lei n° 12.378, de 31 de dezembro de 2010, e nos artigos 3°, incisos V, VI e XVI e 9°, incisos III, XIX e XX do Regimento Geral aprovado pela Resolução CAU/BR n° 33, de 6 de setembro de 2012, de acordo com a deliberação adotada na Reunião Plenária Ordinária n° 13, realizada nos dias 4 e 5 de dezembro de</w:t>
      </w:r>
      <w:r>
        <w:rPr>
          <w:spacing w:val="-14"/>
        </w:rPr>
        <w:t> </w:t>
      </w:r>
      <w:r>
        <w:rPr/>
        <w:t>2012;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538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538" w:right="146"/>
        <w:jc w:val="both"/>
      </w:pPr>
      <w:r>
        <w:rPr/>
        <w:t>Art. 1° Aprovar a Segunda Reprogramação Orçamentária do Conselho de Arquitetura e Urbanismo do Brasil (CAU/BR) e, em consequência, a nova consolidação das Reprogramações Orçamentárias do Conselho de Arquitetura e Urbanismo do Brasil (CAU/BR) e dos Conselhos de Arquitetura e Urbanismo dos Estados e do Distrito Federal (CAU/UF), referentes ao exercício de 2012, na forma do resumo abaixo: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5"/>
        <w:gridCol w:w="2344"/>
        <w:gridCol w:w="2344"/>
        <w:gridCol w:w="2344"/>
      </w:tblGrid>
      <w:tr>
        <w:trPr>
          <w:trHeight w:val="292" w:hRule="atLeast"/>
        </w:trPr>
        <w:tc>
          <w:tcPr>
            <w:tcW w:w="9377" w:type="dxa"/>
            <w:gridSpan w:val="4"/>
          </w:tcPr>
          <w:p>
            <w:pPr>
              <w:pStyle w:val="TableParagraph"/>
              <w:ind w:left="1893"/>
              <w:rPr>
                <w:b/>
                <w:sz w:val="24"/>
              </w:rPr>
            </w:pPr>
            <w:r>
              <w:rPr>
                <w:b/>
                <w:sz w:val="24"/>
              </w:rPr>
              <w:t>CAU/BR – 2ª REPROGRAMAÇÃO ORÇAMENTÁRIA - 2012</w:t>
            </w:r>
          </w:p>
        </w:tc>
      </w:tr>
      <w:tr>
        <w:trPr>
          <w:trHeight w:val="294" w:hRule="atLeast"/>
        </w:trPr>
        <w:tc>
          <w:tcPr>
            <w:tcW w:w="2345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4" w:type="dxa"/>
          </w:tcPr>
          <w:p>
            <w:pPr>
              <w:pStyle w:val="TableParagraph"/>
              <w:spacing w:line="275" w:lineRule="exact"/>
              <w:ind w:left="1023" w:right="101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44" w:type="dxa"/>
          </w:tcPr>
          <w:p>
            <w:pPr>
              <w:pStyle w:val="TableParagraph"/>
              <w:spacing w:line="275" w:lineRule="exact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4" w:type="dxa"/>
          </w:tcPr>
          <w:p>
            <w:pPr>
              <w:pStyle w:val="TableParagraph"/>
              <w:spacing w:line="275" w:lineRule="exact"/>
              <w:ind w:left="1025" w:right="1011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4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4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36.000.580,00</w:t>
            </w:r>
          </w:p>
        </w:tc>
        <w:tc>
          <w:tcPr>
            <w:tcW w:w="2344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4" w:type="dxa"/>
          </w:tcPr>
          <w:p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32.833.110,00</w:t>
            </w:r>
          </w:p>
        </w:tc>
      </w:tr>
      <w:tr>
        <w:trPr>
          <w:trHeight w:val="292" w:hRule="atLeast"/>
        </w:trPr>
        <w:tc>
          <w:tcPr>
            <w:tcW w:w="234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4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4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4" w:type="dxa"/>
          </w:tcPr>
          <w:p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3.167.470,00</w:t>
            </w:r>
          </w:p>
        </w:tc>
      </w:tr>
      <w:tr>
        <w:trPr>
          <w:trHeight w:val="292" w:hRule="atLeast"/>
        </w:trPr>
        <w:tc>
          <w:tcPr>
            <w:tcW w:w="2345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2344" w:type="dxa"/>
          </w:tcPr>
          <w:p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36.000.580,00</w:t>
            </w:r>
          </w:p>
        </w:tc>
        <w:tc>
          <w:tcPr>
            <w:tcW w:w="2344" w:type="dxa"/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2344" w:type="dxa"/>
          </w:tcPr>
          <w:p>
            <w:pPr>
              <w:pStyle w:val="TableParagraph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36.000.580,00</w:t>
            </w:r>
          </w:p>
        </w:tc>
      </w:tr>
    </w:tbl>
    <w:p>
      <w:pPr>
        <w:pStyle w:val="BodyText"/>
        <w:spacing w:before="2"/>
      </w:pPr>
    </w:p>
    <w:tbl>
      <w:tblPr>
        <w:tblW w:w="0" w:type="auto"/>
        <w:jc w:val="left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5"/>
        <w:gridCol w:w="2344"/>
        <w:gridCol w:w="2344"/>
        <w:gridCol w:w="2344"/>
      </w:tblGrid>
      <w:tr>
        <w:trPr>
          <w:trHeight w:val="292" w:hRule="atLeast"/>
        </w:trPr>
        <w:tc>
          <w:tcPr>
            <w:tcW w:w="9377" w:type="dxa"/>
            <w:gridSpan w:val="4"/>
          </w:tcPr>
          <w:p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CAU/BR E CAU/UF – 2ª REPROGRAMAÇÃO ORÇAMENTÁRIA CONSOLIDADA 2012</w:t>
            </w:r>
          </w:p>
        </w:tc>
      </w:tr>
      <w:tr>
        <w:trPr>
          <w:trHeight w:val="292" w:hRule="atLeast"/>
        </w:trPr>
        <w:tc>
          <w:tcPr>
            <w:tcW w:w="2345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RECEITAS</w:t>
            </w:r>
          </w:p>
        </w:tc>
        <w:tc>
          <w:tcPr>
            <w:tcW w:w="2344" w:type="dxa"/>
          </w:tcPr>
          <w:p>
            <w:pPr>
              <w:pStyle w:val="TableParagraph"/>
              <w:ind w:left="1023" w:right="1014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44" w:type="dxa"/>
          </w:tcPr>
          <w:p>
            <w:pPr>
              <w:pStyle w:val="TableParagraph"/>
              <w:ind w:left="673"/>
              <w:rPr>
                <w:b/>
                <w:sz w:val="24"/>
              </w:rPr>
            </w:pPr>
            <w:r>
              <w:rPr>
                <w:b/>
                <w:sz w:val="24"/>
              </w:rPr>
              <w:t>DESPESAS</w:t>
            </w:r>
          </w:p>
        </w:tc>
        <w:tc>
          <w:tcPr>
            <w:tcW w:w="2344" w:type="dxa"/>
          </w:tcPr>
          <w:p>
            <w:pPr>
              <w:pStyle w:val="TableParagraph"/>
              <w:ind w:left="1025" w:right="1011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2" w:hRule="atLeast"/>
        </w:trPr>
        <w:tc>
          <w:tcPr>
            <w:tcW w:w="234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44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109.372.069,38</w:t>
            </w:r>
          </w:p>
        </w:tc>
        <w:tc>
          <w:tcPr>
            <w:tcW w:w="2344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44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81.585.808,61</w:t>
            </w:r>
          </w:p>
        </w:tc>
      </w:tr>
      <w:tr>
        <w:trPr>
          <w:trHeight w:val="292" w:hRule="atLeast"/>
        </w:trPr>
        <w:tc>
          <w:tcPr>
            <w:tcW w:w="2345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44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2344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44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27.786.260,77</w:t>
            </w:r>
          </w:p>
        </w:tc>
      </w:tr>
      <w:tr>
        <w:trPr>
          <w:trHeight w:val="294" w:hRule="atLeast"/>
        </w:trPr>
        <w:tc>
          <w:tcPr>
            <w:tcW w:w="2345" w:type="dxa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2344" w:type="dxa"/>
          </w:tcPr>
          <w:p>
            <w:pPr>
              <w:pStyle w:val="TableParagraph"/>
              <w:spacing w:line="273" w:lineRule="exact" w:before="1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109.372.069,38</w:t>
            </w:r>
          </w:p>
        </w:tc>
        <w:tc>
          <w:tcPr>
            <w:tcW w:w="2344" w:type="dxa"/>
          </w:tcPr>
          <w:p>
            <w:pPr>
              <w:pStyle w:val="TableParagraph"/>
              <w:spacing w:line="273" w:lineRule="exact"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2344" w:type="dxa"/>
          </w:tcPr>
          <w:p>
            <w:pPr>
              <w:pStyle w:val="TableParagraph"/>
              <w:spacing w:line="273" w:lineRule="exact" w:before="1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109.372.069,38</w:t>
            </w:r>
          </w:p>
        </w:tc>
      </w:tr>
    </w:tbl>
    <w:p>
      <w:pPr>
        <w:pStyle w:val="BodyText"/>
        <w:spacing w:before="12"/>
        <w:rPr>
          <w:sz w:val="23"/>
        </w:rPr>
      </w:pPr>
    </w:p>
    <w:p>
      <w:pPr>
        <w:pStyle w:val="BodyText"/>
        <w:ind w:left="538"/>
        <w:jc w:val="both"/>
      </w:pPr>
      <w:r>
        <w:rPr/>
        <w:t>Art. 2° Esta Resolução entra em vigor na data de sua</w:t>
      </w:r>
      <w:r>
        <w:rPr>
          <w:spacing w:val="-22"/>
        </w:rPr>
        <w:t> </w:t>
      </w:r>
      <w:r>
        <w:rPr/>
        <w:t>publicação.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3153" w:right="2765"/>
        <w:jc w:val="center"/>
      </w:pPr>
      <w:r>
        <w:rPr/>
        <w:t>Brasília, 5 de dezembro de</w:t>
      </w:r>
      <w:r>
        <w:rPr>
          <w:spacing w:val="-8"/>
        </w:rPr>
        <w:t> </w:t>
      </w:r>
      <w:r>
        <w:rPr/>
        <w:t>2012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right="2768"/>
        <w:jc w:val="center"/>
      </w:pPr>
      <w:r>
        <w:rPr/>
        <w:t>HAROLDO PINHEIRO VILLAR DE QUEIROZ</w:t>
      </w:r>
    </w:p>
    <w:p>
      <w:pPr>
        <w:spacing w:before="0"/>
        <w:ind w:left="3153" w:right="2767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spacing w:before="0"/>
        <w:ind w:left="538" w:right="0" w:firstLine="0"/>
        <w:jc w:val="both"/>
        <w:rPr>
          <w:sz w:val="20"/>
        </w:rPr>
      </w:pPr>
      <w:r>
        <w:rPr>
          <w:sz w:val="20"/>
        </w:rPr>
        <w:t>(Publicada no Diário Oficial da União, Edição n° 240, Seção 1, de 13 de dezembro de 2012)</w:t>
      </w:r>
    </w:p>
    <w:p>
      <w:pPr>
        <w:pStyle w:val="BodyText"/>
        <w:spacing w:before="4"/>
        <w:rPr>
          <w:sz w:val="17"/>
        </w:rPr>
      </w:pPr>
    </w:p>
    <w:p>
      <w:pPr>
        <w:spacing w:before="96"/>
        <w:ind w:left="111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003333"/>
          <w:sz w:val="16"/>
        </w:rPr>
        <w:t>SCN Qd.01, Bloco E, Ed. Central Park, Salas 302/303 | CEP: 70711-903 Brasília/DF | Tel.: (61) 3326-2272 / 2297 - 3328-5632 / 5946</w:t>
      </w:r>
    </w:p>
    <w:p>
      <w:pPr>
        <w:spacing w:before="36"/>
        <w:ind w:left="111" w:right="0" w:firstLine="0"/>
        <w:jc w:val="left"/>
        <w:rPr>
          <w:rFonts w:ascii="Arial"/>
          <w:sz w:val="22"/>
        </w:rPr>
      </w:pPr>
      <w:hyperlink r:id="rId6">
        <w:r>
          <w:rPr>
            <w:rFonts w:ascii="Arial"/>
            <w:b/>
            <w:color w:val="003333"/>
            <w:sz w:val="22"/>
          </w:rPr>
          <w:t>www.caubr.gov.br </w:t>
        </w:r>
      </w:hyperlink>
      <w:r>
        <w:rPr>
          <w:rFonts w:ascii="Arial"/>
          <w:color w:val="003333"/>
          <w:sz w:val="22"/>
        </w:rPr>
        <w:t>/ </w:t>
      </w:r>
      <w:hyperlink r:id="rId7">
        <w:r>
          <w:rPr>
            <w:rFonts w:ascii="Arial"/>
            <w:color w:val="003333"/>
            <w:sz w:val="22"/>
          </w:rPr>
          <w:t>atendimento@caubr.gov.br</w:t>
        </w:r>
      </w:hyperlink>
    </w:p>
    <w:sectPr>
      <w:type w:val="continuous"/>
      <w:pgSz w:w="11900" w:h="16850"/>
      <w:pgMar w:top="1540" w:bottom="280" w:left="8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3153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72" w:lineRule="exact"/>
    </w:pPr>
    <w:rPr>
      <w:rFonts w:ascii="Calibri" w:hAnsi="Calibri" w:eastAsia="Calibri" w:cs="Calibri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ubr.gov.br/" TargetMode="External"/><Relationship Id="rId7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2019-04-25T16:21:40Z</dcterms:created>
  <dcterms:modified xsi:type="dcterms:W3CDTF">2019-04-25T16:21:40Z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2012-12-14T00:00:00Z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2019-04-25T00:00:00Z</vt:filetime>
  </property>
</Properties>
</file>