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5"/>
        </w:rPr>
      </w:pPr>
    </w:p>
    <w:p>
      <w:pPr>
        <w:pStyle w:val="Heading1"/>
        <w:ind w:left="2136"/>
      </w:pPr>
      <w:r>
        <w:rPr/>
        <w:t>RESOLUÇÃO N° 37, DE 9 DE NOVEMBRO DE 2012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n° 146, de 17 de agosto de 2017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4353" w:right="106"/>
        <w:jc w:val="both"/>
      </w:pPr>
      <w:r>
        <w:rPr>
          <w:strike/>
        </w:rPr>
        <w:t>Altera a Resolução n° 14, de 2012, que dispõe sobre a</w:t>
      </w:r>
      <w:r>
        <w:rPr>
          <w:strike w:val="0"/>
        </w:rPr>
        <w:t> </w:t>
      </w:r>
      <w:r>
        <w:rPr>
          <w:strike/>
        </w:rPr>
        <w:t>carteira profissional de arquiteto e urbanista e dá outras</w:t>
      </w:r>
      <w:r>
        <w:rPr>
          <w:strike w:val="0"/>
        </w:rPr>
        <w:t> </w:t>
      </w:r>
      <w:r>
        <w:rPr>
          <w:strike/>
        </w:rPr>
        <w:t>providências.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exact" w:before="92"/>
        <w:ind w:left="100"/>
      </w:pPr>
      <w:r>
        <w:rPr>
          <w:strike/>
        </w:rPr>
        <w:t>O CONSELHO DE ARQUITETURA E URBANISMO DO BRASIL (CAU/BR), no uso das</w:t>
      </w:r>
    </w:p>
    <w:p>
      <w:pPr>
        <w:pStyle w:val="BodyText"/>
        <w:ind w:left="100" w:right="108"/>
        <w:jc w:val="both"/>
      </w:pPr>
      <w:r>
        <w:rPr>
          <w:strike/>
        </w:rPr>
        <w:t>competências previstas no art. 28, inciso III da Lei n° 12.378, de 31 de dezembro de 2010, e nos artigos</w:t>
      </w:r>
      <w:r>
        <w:rPr>
          <w:strike w:val="0"/>
        </w:rPr>
        <w:t> </w:t>
      </w:r>
      <w:r>
        <w:rPr>
          <w:strike/>
        </w:rPr>
        <w:t>3°, inciso V e 9°, inciso I do Regimento Geral aprovado pela Resolução CAU/BR n° 33, de 6 de</w:t>
      </w:r>
      <w:r>
        <w:rPr>
          <w:strike w:val="0"/>
        </w:rPr>
        <w:t> </w:t>
      </w:r>
      <w:r>
        <w:rPr>
          <w:strike/>
        </w:rPr>
        <w:t>setembro de 2012, e com vistas a dar cumprimento às disposições dos artigos 5°, 8°, 14, inciso II e 34,</w:t>
      </w:r>
      <w:r>
        <w:rPr>
          <w:strike w:val="0"/>
        </w:rPr>
        <w:t> </w:t>
      </w:r>
      <w:r>
        <w:rPr>
          <w:strike/>
        </w:rPr>
        <w:t>inciso V da mesma Lei e de acordo com a deliberação adotada na Reunião Plenária Ordinária n° 12,</w:t>
      </w:r>
      <w:r>
        <w:rPr>
          <w:strike w:val="0"/>
        </w:rPr>
        <w:t> </w:t>
      </w:r>
      <w:r>
        <w:rPr>
          <w:strike/>
        </w:rPr>
        <w:t>realizada nos dias 8 e 9 de novembro de 2012;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</w:pPr>
      <w:r>
        <w:rPr>
          <w:strike/>
        </w:rPr>
        <w:t>RESOLVE: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00" w:right="106"/>
      </w:pPr>
      <w:r>
        <w:rPr>
          <w:strike/>
        </w:rPr>
        <w:t>Art. 1° Os artigos 1°, 2° e 3° da Resolução CAU/BR n° 14, de 3 de fevereiro de 2012, publicada no</w:t>
      </w:r>
      <w:r>
        <w:rPr>
          <w:strike w:val="0"/>
        </w:rPr>
        <w:t> </w:t>
      </w:r>
      <w:r>
        <w:rPr>
          <w:strike/>
        </w:rPr>
        <w:t>DOU de 15 de fevereiro de 2012, Seção 1, página 152, passam a vigorar com as seguintes alterações: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802" w:right="100"/>
        <w:jc w:val="both"/>
      </w:pPr>
      <w:r>
        <w:rPr>
          <w:strike/>
          <w:spacing w:val="-56"/>
          <w:w w:val="100"/>
        </w:rPr>
        <w:t> </w:t>
      </w:r>
      <w:r>
        <w:rPr>
          <w:strike/>
        </w:rPr>
        <w:t>“Art. 1° Aos arquitetos e urbanistas detentores de registro definitivo no Conselho de</w:t>
      </w:r>
      <w:r>
        <w:rPr>
          <w:strike w:val="0"/>
        </w:rPr>
        <w:t> </w:t>
      </w:r>
      <w:r>
        <w:rPr>
          <w:strike/>
        </w:rPr>
        <w:t>Arquitetura e Urbanismo é assegurado o direito ao recebimento da carteira</w:t>
      </w:r>
      <w:r>
        <w:rPr>
          <w:strike w:val="0"/>
        </w:rPr>
        <w:t> </w:t>
      </w:r>
      <w:r>
        <w:rPr>
          <w:strike/>
        </w:rPr>
        <w:t>profissional a que se refere o art. 8° da Lei n° 12.378, de 31 de dezembro de 2010,</w:t>
      </w:r>
      <w:r>
        <w:rPr>
          <w:strike w:val="0"/>
        </w:rPr>
        <w:t> </w:t>
      </w:r>
      <w:r>
        <w:rPr>
          <w:strike/>
        </w:rPr>
        <w:t>como prova de identificação civil e fé pública em todo o território nacional.”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3" w:lineRule="exact" w:before="91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“Art. 2°</w:t>
      </w:r>
    </w:p>
    <w:p>
      <w:pPr>
        <w:pStyle w:val="BodyText"/>
        <w:spacing w:line="253" w:lineRule="exact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…………………………………………………………………………………………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…………………………………………………………………………………………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2" w:lineRule="exact" w:before="91"/>
        <w:ind w:left="1802"/>
      </w:pPr>
      <w:r>
        <w:rPr>
          <w:strike/>
        </w:rPr>
        <w:t>V –</w:t>
      </w:r>
    </w:p>
    <w:p>
      <w:pPr>
        <w:pStyle w:val="BodyText"/>
        <w:spacing w:line="252" w:lineRule="exact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…………………………………………………………………………………………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…………………………………………………………………………………………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c) tipo sanguíneo, admitida a opção “não informado”;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…………………………………………………………………………………………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802"/>
      </w:pPr>
      <w:r>
        <w:rPr>
          <w:strike/>
        </w:rPr>
        <w:t>i) ano de formatura;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………………………………………………………………………………....……”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802" w:right="101"/>
        <w:jc w:val="both"/>
      </w:pPr>
      <w:r>
        <w:rPr>
          <w:strike/>
          <w:spacing w:val="-56"/>
          <w:w w:val="100"/>
        </w:rPr>
        <w:t> </w:t>
      </w:r>
      <w:r>
        <w:rPr>
          <w:strike/>
        </w:rPr>
        <w:t>“Art. 3° Ressalvado o disposto no parágrafo único, será cobrada, pela emissão da</w:t>
      </w:r>
      <w:r>
        <w:rPr>
          <w:strike w:val="0"/>
        </w:rPr>
        <w:t> </w:t>
      </w:r>
      <w:r>
        <w:rPr>
          <w:strike/>
        </w:rPr>
        <w:t>carteira profissional do arquiteto e urbanista, uma taxa de R$ 40,00 (quarenta reais),</w:t>
      </w:r>
      <w:r>
        <w:rPr>
          <w:strike w:val="0"/>
        </w:rPr>
        <w:t> </w:t>
      </w:r>
      <w:r>
        <w:rPr>
          <w:strike/>
        </w:rPr>
        <w:t>reajustada de acordo com a variação integral do Índice Nacional de Preços ao</w:t>
      </w:r>
      <w:r>
        <w:rPr>
          <w:strike w:val="0"/>
        </w:rPr>
        <w:t> </w:t>
      </w:r>
      <w:r>
        <w:rPr>
          <w:strike/>
        </w:rPr>
        <w:t>Consumidor (INPC), calculado pela Fundação Instituto Brasileiro de Geografia e</w:t>
      </w:r>
      <w:r>
        <w:rPr>
          <w:strike w:val="0"/>
        </w:rPr>
        <w:t> </w:t>
      </w:r>
      <w:r>
        <w:rPr>
          <w:strike/>
        </w:rPr>
        <w:t>Estatística (IBGE), nos termos da Resolução CAU/BR n° 3, de 15 de dezembro de</w:t>
      </w:r>
      <w:r>
        <w:rPr>
          <w:strike w:val="0"/>
        </w:rPr>
        <w:t> </w:t>
      </w:r>
      <w:r>
        <w:rPr>
          <w:strike/>
        </w:rPr>
        <w:t>2011.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spacing w:line="252" w:lineRule="exact" w:before="81"/>
        <w:ind w:left="1802"/>
      </w:pPr>
      <w:r>
        <w:rPr>
          <w:strike/>
        </w:rPr>
        <w:t>Parágrafo único. Será isenta da taxa de que trata este artigo a carteira profissional</w:t>
      </w:r>
    </w:p>
    <w:p>
      <w:pPr>
        <w:pStyle w:val="BodyText"/>
        <w:spacing w:line="252" w:lineRule="exact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que for requerida pelos arquitetos e urbanistas até 31 de dezembro de 2012.”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2° Esta Resolução entra em vigor na data de sua publicação.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2352" w:right="2353"/>
        <w:jc w:val="center"/>
      </w:pPr>
      <w:r>
        <w:rPr>
          <w:strike/>
        </w:rPr>
        <w:t>Brasília, 9 de novembro de 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line="251" w:lineRule="exact" w:before="91"/>
        <w:ind w:left="2352" w:right="2357"/>
        <w:jc w:val="center"/>
      </w:pPr>
      <w:r>
        <w:rPr>
          <w:strike/>
        </w:rPr>
        <w:t>HAROLDO PINHEIRO VILLAR DE QUEIROZ</w:t>
      </w:r>
    </w:p>
    <w:p>
      <w:pPr>
        <w:pStyle w:val="BodyText"/>
        <w:spacing w:line="251" w:lineRule="exact"/>
        <w:ind w:left="2352" w:right="2353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633"/>
      </w:pPr>
      <w:r>
        <w:rPr>
          <w:strike/>
        </w:rPr>
        <w:t>(Publicada no Diário Oficial da União, Edição n° 223, Seção 1, de 20 de novembro de 2012)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311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28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2019-04-25T16:21:51Z</dcterms:created>
  <dcterms:modified xsi:type="dcterms:W3CDTF">2019-04-25T16:21:51Z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