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8"/>
        <w:ind w:left="2289"/>
      </w:pPr>
      <w:r>
        <w:rPr/>
        <w:drawing>
          <wp:anchor distT="0" distB="0" distL="0" distR="0" allowOverlap="1" layoutInCell="1" locked="0" behindDoc="1" simplePos="0" relativeHeight="268432967">
            <wp:simplePos x="0" y="0"/>
            <wp:positionH relativeFrom="page">
              <wp:posOffset>0</wp:posOffset>
            </wp:positionH>
            <wp:positionV relativeFrom="page">
              <wp:posOffset>384980</wp:posOffset>
            </wp:positionV>
            <wp:extent cx="7555992" cy="987505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875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36, DE 9 DE NOVEMBRO DE 2012</w:t>
      </w:r>
    </w:p>
    <w:p>
      <w:pPr>
        <w:pStyle w:val="BodyText"/>
        <w:spacing w:before="12"/>
        <w:rPr>
          <w:b/>
          <w:i w:val="0"/>
          <w:sz w:val="23"/>
        </w:rPr>
      </w:pPr>
    </w:p>
    <w:p>
      <w:pPr>
        <w:spacing w:line="240" w:lineRule="auto" w:before="0"/>
        <w:ind w:left="4353" w:right="105" w:firstLine="0"/>
        <w:jc w:val="both"/>
        <w:rPr>
          <w:sz w:val="24"/>
        </w:rPr>
      </w:pPr>
      <w:r>
        <w:rPr>
          <w:sz w:val="24"/>
        </w:rPr>
        <w:t>Altera a Resolução CAU/BR n° 12, de 2012, que dispõe sobre a numeração dos registros profissionais dos arquitetos e urbanistas no Conselho de Arquitetura e Urbanismo e dá outras providências.</w:t>
      </w:r>
    </w:p>
    <w:p>
      <w:pPr>
        <w:pStyle w:val="BodyText"/>
        <w:spacing w:before="1"/>
        <w:rPr>
          <w:i w:val="0"/>
          <w:sz w:val="24"/>
        </w:rPr>
      </w:pPr>
    </w:p>
    <w:p>
      <w:pPr>
        <w:spacing w:before="0"/>
        <w:ind w:left="100" w:right="105" w:firstLine="0"/>
        <w:jc w:val="both"/>
        <w:rPr>
          <w:sz w:val="24"/>
        </w:rPr>
      </w:pPr>
      <w:r>
        <w:rPr>
          <w:sz w:val="24"/>
        </w:rPr>
        <w:t>O Conselho de Arquitetura e Urbanismo do Brasil (CAU/BR), no uso das competências previstas no art. 28, inciso III da Lei n° 12.378, de 31 de dezembro de 2010, e nos artigos 3°, inciso V e 9°, inciso I do Regimento Geral aprovado pela Resolução CAU/BR n° 33, de 6 de setembro de 2012, e com vistas a dar cumprimento às disposições dos artigos 5°, 14, inciso II, 34, inciso V e 55 da mesma Lei e de acordo com a deliberação adotada na Reunião Plenária Ordinária n° 12, realizada nos dias 8 e 9 de novembro de 2012;</w:t>
      </w:r>
    </w:p>
    <w:p>
      <w:pPr>
        <w:pStyle w:val="BodyText"/>
        <w:spacing w:before="12"/>
        <w:rPr>
          <w:i w:val="0"/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RESOLVE:</w:t>
      </w:r>
    </w:p>
    <w:p>
      <w:pPr>
        <w:pStyle w:val="BodyText"/>
        <w:spacing w:before="2"/>
        <w:rPr>
          <w:b/>
          <w:i w:val="0"/>
          <w:sz w:val="24"/>
        </w:rPr>
      </w:pPr>
    </w:p>
    <w:p>
      <w:pPr>
        <w:spacing w:before="0"/>
        <w:ind w:left="100" w:right="79" w:firstLine="0"/>
        <w:jc w:val="left"/>
        <w:rPr>
          <w:sz w:val="24"/>
        </w:rPr>
      </w:pPr>
      <w:r>
        <w:rPr>
          <w:sz w:val="24"/>
        </w:rPr>
        <w:t>Art. 1° O art. 2° da Resolução CAU/BR n° 12, de 3 de fevereiro de 2012, publicada no DOU de 15 de fevereiro de 2012, Seção 1, página 152, passa a vigorar com as seguintes alterações:</w:t>
      </w:r>
    </w:p>
    <w:p>
      <w:pPr>
        <w:pStyle w:val="BodyText"/>
        <w:spacing w:before="9"/>
        <w:rPr>
          <w:i w:val="0"/>
          <w:sz w:val="23"/>
        </w:rPr>
      </w:pPr>
    </w:p>
    <w:p>
      <w:pPr>
        <w:pStyle w:val="BodyText"/>
        <w:ind w:left="1802"/>
        <w:jc w:val="both"/>
        <w:rPr>
          <w:i/>
        </w:rPr>
      </w:pPr>
      <w:r>
        <w:rPr>
          <w:i/>
          <w:spacing w:val="-1"/>
        </w:rPr>
        <w:t>“Art.  2°</w:t>
      </w:r>
      <w:r>
        <w:rPr>
          <w:i/>
          <w:spacing w:val="18"/>
        </w:rPr>
        <w:t> </w:t>
      </w:r>
      <w:r>
        <w:rPr>
          <w:i/>
          <w:spacing w:val="-1"/>
        </w:rPr>
        <w:t>..........................................................................................................................</w:t>
      </w:r>
    </w:p>
    <w:p>
      <w:pPr>
        <w:pStyle w:val="BodyText"/>
        <w:ind w:left="1802"/>
        <w:rPr>
          <w:i/>
        </w:rPr>
      </w:pPr>
      <w:r>
        <w:rPr>
          <w:i/>
        </w:rPr>
        <w:t>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1802" w:right="99"/>
        <w:jc w:val="both"/>
      </w:pPr>
      <w:r>
        <w:rPr>
          <w:i/>
        </w:rPr>
        <w:t>II - a partir do registro número 2 (dois), inclusive, serão atribuídos números de </w:t>
      </w:r>
      <w:r>
        <w:rPr/>
        <w:t>registro aos arquitetos e urbanistas respeitando a ordem de antiguidade da data de formatura, desde que efetuem a atualização cadastral até 30 de novembro de</w:t>
      </w:r>
      <w:r>
        <w:rPr>
          <w:spacing w:val="-34"/>
        </w:rPr>
        <w:t> </w:t>
      </w:r>
      <w:r>
        <w:rPr/>
        <w:t>2012;</w:t>
      </w:r>
    </w:p>
    <w:p>
      <w:pPr>
        <w:pStyle w:val="BodyText"/>
        <w:spacing w:line="267" w:lineRule="exact"/>
        <w:ind w:left="1802"/>
        <w:rPr>
          <w:i/>
        </w:rPr>
      </w:pPr>
      <w:r>
        <w:rPr>
          <w:i/>
        </w:rPr>
        <w:t>.......................................................................................................................................</w:t>
      </w:r>
    </w:p>
    <w:p>
      <w:pPr>
        <w:pStyle w:val="BodyText"/>
        <w:ind w:left="1802" w:right="103"/>
        <w:jc w:val="both"/>
      </w:pPr>
      <w:r>
        <w:rPr>
          <w:i/>
        </w:rPr>
        <w:t>V - </w:t>
      </w:r>
      <w:r>
        <w:rPr>
          <w:i/>
          <w:spacing w:val="-3"/>
        </w:rPr>
        <w:t>encerrada </w:t>
      </w:r>
      <w:r>
        <w:rPr>
          <w:i/>
        </w:rPr>
        <w:t>a </w:t>
      </w:r>
      <w:r>
        <w:rPr>
          <w:i/>
          <w:spacing w:val="-3"/>
        </w:rPr>
        <w:t>numeração </w:t>
      </w:r>
      <w:r>
        <w:rPr>
          <w:i/>
        </w:rPr>
        <w:t>de </w:t>
      </w:r>
      <w:r>
        <w:rPr>
          <w:i/>
          <w:spacing w:val="-3"/>
        </w:rPr>
        <w:t>registros nas condições fixadas </w:t>
      </w:r>
      <w:r>
        <w:rPr>
          <w:i/>
        </w:rPr>
        <w:t>no </w:t>
      </w:r>
      <w:r>
        <w:rPr>
          <w:i/>
          <w:spacing w:val="-3"/>
        </w:rPr>
        <w:t>inciso </w:t>
      </w:r>
      <w:r>
        <w:rPr>
          <w:i/>
        </w:rPr>
        <w:t>II </w:t>
      </w:r>
      <w:r>
        <w:rPr>
          <w:i/>
          <w:spacing w:val="-3"/>
        </w:rPr>
        <w:t>deste artigo, </w:t>
      </w:r>
      <w:r>
        <w:rPr>
          <w:spacing w:val="-3"/>
        </w:rPr>
        <w:t>prosseguir-se-á </w:t>
      </w:r>
      <w:r>
        <w:rPr/>
        <w:t>na </w:t>
      </w:r>
      <w:r>
        <w:rPr>
          <w:spacing w:val="-3"/>
        </w:rPr>
        <w:t>numeração </w:t>
      </w:r>
      <w:r>
        <w:rPr/>
        <w:t>dos </w:t>
      </w:r>
      <w:r>
        <w:rPr>
          <w:spacing w:val="-3"/>
        </w:rPr>
        <w:t>registros seguintes pela ordem </w:t>
      </w:r>
      <w:r>
        <w:rPr/>
        <w:t>de </w:t>
      </w:r>
      <w:r>
        <w:rPr>
          <w:spacing w:val="-3"/>
        </w:rPr>
        <w:t>datas </w:t>
      </w:r>
      <w:r>
        <w:rPr/>
        <w:t>da </w:t>
      </w:r>
      <w:r>
        <w:rPr>
          <w:spacing w:val="-3"/>
        </w:rPr>
        <w:t>validação </w:t>
      </w:r>
      <w:r>
        <w:rPr/>
        <w:t>da </w:t>
      </w:r>
      <w:r>
        <w:rPr>
          <w:spacing w:val="-3"/>
        </w:rPr>
        <w:t>atualização cadastral </w:t>
      </w:r>
      <w:r>
        <w:rPr/>
        <w:t>ou do </w:t>
      </w:r>
      <w:r>
        <w:rPr>
          <w:spacing w:val="-3"/>
        </w:rPr>
        <w:t>deferimento </w:t>
      </w:r>
      <w:r>
        <w:rPr/>
        <w:t>do </w:t>
      </w:r>
      <w:r>
        <w:rPr>
          <w:spacing w:val="-3"/>
        </w:rPr>
        <w:t>registro, indistintamente.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802"/>
        <w:rPr>
          <w:i/>
        </w:rPr>
      </w:pPr>
      <w:r>
        <w:rPr>
          <w:i/>
        </w:rPr>
        <w:t>Parágrafo único. Para os fins deste artigo compreender-se-á por: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913" w:val="left" w:leader="none"/>
        </w:tabs>
        <w:spacing w:line="240" w:lineRule="auto" w:before="0" w:after="0"/>
        <w:ind w:left="1802" w:right="101" w:firstLine="0"/>
        <w:jc w:val="both"/>
        <w:rPr>
          <w:i/>
          <w:sz w:val="22"/>
        </w:rPr>
      </w:pPr>
      <w:r>
        <w:rPr>
          <w:i/>
          <w:sz w:val="22"/>
        </w:rPr>
        <w:t>- atualização cadastral: o acesso eletrônico, pelo arquiteto e urbanista, ao Sistema </w:t>
      </w:r>
      <w:r>
        <w:rPr>
          <w:i/>
          <w:sz w:val="22"/>
        </w:rPr>
        <w:t>de Informação e Comunicação dos Conselhos de Arquitetura e Urbanismo (SICCAU), com atualização das informações cadastrais na funcionalidade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própria;</w:t>
      </w:r>
    </w:p>
    <w:p>
      <w:pPr>
        <w:pStyle w:val="BodyText"/>
        <w:spacing w:before="11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973" w:val="left" w:leader="none"/>
        </w:tabs>
        <w:spacing w:line="240" w:lineRule="auto" w:before="0" w:after="0"/>
        <w:ind w:left="1802" w:right="98" w:firstLine="0"/>
        <w:jc w:val="both"/>
        <w:rPr>
          <w:i/>
          <w:sz w:val="22"/>
        </w:rPr>
      </w:pPr>
      <w:r>
        <w:rPr>
          <w:i/>
          <w:sz w:val="22"/>
        </w:rPr>
        <w:t>- deferimento do registro definitivo: o momento em que o profissional requerente </w:t>
      </w:r>
      <w:r>
        <w:rPr>
          <w:i/>
          <w:sz w:val="22"/>
        </w:rPr>
        <w:t>do registro atender a todas as exigências para o registro no Conselho de Arquitetura e Urbanismo.”</w:t>
      </w:r>
    </w:p>
    <w:p>
      <w:pPr>
        <w:pStyle w:val="BodyText"/>
        <w:spacing w:before="4"/>
        <w:rPr>
          <w:i/>
          <w:sz w:val="24"/>
        </w:rPr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b/>
          <w:sz w:val="24"/>
        </w:rPr>
        <w:t>Art. 2° </w:t>
      </w:r>
      <w:r>
        <w:rPr>
          <w:sz w:val="24"/>
        </w:rPr>
        <w:t>Esta Resolução entra em vigor na data de sua</w:t>
      </w:r>
      <w:r>
        <w:rPr>
          <w:spacing w:val="-22"/>
          <w:sz w:val="24"/>
        </w:rPr>
        <w:t> </w:t>
      </w:r>
      <w:r>
        <w:rPr>
          <w:sz w:val="24"/>
        </w:rPr>
        <w:t>publicação.</w:t>
      </w:r>
    </w:p>
    <w:p>
      <w:pPr>
        <w:pStyle w:val="BodyText"/>
        <w:spacing w:before="11"/>
        <w:rPr>
          <w:i w:val="0"/>
          <w:sz w:val="23"/>
        </w:rPr>
      </w:pPr>
    </w:p>
    <w:p>
      <w:pPr>
        <w:spacing w:before="1"/>
        <w:ind w:left="2649" w:right="2649" w:firstLine="0"/>
        <w:jc w:val="center"/>
        <w:rPr>
          <w:sz w:val="24"/>
        </w:rPr>
      </w:pPr>
      <w:r>
        <w:rPr>
          <w:sz w:val="24"/>
        </w:rPr>
        <w:t>Brasília, 9 de novembro de</w:t>
      </w:r>
      <w:r>
        <w:rPr>
          <w:spacing w:val="-6"/>
          <w:sz w:val="24"/>
        </w:rPr>
        <w:t> </w:t>
      </w:r>
      <w:r>
        <w:rPr>
          <w:sz w:val="24"/>
        </w:rPr>
        <w:t>2012.</w:t>
      </w:r>
    </w:p>
    <w:p>
      <w:pPr>
        <w:pStyle w:val="BodyText"/>
        <w:rPr>
          <w:i w:val="0"/>
          <w:sz w:val="24"/>
        </w:rPr>
      </w:pPr>
    </w:p>
    <w:p>
      <w:pPr>
        <w:pStyle w:val="BodyText"/>
        <w:spacing w:before="11"/>
        <w:rPr>
          <w:i w:val="0"/>
          <w:sz w:val="23"/>
        </w:rPr>
      </w:pPr>
    </w:p>
    <w:p>
      <w:pPr>
        <w:spacing w:before="0"/>
        <w:ind w:left="2649" w:right="2652" w:firstLine="0"/>
        <w:jc w:val="center"/>
        <w:rPr>
          <w:b/>
          <w:sz w:val="24"/>
        </w:rPr>
      </w:pPr>
      <w:r>
        <w:rPr>
          <w:b/>
          <w:sz w:val="24"/>
        </w:rPr>
        <w:t>HAROLDO PINHEIRO VILLAR DE QUEIROZ</w:t>
      </w:r>
    </w:p>
    <w:p>
      <w:pPr>
        <w:spacing w:before="0"/>
        <w:ind w:left="2649" w:right="2651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  <w:i w:val="0"/>
          <w:sz w:val="20"/>
        </w:rPr>
      </w:pPr>
    </w:p>
    <w:p>
      <w:pPr>
        <w:spacing w:before="0"/>
        <w:ind w:left="100" w:right="0" w:firstLine="0"/>
        <w:jc w:val="both"/>
        <w:rPr>
          <w:sz w:val="20"/>
        </w:rPr>
      </w:pPr>
      <w:r>
        <w:rPr>
          <w:sz w:val="20"/>
        </w:rPr>
        <w:t>(Publicada no Diário Oficial da União, Edição n° 223, Seção 1, de 20 de novembro de 2012)</w:t>
      </w:r>
    </w:p>
    <w:sectPr>
      <w:type w:val="continuous"/>
      <w:pgSz w:w="11900" w:h="16850"/>
      <w:pgMar w:top="1540" w:bottom="28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802" w:hanging="111"/>
        <w:jc w:val="left"/>
      </w:pPr>
      <w:rPr>
        <w:rFonts w:hint="default" w:ascii="Calibri" w:hAnsi="Calibri" w:eastAsia="Calibri" w:cs="Calibri"/>
        <w:i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561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323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085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47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0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71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33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95" w:hanging="11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649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802" w:right="98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2019-04-25T16:20:52Z</dcterms:created>
  <dcterms:modified xsi:type="dcterms:W3CDTF">2019-04-25T16:20:52Z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2019-04-25T00:00:00Z</vt:filetime>
  </property>
</Properties>
</file>