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430591">
            <wp:simplePos x="0" y="0"/>
            <wp:positionH relativeFrom="page">
              <wp:posOffset>90169</wp:posOffset>
            </wp:positionH>
            <wp:positionV relativeFrom="page">
              <wp:posOffset>392212</wp:posOffset>
            </wp:positionV>
            <wp:extent cx="7465822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82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2"/>
        <w:ind w:left="2399"/>
      </w:pPr>
      <w:r>
        <w:rPr/>
        <w:t>RESOLUÇÃO N° 32, DE 2 DE AGOSTO DE 2012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355" w:right="387"/>
        <w:jc w:val="both"/>
      </w:pPr>
      <w:r>
        <w:rPr/>
        <w:t>Altera a Resolução n° 18, de 2012, que trata dos registros definitivos e temporários de profissionais no Conselho de Arquitetura e Urbanismo, regula o registro provisório e dá outras providências.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2" w:right="392"/>
        <w:jc w:val="both"/>
      </w:pPr>
      <w:r>
        <w:rPr/>
        <w:t>O Conselho de Arquitetura e Urbanismo do Brasil (CAU/BR), no exercício das competências e prerrogativas de que tratam o art. 28, inciso I da Lei n° 12.378, de 31 de dezembro de 2010, e os artigos 15 e 29, inciso III do Regimento Geral Provisório, com vistas a dar cumprimento às disposições dos artigos 5°, 14, inciso II, 28, inciso IX, 34, inciso V e 55 da mesma Lei e de acordo com a deliberação adotada na Sessão Plenária Ordinária n° 9, realizada nos dias 1° e 2 de agosto de</w:t>
      </w:r>
      <w:r>
        <w:rPr>
          <w:spacing w:val="-5"/>
        </w:rPr>
        <w:t> </w:t>
      </w:r>
      <w:r>
        <w:rPr/>
        <w:t>2012;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</w:pPr>
      <w:r>
        <w:rPr/>
        <w:t>RESOLVE: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ind w:left="102" w:right="387"/>
        <w:jc w:val="both"/>
      </w:pPr>
      <w:r>
        <w:rPr/>
        <w:t>Art. 1° Os artigos 1°, 5°, 14, 15, 18 e 29 da Resolução CAU/BR n° 18, de 2 de março de 2012, publicada no DOU de 2 de abril de 2012, Seção 1, página 123, passam a vigorar com as seguintes alterações:</w:t>
      </w:r>
    </w:p>
    <w:p>
      <w:pPr>
        <w:pStyle w:val="BodyText"/>
        <w:spacing w:before="2"/>
      </w:pPr>
    </w:p>
    <w:p>
      <w:pPr>
        <w:pStyle w:val="BodyText"/>
        <w:ind w:left="102"/>
        <w:jc w:val="both"/>
      </w:pPr>
      <w:r>
        <w:rPr>
          <w:spacing w:val="-1"/>
        </w:rPr>
        <w:t>“Art.  1° ........................................................................................................................................</w:t>
      </w: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02" w:right="391"/>
        <w:jc w:val="both"/>
      </w:pPr>
      <w:r>
        <w:rPr/>
        <w:t>I - os registros definitivo e provisório de profissionais, brasileiros ou estrangeiros portadores de visto permanente, diplomados no País por instituições de ensino superior de Arquitetura e Urbanismo oficialmente reconhecidas pelo poder público;</w:t>
      </w:r>
    </w:p>
    <w:p>
      <w:pPr>
        <w:pStyle w:val="BodyText"/>
        <w:spacing w:line="292" w:lineRule="exact"/>
        <w:ind w:left="102"/>
        <w:jc w:val="both"/>
      </w:pPr>
      <w:r>
        <w:rPr/>
        <w:t>...................................................................................................................................................”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  <w:jc w:val="both"/>
      </w:pPr>
      <w:r>
        <w:rPr>
          <w:spacing w:val="-1"/>
        </w:rPr>
        <w:t>“Art.  5°</w:t>
      </w:r>
      <w:r>
        <w:rPr>
          <w:spacing w:val="-9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395"/>
        <w:jc w:val="both"/>
      </w:pPr>
      <w:r>
        <w:rPr/>
        <w:t>§ 2° Quando apresentado o certificado de conclusão de curso no requerimento de registro profissional, o registro será feito em caráter provisório com validade máxima de um ano.</w:t>
      </w:r>
    </w:p>
    <w:p>
      <w:pPr>
        <w:pStyle w:val="BodyText"/>
        <w:spacing w:before="3"/>
      </w:pPr>
    </w:p>
    <w:p>
      <w:pPr>
        <w:pStyle w:val="BodyText"/>
        <w:ind w:left="102" w:right="390"/>
        <w:jc w:val="both"/>
      </w:pPr>
      <w:r>
        <w:rPr/>
        <w:t>§ 3° Quando apresentado o diploma de graduação, o registro será feito em caráter definitivo.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397"/>
        <w:jc w:val="both"/>
      </w:pPr>
      <w:r>
        <w:rPr/>
        <w:t>§ 4° Os documentos relacionados no § 1° serão apensados, em formato digital, em local específico do SICCAU.”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“Art. 14. .......................................................................................................................................</w:t>
      </w:r>
    </w:p>
    <w:p>
      <w:pPr>
        <w:pStyle w:val="BodyText"/>
        <w:ind w:left="102"/>
        <w:jc w:val="both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0" w:right="106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1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top="1600" w:bottom="280" w:left="1600" w:right="740"/>
        </w:sectPr>
      </w:pPr>
    </w:p>
    <w:p>
      <w:pPr>
        <w:pStyle w:val="BodyText"/>
        <w:spacing w:before="6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1" simplePos="0" relativeHeight="268430615">
            <wp:simplePos x="0" y="0"/>
            <wp:positionH relativeFrom="page">
              <wp:posOffset>90169</wp:posOffset>
            </wp:positionH>
            <wp:positionV relativeFrom="page">
              <wp:posOffset>392212</wp:posOffset>
            </wp:positionV>
            <wp:extent cx="7465822" cy="99033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82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  <w:ind w:left="102" w:right="394"/>
        <w:jc w:val="both"/>
      </w:pPr>
      <w:r>
        <w:rPr/>
        <w:t>Parágrafo único. Relativamente às obrigações perante o CAU/UF citadas no inciso I, a anuidade será fixada em valor proporcional aos duodécimos correspondentes aos meses e fração de mês de atividade profissional contados até a solicitação da interrupção.”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395"/>
        <w:jc w:val="both"/>
      </w:pPr>
      <w:r>
        <w:rPr/>
        <w:t>“Art. 15. O requerimento de interrupção de registro deve ser instruído com os documentos a seguir enumerados: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5" w:val="left" w:leader="none"/>
        </w:tabs>
        <w:spacing w:line="240" w:lineRule="auto" w:before="0" w:after="0"/>
        <w:ind w:left="102" w:right="394" w:firstLine="0"/>
        <w:jc w:val="both"/>
        <w:rPr>
          <w:sz w:val="24"/>
        </w:rPr>
      </w:pPr>
      <w:r>
        <w:rPr>
          <w:sz w:val="24"/>
        </w:rPr>
        <w:t>- declaração de que não exercerá atividade na área de sua formação profissional durante a interrupção do registro;</w:t>
      </w:r>
      <w:r>
        <w:rPr>
          <w:spacing w:val="-5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102" w:right="395" w:firstLine="0"/>
        <w:jc w:val="both"/>
        <w:rPr>
          <w:sz w:val="24"/>
        </w:rPr>
      </w:pPr>
      <w:r>
        <w:rPr>
          <w:sz w:val="24"/>
        </w:rPr>
        <w:t>- comprovação da baixa ou da inexistência de Registros de Responsabilidade Técnica (RRT) referentes a serviços executados ou em execução, registrados no</w:t>
      </w:r>
      <w:r>
        <w:rPr>
          <w:spacing w:val="-11"/>
          <w:sz w:val="24"/>
        </w:rPr>
        <w:t> </w:t>
      </w:r>
      <w:r>
        <w:rPr>
          <w:sz w:val="24"/>
        </w:rPr>
        <w:t>CAU.”</w:t>
      </w:r>
    </w:p>
    <w:p>
      <w:pPr>
        <w:pStyle w:val="BodyText"/>
      </w:pPr>
    </w:p>
    <w:p>
      <w:pPr>
        <w:pStyle w:val="BodyText"/>
        <w:ind w:left="102"/>
        <w:jc w:val="both"/>
      </w:pPr>
      <w:r>
        <w:rPr>
          <w:spacing w:val="-1"/>
        </w:rPr>
        <w:t>“Art.  18.</w:t>
      </w:r>
      <w:r>
        <w:rPr>
          <w:spacing w:val="-6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02" w:right="394"/>
        <w:jc w:val="both"/>
      </w:pPr>
      <w:r>
        <w:rPr/>
        <w:t>§ 1° A reativação do registro deve ser requerida pelo profissional por meio de preenchimento de formulário próprio disponível no</w:t>
      </w:r>
      <w:r>
        <w:rPr>
          <w:spacing w:val="-11"/>
        </w:rPr>
        <w:t> </w:t>
      </w:r>
      <w:r>
        <w:rPr/>
        <w:t>SICCAU.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391"/>
        <w:jc w:val="both"/>
      </w:pPr>
      <w:r>
        <w:rPr/>
        <w:t>§ 2° Na reativação de registro profissional a anuidade será fixada em valor proporcional aos duodécimos correspondentes aos meses e fração de mês restantes do exercício, contados a partir do deferimento da reativação;</w:t>
      </w:r>
    </w:p>
    <w:p>
      <w:pPr>
        <w:pStyle w:val="BodyText"/>
        <w:spacing w:before="2"/>
      </w:pPr>
    </w:p>
    <w:p>
      <w:pPr>
        <w:pStyle w:val="BodyText"/>
        <w:ind w:left="102" w:right="392"/>
        <w:jc w:val="both"/>
      </w:pPr>
      <w:r>
        <w:rPr/>
        <w:t>§ 3° O período de interrupção encerra-se após a anotação da data de reativação do registro, em local próprio disponível no SICCAU.”</w:t>
      </w:r>
    </w:p>
    <w:p>
      <w:pPr>
        <w:pStyle w:val="BodyText"/>
      </w:pPr>
    </w:p>
    <w:p>
      <w:pPr>
        <w:pStyle w:val="BodyText"/>
        <w:ind w:left="102"/>
        <w:jc w:val="both"/>
      </w:pPr>
      <w:r>
        <w:rPr>
          <w:spacing w:val="-1"/>
        </w:rPr>
        <w:t>“Art.  29.</w:t>
      </w:r>
      <w:r>
        <w:rPr>
          <w:spacing w:val="-9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102" w:right="7855" w:firstLine="0"/>
        <w:jc w:val="left"/>
        <w:rPr>
          <w:sz w:val="24"/>
        </w:rPr>
      </w:pPr>
      <w:r>
        <w:rPr>
          <w:sz w:val="24"/>
        </w:rPr>
        <w:t>- grande </w:t>
      </w:r>
      <w:r>
        <w:rPr>
          <w:spacing w:val="-4"/>
          <w:sz w:val="24"/>
        </w:rPr>
        <w:t>área; </w:t>
      </w:r>
      <w:r>
        <w:rPr>
          <w:sz w:val="24"/>
        </w:rPr>
        <w:t>IV -</w:t>
      </w:r>
      <w:r>
        <w:rPr>
          <w:spacing w:val="1"/>
          <w:sz w:val="24"/>
        </w:rPr>
        <w:t> </w:t>
      </w:r>
      <w:r>
        <w:rPr>
          <w:sz w:val="24"/>
        </w:rPr>
        <w:t>área;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93" w:lineRule="exact" w:before="0" w:after="0"/>
        <w:ind w:left="294" w:right="0" w:hanging="192"/>
        <w:jc w:val="left"/>
        <w:rPr>
          <w:sz w:val="24"/>
        </w:rPr>
      </w:pPr>
      <w:r>
        <w:rPr>
          <w:sz w:val="24"/>
        </w:rPr>
        <w:t>- linha de</w:t>
      </w:r>
      <w:r>
        <w:rPr>
          <w:spacing w:val="1"/>
          <w:sz w:val="24"/>
        </w:rPr>
        <w:t> </w:t>
      </w:r>
      <w:r>
        <w:rPr>
          <w:sz w:val="24"/>
        </w:rPr>
        <w:t>pesquisa;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0" w:after="0"/>
        <w:ind w:left="102" w:right="5012" w:firstLine="0"/>
        <w:jc w:val="left"/>
        <w:rPr>
          <w:sz w:val="24"/>
        </w:rPr>
      </w:pPr>
      <w:r>
        <w:rPr>
          <w:sz w:val="24"/>
        </w:rPr>
        <w:t>- título da monografia, dissertação ou tese; VII - período, incluindo início e</w:t>
      </w:r>
      <w:r>
        <w:rPr>
          <w:spacing w:val="-8"/>
          <w:sz w:val="24"/>
        </w:rPr>
        <w:t> </w:t>
      </w:r>
      <w:r>
        <w:rPr>
          <w:sz w:val="24"/>
        </w:rPr>
        <w:t>conclusão;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93" w:lineRule="exact" w:before="0" w:after="0"/>
        <w:ind w:left="474" w:right="0" w:hanging="372"/>
        <w:jc w:val="left"/>
        <w:rPr>
          <w:sz w:val="24"/>
        </w:rPr>
      </w:pPr>
      <w:r>
        <w:rPr>
          <w:sz w:val="24"/>
        </w:rPr>
        <w:t>- instituição;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102" w:right="7056" w:firstLine="0"/>
        <w:jc w:val="left"/>
        <w:rPr>
          <w:sz w:val="24"/>
        </w:rPr>
      </w:pPr>
      <w:r>
        <w:rPr>
          <w:sz w:val="24"/>
        </w:rPr>
        <w:t>- nome do orientador; X - palavras</w:t>
      </w:r>
      <w:r>
        <w:rPr>
          <w:spacing w:val="-1"/>
          <w:sz w:val="24"/>
        </w:rPr>
        <w:t> </w:t>
      </w:r>
      <w:r>
        <w:rPr>
          <w:sz w:val="24"/>
        </w:rPr>
        <w:t>chave.</w:t>
      </w: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02" w:right="391"/>
        <w:jc w:val="both"/>
      </w:pPr>
      <w:r>
        <w:rPr/>
        <w:t>§ 2° A anotação de curso de pós-graduação somente será efetivada após inclusão do respectivo diploma ou certificado equivalente em formato digital, em local próprio disponível no</w:t>
      </w:r>
      <w:r>
        <w:rPr>
          <w:spacing w:val="-2"/>
        </w:rPr>
        <w:t> </w:t>
      </w:r>
      <w:r>
        <w:rPr/>
        <w:t>SICCAU.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389"/>
        <w:jc w:val="both"/>
      </w:pPr>
      <w:r>
        <w:rPr/>
        <w:t>§ 3° As exigências relativas aos itens III e IV deverão ser atendidas com observância à classificação das áreas de conhecimento nos termos estipulados pelo Conselho Nacional de Desenvolvimento Científico e Tecnológico (CNPq) ou órgão equivalente.”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1"/>
        <w:ind w:left="0" w:right="106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2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600" w:right="740"/>
        </w:sectPr>
      </w:pPr>
    </w:p>
    <w:p>
      <w:pPr>
        <w:pStyle w:val="BodyText"/>
        <w:spacing w:before="6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1" simplePos="0" relativeHeight="268430639">
            <wp:simplePos x="0" y="0"/>
            <wp:positionH relativeFrom="page">
              <wp:posOffset>90169</wp:posOffset>
            </wp:positionH>
            <wp:positionV relativeFrom="page">
              <wp:posOffset>392212</wp:posOffset>
            </wp:positionV>
            <wp:extent cx="7465822" cy="9903355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82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  <w:ind w:left="102" w:right="316"/>
      </w:pPr>
      <w:r>
        <w:rPr/>
        <w:t>Art. 2° Ficam revogados os artigos 10 a 13 da Resolução CAU/BR n° 18, de 2 de março de 2012, publicada no DOU de 2 de abril de 2012, Seção 1, página 123.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</w:pPr>
      <w:r>
        <w:rPr/>
        <w:t>Art. 3° Esta Resolução entra em vigor na data de sua publicação.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623" w:right="2911"/>
        <w:jc w:val="center"/>
      </w:pPr>
      <w:r>
        <w:rPr/>
        <w:t>HAROLDO PINHEIRO VILLAR DE QUEIROZ</w:t>
      </w:r>
    </w:p>
    <w:p>
      <w:pPr>
        <w:pStyle w:val="BodyText"/>
        <w:ind w:left="2621" w:right="2911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(Publicada no Diário Oficial da União, Edição n° 163, Seção 1, de 22 de agosto de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0"/>
        <w:ind w:left="0" w:right="106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3</w:t>
      </w:r>
    </w:p>
    <w:sectPr>
      <w:pgSz w:w="11900" w:h="16850"/>
      <w:pgMar w:top="16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upperRoman"/>
      <w:lvlText w:val="%1"/>
      <w:lvlJc w:val="left"/>
      <w:pPr>
        <w:ind w:left="474" w:hanging="372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87" w:hanging="37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95" w:hanging="37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03" w:hanging="37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11" w:hanging="37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9" w:hanging="37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27" w:hanging="37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5" w:hanging="37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43" w:hanging="37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5"/>
      <w:numFmt w:val="upperRoman"/>
      <w:lvlText w:val="%1"/>
      <w:lvlJc w:val="left"/>
      <w:pPr>
        <w:ind w:left="294" w:hanging="19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5" w:hanging="19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51" w:hanging="19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77" w:hanging="19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03" w:hanging="19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29" w:hanging="19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55" w:hanging="19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81" w:hanging="19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07" w:hanging="19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2" w:hanging="12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45" w:hanging="12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91" w:hanging="12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7" w:hanging="12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83" w:hanging="12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2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5" w:hanging="12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21" w:hanging="12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67" w:hanging="123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2019-04-25T16:21:30Z</dcterms:created>
  <dcterms:modified xsi:type="dcterms:W3CDTF">2019-04-25T16:21:30Z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2019-04-25T00:00:00Z</vt:filetime>
  </property>
</Properties>
</file>