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417"/>
      </w:pPr>
      <w:r>
        <w:rPr/>
        <w:t>RESOLUÇÃO N° 30, DE 6 DE JULHO DE 2012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4353" w:right="106"/>
        <w:jc w:val="both"/>
      </w:pPr>
      <w:r>
        <w:rPr/>
        <w:t>Dispõe sobre os atos administrativos a serem expedidos pelo CAU/BR e pelos CAU/UF, disciplina sua aplicação e dá outras</w:t>
      </w:r>
      <w:r>
        <w:rPr>
          <w:spacing w:val="-3"/>
        </w:rPr>
        <w:t> </w:t>
      </w:r>
      <w:r>
        <w:rPr/>
        <w:t>providências.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0"/>
        <w:jc w:val="both"/>
      </w:pPr>
      <w:r>
        <w:rPr/>
        <w:t>O CONSELHO DE ARQUITETURA E URBANISMO DO BRASIL (CAU/BR), no exercício das</w:t>
      </w:r>
    </w:p>
    <w:p>
      <w:pPr>
        <w:pStyle w:val="BodyText"/>
        <w:spacing w:before="2"/>
        <w:ind w:left="100" w:right="102"/>
        <w:jc w:val="both"/>
      </w:pPr>
      <w:r>
        <w:rPr/>
        <w:t>competências e prerrogativas de que tratam o art. 28, incisos III e XI da Lei n° 12.378, de 31 de dezembro de 2010, e os artigos 15 e 29, incisos III, X e XXXI do Regimento Geral Provisório, e de acordo com a deliberação adotada na Sessão Plenária Ordinária n° 8, realizada nos dias 5 e 6 de julho de 2012;</w:t>
      </w:r>
    </w:p>
    <w:p>
      <w:pPr>
        <w:pStyle w:val="BodyText"/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108"/>
        <w:jc w:val="both"/>
      </w:pPr>
      <w:r>
        <w:rPr/>
        <w:t>Art. 1° O Conselho de Arquitetura e Urbanismo do Brasil (CAU/BR) e os Conselhos de Arquitetura e Urbanismo dos Estados e do Distrito Federal (CAU/UF) deverão atender, na expedição dos seus atos administrativos, as definições, forma e requisitos constantes desta Resolução.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  <w:jc w:val="both"/>
      </w:pPr>
      <w:r>
        <w:rPr/>
        <w:t>Art. 2° Os atos administrativos de que trata o art. 1° desta Resolução são os seguintes: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40" w:lineRule="auto" w:before="0" w:after="0"/>
        <w:ind w:left="100" w:right="102" w:firstLine="0"/>
        <w:jc w:val="both"/>
        <w:rPr>
          <w:sz w:val="22"/>
        </w:rPr>
      </w:pPr>
      <w:r>
        <w:rPr>
          <w:sz w:val="22"/>
        </w:rPr>
        <w:t>– Regimento – ato administrativo de caráter normativo de atuação interna, que se destina a reger, conforme o caso, o funcionamento do CAU/BR e dos</w:t>
      </w:r>
      <w:r>
        <w:rPr>
          <w:spacing w:val="-10"/>
          <w:sz w:val="22"/>
        </w:rPr>
        <w:t> </w:t>
      </w:r>
      <w:r>
        <w:rPr>
          <w:sz w:val="22"/>
        </w:rPr>
        <w:t>CAU/UF;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0" w:after="0"/>
        <w:ind w:left="100" w:right="103" w:firstLine="0"/>
        <w:jc w:val="both"/>
        <w:rPr>
          <w:sz w:val="22"/>
        </w:rPr>
      </w:pPr>
      <w:r>
        <w:rPr>
          <w:sz w:val="22"/>
        </w:rPr>
        <w:t>– Resolução – ato administrativo, de caráter normativo, destinado a explicitar a legislação reguladora da profissão de Arquitetura e Urbanismo para sua correta aplicação e o disciplinamento dos casos omissos;</w:t>
      </w:r>
    </w:p>
    <w:p>
      <w:pPr>
        <w:pStyle w:val="BodyText"/>
        <w:spacing w:before="1"/>
      </w:pPr>
    </w:p>
    <w:p>
      <w:pPr>
        <w:pStyle w:val="BodyText"/>
        <w:ind w:left="100" w:right="103"/>
        <w:jc w:val="both"/>
      </w:pPr>
      <w:r>
        <w:rPr/>
        <w:t>II-A – Resolução Conjunta – ato administrativo, de caráter normativo, elaborado em conjunto com outra entidade pública, destinado a explicitar a legislação reguladora das profissões correspondentes, para sua correta aplicação e o disciplinamento dos casos omissos; </w:t>
      </w:r>
      <w:r>
        <w:rPr>
          <w:color w:val="365F91"/>
        </w:rPr>
        <w:t>(Incluído pela Resolução n° 124, de 18 de novembro de 2016)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100" w:right="107" w:firstLine="0"/>
        <w:jc w:val="both"/>
        <w:rPr>
          <w:sz w:val="22"/>
        </w:rPr>
      </w:pPr>
      <w:r>
        <w:rPr>
          <w:sz w:val="22"/>
        </w:rPr>
        <w:t>– Deliberação – ato administrativo de competência do CAU/BR e dos CAU/UF, de caráter normativo ou decisório, podendo</w:t>
      </w:r>
      <w:r>
        <w:rPr>
          <w:spacing w:val="-4"/>
          <w:sz w:val="22"/>
        </w:rPr>
        <w:t> </w:t>
      </w:r>
      <w:r>
        <w:rPr>
          <w:sz w:val="22"/>
        </w:rPr>
        <w:t>ser: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0" w:lineRule="auto" w:before="0" w:after="0"/>
        <w:ind w:left="328" w:right="0" w:hanging="228"/>
        <w:jc w:val="both"/>
        <w:rPr>
          <w:sz w:val="22"/>
        </w:rPr>
      </w:pPr>
      <w:r>
        <w:rPr>
          <w:sz w:val="22"/>
        </w:rPr>
        <w:t>Deliberação Plenária, quando expedida pelo</w:t>
      </w:r>
      <w:r>
        <w:rPr>
          <w:spacing w:val="-1"/>
          <w:sz w:val="22"/>
        </w:rPr>
        <w:t> </w:t>
      </w:r>
      <w:r>
        <w:rPr>
          <w:sz w:val="22"/>
        </w:rPr>
        <w:t>Plenário;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0" w:after="0"/>
        <w:ind w:left="340" w:right="0" w:hanging="240"/>
        <w:jc w:val="both"/>
        <w:rPr>
          <w:sz w:val="22"/>
        </w:rPr>
      </w:pPr>
      <w:r>
        <w:rPr>
          <w:sz w:val="22"/>
        </w:rPr>
        <w:t>Deliberação de Comissão, quando expedida por Comissões Permanentes ou</w:t>
      </w:r>
      <w:r>
        <w:rPr>
          <w:spacing w:val="-11"/>
          <w:sz w:val="22"/>
        </w:rPr>
        <w:t> </w:t>
      </w:r>
      <w:r>
        <w:rPr>
          <w:sz w:val="22"/>
        </w:rPr>
        <w:t>Especiais;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100" w:right="103" w:firstLine="0"/>
        <w:jc w:val="both"/>
        <w:rPr>
          <w:sz w:val="22"/>
        </w:rPr>
      </w:pPr>
      <w:r>
        <w:rPr>
          <w:strike/>
          <w:sz w:val="22"/>
        </w:rPr>
        <w:t>– Proposta – ato administrativo de iniciativa dos órgãos colegiados consultivos e de comissões transitórias do CAU/BR e dos CAU/UF, de caráter propositivo ou decisório, que devem ser utilizados para o encaminhamento de proposições ou de suas decisões à apreciação do CAU/BR ou dos</w:t>
      </w:r>
      <w:r>
        <w:rPr>
          <w:strike/>
          <w:spacing w:val="-20"/>
          <w:sz w:val="22"/>
        </w:rPr>
        <w:t> </w:t>
      </w:r>
      <w:r>
        <w:rPr>
          <w:strike/>
          <w:sz w:val="22"/>
        </w:rPr>
        <w:t>CAU/UF;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0" w:lineRule="auto" w:before="91" w:after="0"/>
        <w:ind w:left="100" w:right="102" w:firstLine="0"/>
        <w:jc w:val="both"/>
        <w:rPr>
          <w:sz w:val="22"/>
        </w:rPr>
      </w:pPr>
      <w:r>
        <w:rPr>
          <w:sz w:val="22"/>
        </w:rPr>
        <w:t>– Proposta – ato administrativo de iniciativa dos presidentes dos CAU/UF e do CAU/BR, dos órgãos colegiados consultivos e de comissões temporárias do CAU/BR e dos CAU/UF, de caráter propositivo ou decisório, que devem ser utilizados para o encaminhamento de proposições ou de suas decisões à apreciação do CAU/BR ou dos CAU/UF; </w:t>
      </w:r>
      <w:r>
        <w:rPr>
          <w:color w:val="365F91"/>
          <w:sz w:val="22"/>
        </w:rPr>
        <w:t>(Redação dada pela Resolução n° 124, de 18 de novembro de 2016)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40" w:lineRule="auto" w:before="1" w:after="0"/>
        <w:ind w:left="100" w:right="106" w:firstLine="0"/>
        <w:jc w:val="both"/>
        <w:rPr>
          <w:sz w:val="22"/>
        </w:rPr>
      </w:pPr>
      <w:r>
        <w:rPr>
          <w:sz w:val="22"/>
        </w:rPr>
        <w:t>– Instrução – ordem escrita e geral a respeito do modo, forma e condições de execução de determinado serviço ou atividade, com a finalidade de orientar os agentes do Conselho no desempenho de suas</w:t>
      </w:r>
      <w:r>
        <w:rPr>
          <w:spacing w:val="-1"/>
          <w:sz w:val="22"/>
        </w:rPr>
        <w:t> </w:t>
      </w:r>
      <w:r>
        <w:rPr>
          <w:sz w:val="22"/>
        </w:rPr>
        <w:t>funções;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102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415" w:val="left" w:leader="none"/>
        </w:tabs>
        <w:spacing w:line="240" w:lineRule="auto" w:before="81" w:after="0"/>
        <w:ind w:left="100" w:right="107" w:firstLine="0"/>
        <w:jc w:val="both"/>
        <w:rPr>
          <w:sz w:val="22"/>
        </w:rPr>
      </w:pPr>
      <w:r>
        <w:rPr>
          <w:sz w:val="22"/>
        </w:rPr>
        <w:t>– Circular – ordem escrita, de caráter uniforme, expedida a determinados agentes administrativos incumbidos de certos serviços ou atividades, com vistas à uniformização do desempenho de certas atribuições em circunstâncias</w:t>
      </w:r>
      <w:r>
        <w:rPr>
          <w:spacing w:val="-5"/>
          <w:sz w:val="22"/>
        </w:rPr>
        <w:t> </w:t>
      </w:r>
      <w:r>
        <w:rPr>
          <w:sz w:val="22"/>
        </w:rPr>
        <w:t>especiais;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0" w:after="0"/>
        <w:ind w:left="458" w:right="0" w:hanging="358"/>
        <w:jc w:val="both"/>
        <w:rPr>
          <w:sz w:val="22"/>
        </w:rPr>
      </w:pPr>
      <w:r>
        <w:rPr>
          <w:sz w:val="22"/>
        </w:rPr>
        <w:t>– Portaria – ato administrativo interno, de natureza normativa ou ordinatória, podendo</w:t>
      </w:r>
      <w:r>
        <w:rPr>
          <w:spacing w:val="-17"/>
          <w:sz w:val="22"/>
        </w:rPr>
        <w:t> </w:t>
      </w:r>
      <w:r>
        <w:rPr>
          <w:sz w:val="22"/>
        </w:rPr>
        <w:t>ser: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9" w:val="left" w:leader="none"/>
        </w:tabs>
        <w:spacing w:line="240" w:lineRule="auto" w:before="0" w:after="0"/>
        <w:ind w:left="100" w:right="112" w:firstLine="0"/>
        <w:jc w:val="both"/>
        <w:rPr>
          <w:sz w:val="22"/>
        </w:rPr>
      </w:pPr>
      <w:r>
        <w:rPr>
          <w:sz w:val="22"/>
        </w:rPr>
        <w:t>Portaria Normativa: destinada a regulamentar a execução de normas e a regular procedimentos administrativos;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40" w:lineRule="auto" w:before="0" w:after="0"/>
        <w:ind w:left="340" w:right="0" w:hanging="240"/>
        <w:jc w:val="both"/>
        <w:rPr>
          <w:sz w:val="22"/>
        </w:rPr>
      </w:pPr>
      <w:r>
        <w:rPr>
          <w:sz w:val="22"/>
        </w:rPr>
        <w:t>Portaria Ordinatória: destinada a promover a movimentação de pessoal e de outros</w:t>
      </w:r>
      <w:r>
        <w:rPr>
          <w:spacing w:val="-8"/>
          <w:sz w:val="22"/>
        </w:rPr>
        <w:t> </w:t>
      </w:r>
      <w:r>
        <w:rPr>
          <w:sz w:val="22"/>
        </w:rPr>
        <w:t>agentes.</w:t>
      </w:r>
    </w:p>
    <w:p>
      <w:pPr>
        <w:pStyle w:val="BodyText"/>
      </w:pPr>
    </w:p>
    <w:p>
      <w:pPr>
        <w:pStyle w:val="BodyText"/>
        <w:spacing w:line="480" w:lineRule="auto"/>
        <w:ind w:left="100" w:right="114"/>
        <w:jc w:val="both"/>
      </w:pPr>
      <w:r>
        <w:rPr/>
        <w:t>Art. 3° Quanto aos atos administrativos previstos no art. 2° ficam estabelecidas as seguintes</w:t>
      </w:r>
      <w:r>
        <w:rPr>
          <w:spacing w:val="-34"/>
        </w:rPr>
        <w:t> </w:t>
      </w:r>
      <w:r>
        <w:rPr/>
        <w:t>disposições: I – o regimento do CAU/BR e os dos CAU/UF serão aprovados pelos respectivos</w:t>
      </w:r>
      <w:r>
        <w:rPr>
          <w:spacing w:val="-14"/>
        </w:rPr>
        <w:t> </w:t>
      </w:r>
      <w:r>
        <w:rPr/>
        <w:t>Plenários;</w:t>
      </w:r>
    </w:p>
    <w:p>
      <w:pPr>
        <w:pStyle w:val="ListParagraph"/>
        <w:numPr>
          <w:ilvl w:val="0"/>
          <w:numId w:val="5"/>
        </w:numPr>
        <w:tabs>
          <w:tab w:pos="303" w:val="left" w:leader="none"/>
        </w:tabs>
        <w:spacing w:line="240" w:lineRule="auto" w:before="2" w:after="0"/>
        <w:ind w:left="100" w:right="103" w:firstLine="0"/>
        <w:jc w:val="both"/>
        <w:rPr>
          <w:sz w:val="22"/>
        </w:rPr>
      </w:pPr>
      <w:r>
        <w:rPr>
          <w:sz w:val="22"/>
        </w:rPr>
        <w:t>– o regimento do CAU/BR subordina-se às disposições da Lei n° 12.378, de 31 de dezembro de 2010, e a ele subordinam-se os Regimentos dos CAU/UF e os demais atos administrativos especificados nesta Resolução;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0" w:after="0"/>
        <w:ind w:left="374" w:right="0" w:hanging="274"/>
        <w:jc w:val="both"/>
        <w:rPr>
          <w:sz w:val="22"/>
        </w:rPr>
      </w:pPr>
      <w:r>
        <w:rPr>
          <w:sz w:val="22"/>
        </w:rPr>
        <w:t>– as resoluções são atos privativos do Plenário do</w:t>
      </w:r>
      <w:r>
        <w:rPr>
          <w:spacing w:val="-9"/>
          <w:sz w:val="22"/>
        </w:rPr>
        <w:t> </w:t>
      </w:r>
      <w:r>
        <w:rPr>
          <w:sz w:val="22"/>
        </w:rPr>
        <w:t>CAU/BR;</w:t>
      </w:r>
    </w:p>
    <w:p>
      <w:pPr>
        <w:pStyle w:val="BodyText"/>
      </w:pPr>
    </w:p>
    <w:p>
      <w:pPr>
        <w:pStyle w:val="BodyText"/>
        <w:ind w:left="100" w:right="100"/>
        <w:jc w:val="both"/>
      </w:pPr>
      <w:r>
        <w:rPr/>
        <w:t>III-A – as resoluções poderão ser elaboradas e assinadas conjuntamente com outras entidades públicas com personalidade jurídica de direito público, detentoras de finalidades similares às do CAU/BR, de regulamentação profissional, denominadas entidades coautoras de resolução conjunta; </w:t>
      </w:r>
      <w:r>
        <w:rPr>
          <w:color w:val="365F91"/>
        </w:rPr>
        <w:t>(Incluído pela Resolução n° 124, de 18 de novembro de 2016)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240" w:lineRule="auto" w:before="0" w:after="0"/>
        <w:ind w:left="100" w:right="108" w:firstLine="0"/>
        <w:jc w:val="both"/>
        <w:rPr>
          <w:sz w:val="22"/>
        </w:rPr>
      </w:pPr>
      <w:r>
        <w:rPr>
          <w:sz w:val="22"/>
        </w:rPr>
        <w:t>– as deliberações plenárias são atos privativos dos Plenários do CAU/BR e dos CAU/UF e expressam a posição do respectivo conselho acerca da matéria</w:t>
      </w:r>
      <w:r>
        <w:rPr>
          <w:spacing w:val="-12"/>
          <w:sz w:val="22"/>
        </w:rPr>
        <w:t> </w:t>
      </w:r>
      <w:r>
        <w:rPr>
          <w:sz w:val="22"/>
        </w:rPr>
        <w:t>decidida;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319" w:val="left" w:leader="none"/>
        </w:tabs>
        <w:spacing w:line="240" w:lineRule="auto" w:before="0" w:after="0"/>
        <w:ind w:left="100" w:right="106" w:firstLine="0"/>
        <w:jc w:val="both"/>
        <w:rPr>
          <w:sz w:val="22"/>
        </w:rPr>
      </w:pPr>
      <w:r>
        <w:rPr>
          <w:sz w:val="22"/>
        </w:rPr>
        <w:t>– as deliberações de comissão são atos privativos das comissões permanentes e especiais do CAU/BR e dos CAU/UF e expressam a posição da respectiva comissão acerca da matéria</w:t>
      </w:r>
      <w:r>
        <w:rPr>
          <w:spacing w:val="-16"/>
          <w:sz w:val="22"/>
        </w:rPr>
        <w:t> </w:t>
      </w:r>
      <w:r>
        <w:rPr>
          <w:sz w:val="22"/>
        </w:rPr>
        <w:t>decidida;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0" w:lineRule="auto" w:before="0" w:after="0"/>
        <w:ind w:left="100" w:right="100" w:firstLine="0"/>
        <w:jc w:val="both"/>
        <w:rPr>
          <w:sz w:val="22"/>
        </w:rPr>
      </w:pPr>
      <w:r>
        <w:rPr>
          <w:strike/>
          <w:sz w:val="22"/>
        </w:rPr>
        <w:t>– as propostas poderão ser apresentadas pelos órgãos colegiados consultivos e pelas comissões transitórias do CAU/BR e dos CAU/UF e deverão tratar de matéria afeta aos objetivos do respectivo órgão ou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comissão;</w:t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40" w:lineRule="auto" w:before="92" w:after="0"/>
        <w:ind w:left="100" w:right="102" w:firstLine="0"/>
        <w:jc w:val="both"/>
        <w:rPr>
          <w:sz w:val="22"/>
        </w:rPr>
      </w:pPr>
      <w:r>
        <w:rPr>
          <w:sz w:val="22"/>
        </w:rPr>
        <w:t>– as propostas poderão ser apresentadas pelos presidentes dos CAU/UF e do CAU/BR, pelos órgãos colegiados consultivos e pelas comissões temporárias do CAU/BR e dos CAU/UF e deverão tratar de matéria afeta aos objetivos do respectivo órgão ou comissão; </w:t>
      </w:r>
      <w:r>
        <w:rPr>
          <w:color w:val="365F91"/>
          <w:sz w:val="22"/>
        </w:rPr>
        <w:t>(Redação dada pela Resolução n° 124, de 18 de novembro de</w:t>
      </w:r>
      <w:r>
        <w:rPr>
          <w:color w:val="365F91"/>
          <w:spacing w:val="-1"/>
          <w:sz w:val="22"/>
        </w:rPr>
        <w:t> </w:t>
      </w:r>
      <w:r>
        <w:rPr>
          <w:color w:val="365F91"/>
          <w:sz w:val="22"/>
        </w:rPr>
        <w:t>2016)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75" w:val="left" w:leader="none"/>
        </w:tabs>
        <w:spacing w:line="242" w:lineRule="auto" w:before="0" w:after="0"/>
        <w:ind w:left="100" w:right="103" w:firstLine="0"/>
        <w:jc w:val="both"/>
        <w:rPr>
          <w:sz w:val="22"/>
        </w:rPr>
      </w:pPr>
      <w:r>
        <w:rPr>
          <w:sz w:val="22"/>
        </w:rPr>
        <w:t>– as instruções e as circulares são atos expedidos pelos agentes investidos na direção, gerência ou chefia de setores ou serviços do CAU/BR e dos</w:t>
      </w:r>
      <w:r>
        <w:rPr>
          <w:spacing w:val="-3"/>
          <w:sz w:val="22"/>
        </w:rPr>
        <w:t> </w:t>
      </w:r>
      <w:r>
        <w:rPr>
          <w:sz w:val="22"/>
        </w:rPr>
        <w:t>CAU/UF;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33" w:val="left" w:leader="none"/>
        </w:tabs>
        <w:spacing w:line="240" w:lineRule="auto" w:before="0" w:after="0"/>
        <w:ind w:left="532" w:right="0" w:hanging="432"/>
        <w:jc w:val="left"/>
        <w:rPr>
          <w:sz w:val="22"/>
        </w:rPr>
      </w:pPr>
      <w:r>
        <w:rPr>
          <w:sz w:val="22"/>
        </w:rPr>
        <w:t>– as portarias são atos privativos do presidente do CAU BR e dos presidentes dos</w:t>
      </w:r>
      <w:r>
        <w:rPr>
          <w:spacing w:val="-19"/>
          <w:sz w:val="22"/>
        </w:rPr>
        <w:t> </w:t>
      </w:r>
      <w:r>
        <w:rPr>
          <w:sz w:val="22"/>
        </w:rPr>
        <w:t>CAU/UF.</w:t>
      </w:r>
    </w:p>
    <w:p>
      <w:pPr>
        <w:pStyle w:val="BodyText"/>
      </w:pPr>
    </w:p>
    <w:p>
      <w:pPr>
        <w:pStyle w:val="BodyText"/>
        <w:ind w:left="100" w:right="102"/>
        <w:jc w:val="both"/>
      </w:pPr>
      <w:r>
        <w:rPr/>
        <w:t>§ 1° Os regimentos dos CAU/UF deverão ser submetidos à homologação do CAU/BR; os demais atos administrativos dos CAU/UF, que estabelecem regras sobre a sua estrutura administrativa e seu funcionamento dispensam homologação, devendo, todavia, ser encaminhados ao CAU/BR para conhecimento no prazo de 30 (trinta) dias após sua expedição.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1020"/>
        </w:sectPr>
      </w:pPr>
    </w:p>
    <w:p>
      <w:pPr>
        <w:pStyle w:val="BodyText"/>
        <w:spacing w:before="81"/>
        <w:ind w:left="100" w:right="108"/>
        <w:jc w:val="both"/>
      </w:pPr>
      <w:r>
        <w:rPr/>
        <w:t>§ 2° O CAU/UF pode, por iniciativa própria, revogar o ato administrativo normativo ou ordinatório que estabelece regras sobre a estrutura administrativa e seu funcionamento, quando julgar necessário, devendo comunicar a decisão ao CAU/BR no prazo de 30 (trinta) dias após sua revogação.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108"/>
        <w:jc w:val="both"/>
      </w:pPr>
      <w:r>
        <w:rPr/>
        <w:t>Art. 4° A edição dos atos administrativos normativos de que trata esta Resolução dependerá de iniciativa: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228" w:val="left" w:leader="none"/>
        </w:tabs>
        <w:spacing w:line="240" w:lineRule="auto" w:before="0" w:after="0"/>
        <w:ind w:left="100" w:right="100" w:firstLine="0"/>
        <w:jc w:val="both"/>
        <w:rPr>
          <w:sz w:val="22"/>
        </w:rPr>
      </w:pPr>
      <w:r>
        <w:rPr>
          <w:sz w:val="22"/>
        </w:rPr>
        <w:t>– regimento e suas alterações: do presidente e dos conselheiros do CAU/BR e dos CAU/UF, respeitada a respectiva</w:t>
      </w:r>
      <w:r>
        <w:rPr>
          <w:spacing w:val="-3"/>
          <w:sz w:val="22"/>
        </w:rPr>
        <w:t> </w:t>
      </w:r>
      <w:r>
        <w:rPr>
          <w:sz w:val="22"/>
        </w:rPr>
        <w:t>jurisdição;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00" w:val="left" w:leader="none"/>
        </w:tabs>
        <w:spacing w:line="240" w:lineRule="auto" w:before="0" w:after="0"/>
        <w:ind w:left="299" w:right="0" w:hanging="199"/>
        <w:jc w:val="both"/>
        <w:rPr>
          <w:sz w:val="22"/>
        </w:rPr>
      </w:pPr>
      <w:r>
        <w:rPr>
          <w:sz w:val="22"/>
        </w:rPr>
        <w:t>– resolução: do presidente e dos conselheiros do</w:t>
      </w:r>
      <w:r>
        <w:rPr>
          <w:spacing w:val="-5"/>
          <w:sz w:val="22"/>
        </w:rPr>
        <w:t> </w:t>
      </w:r>
      <w:r>
        <w:rPr>
          <w:sz w:val="22"/>
        </w:rPr>
        <w:t>CAU/BR;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0" w:after="0"/>
        <w:ind w:left="374" w:right="0" w:hanging="274"/>
        <w:jc w:val="both"/>
        <w:rPr>
          <w:sz w:val="22"/>
        </w:rPr>
      </w:pPr>
      <w:r>
        <w:rPr>
          <w:sz w:val="22"/>
        </w:rPr>
        <w:t>– deliberação plenária: do presidente e das comissões do CAU/BR e dos</w:t>
      </w:r>
      <w:r>
        <w:rPr>
          <w:spacing w:val="-8"/>
          <w:sz w:val="22"/>
        </w:rPr>
        <w:t> </w:t>
      </w:r>
      <w:r>
        <w:rPr>
          <w:sz w:val="22"/>
        </w:rPr>
        <w:t>CAU/UF;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87" w:val="left" w:leader="none"/>
        </w:tabs>
        <w:spacing w:line="240" w:lineRule="auto" w:before="0" w:after="0"/>
        <w:ind w:left="386" w:right="0" w:hanging="286"/>
        <w:jc w:val="both"/>
        <w:rPr>
          <w:sz w:val="22"/>
        </w:rPr>
      </w:pPr>
      <w:r>
        <w:rPr>
          <w:sz w:val="22"/>
        </w:rPr>
        <w:t>– deliberação de comissão: do coordenador e dos conselheiros do CAU/BR e dos</w:t>
      </w:r>
      <w:r>
        <w:rPr>
          <w:spacing w:val="-13"/>
          <w:sz w:val="22"/>
        </w:rPr>
        <w:t> </w:t>
      </w:r>
      <w:r>
        <w:rPr>
          <w:sz w:val="22"/>
        </w:rPr>
        <w:t>CAU/UF;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317" w:val="left" w:leader="none"/>
        </w:tabs>
        <w:spacing w:line="240" w:lineRule="auto" w:before="0" w:after="0"/>
        <w:ind w:left="316" w:right="0" w:hanging="216"/>
        <w:jc w:val="both"/>
        <w:rPr>
          <w:sz w:val="22"/>
        </w:rPr>
      </w:pPr>
      <w:r>
        <w:rPr>
          <w:strike/>
          <w:sz w:val="22"/>
        </w:rPr>
        <w:t>– proposta: do coordenador ou responsável do órgão colegiado consultivo ou da comissão</w:t>
      </w:r>
      <w:r>
        <w:rPr>
          <w:strike/>
          <w:spacing w:val="-24"/>
          <w:sz w:val="22"/>
        </w:rPr>
        <w:t> </w:t>
      </w:r>
      <w:r>
        <w:rPr>
          <w:strike/>
          <w:sz w:val="22"/>
        </w:rPr>
        <w:t>transitória.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 w:right="102"/>
        <w:jc w:val="both"/>
      </w:pPr>
      <w:r>
        <w:rPr/>
        <w:t>V – proposta: do presidente do CAU/UF ou do CAU/BR, do coordenador ou responsável do órgão colegiado consultivo ou da comissão temporária. </w:t>
      </w:r>
      <w:r>
        <w:rPr>
          <w:color w:val="365F91"/>
        </w:rPr>
        <w:t>(Redação dada pela Resolução n° 124, de 18 de novembro de 2016)</w:t>
      </w:r>
    </w:p>
    <w:p>
      <w:pPr>
        <w:pStyle w:val="BodyText"/>
        <w:spacing w:before="1"/>
      </w:pPr>
    </w:p>
    <w:p>
      <w:pPr>
        <w:pStyle w:val="BodyText"/>
        <w:ind w:left="100" w:right="107"/>
        <w:jc w:val="both"/>
      </w:pPr>
      <w:r>
        <w:rPr/>
        <w:t>§ 1° As propostas apresentadas por órgão colegiado e comissão transitória deverão ser encaminhadas previamente à análise das comissões permanentes ou especiais, de acordo com a natureza da matéria.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106"/>
        <w:jc w:val="both"/>
      </w:pPr>
      <w:r>
        <w:rPr/>
        <w:t>§ 2° Após a análise da proposta, a comissão a encaminhará ao Plenário do CAU/BR ou do CAU/UF, conforme o caso, para deliberação.</w:t>
      </w:r>
    </w:p>
    <w:p>
      <w:pPr>
        <w:pStyle w:val="BodyText"/>
      </w:pPr>
    </w:p>
    <w:p>
      <w:pPr>
        <w:pStyle w:val="BodyText"/>
        <w:spacing w:line="480" w:lineRule="auto"/>
        <w:ind w:left="100" w:right="3597"/>
      </w:pPr>
      <w:r>
        <w:rPr/>
        <w:t>Art. 5° Esta Resolução entra em vigor na data de sua publicação. Art. 6° Ficam revogadas as disposições em contrário.</w:t>
      </w:r>
    </w:p>
    <w:p>
      <w:pPr>
        <w:pStyle w:val="BodyText"/>
        <w:spacing w:before="1"/>
        <w:ind w:left="833" w:right="837"/>
        <w:jc w:val="center"/>
      </w:pPr>
      <w:r>
        <w:rPr/>
        <w:t>Brasília, 6 de julho de 2012.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1" w:lineRule="exact" w:before="210"/>
        <w:ind w:left="833" w:right="838"/>
        <w:jc w:val="center"/>
      </w:pPr>
      <w:r>
        <w:rPr/>
        <w:t>HAROLDO PINHEIRO VILLAR DE QUEIROZ</w:t>
      </w:r>
    </w:p>
    <w:p>
      <w:pPr>
        <w:pStyle w:val="BodyText"/>
        <w:spacing w:line="251" w:lineRule="exact"/>
        <w:ind w:left="833" w:right="834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833" w:right="839"/>
        <w:jc w:val="center"/>
      </w:pPr>
      <w:r>
        <w:rPr/>
        <w:t>(Publicada no Diário Oficial da União, Edição n° 141, Seção 1, de 23 de julho de 2012)</w:t>
      </w:r>
    </w:p>
    <w:sectPr>
      <w:pgSz w:w="11900" w:h="16850"/>
      <w:pgMar w:header="568" w:footer="1055" w:top="160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783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5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464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759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"/>
      <w:lvlJc w:val="left"/>
      <w:pPr>
        <w:ind w:left="100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28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6"/>
      <w:numFmt w:val="upperRoman"/>
      <w:lvlText w:val="%1"/>
      <w:lvlJc w:val="left"/>
      <w:pPr>
        <w:ind w:left="100" w:hanging="29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9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9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9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9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9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9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9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93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2"/>
      <w:numFmt w:val="upperRoman"/>
      <w:lvlText w:val="%1"/>
      <w:lvlJc w:val="left"/>
      <w:pPr>
        <w:ind w:left="100" w:hanging="2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0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0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0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0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0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0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0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02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27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7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7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7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7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7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7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7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78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4"/>
      <w:numFmt w:val="upperRoman"/>
      <w:lvlText w:val="%1"/>
      <w:lvlJc w:val="left"/>
      <w:pPr>
        <w:ind w:left="100" w:hanging="28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28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28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28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28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28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28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28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288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28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29" w:hanging="2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39" w:hanging="2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49" w:hanging="2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59" w:hanging="2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69" w:hanging="2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9" w:hanging="2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89" w:hanging="2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99" w:hanging="228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00" w:hanging="1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1" w:hanging="161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63" w:hanging="161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95" w:hanging="161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27" w:hanging="161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59" w:hanging="161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91" w:hanging="161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23" w:hanging="161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55" w:hanging="161"/>
      </w:pPr>
      <w:rPr>
        <w:rFonts w:hint="default"/>
        <w:lang w:val="pt-br" w:eastAsia="pt-br" w:bidi="pt-br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2019-04-25T16:41:28Z</dcterms:created>
  <dcterms:modified xsi:type="dcterms:W3CDTF">2019-04-25T16:41:28Z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