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E2AAC" w14:textId="77777777" w:rsidR="00FB7E5F" w:rsidRPr="00FB7E5F" w:rsidRDefault="00FB7E5F" w:rsidP="00FB7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000000"/>
        </w:rPr>
      </w:pPr>
      <w:r w:rsidRPr="00FB7E5F">
        <w:rPr>
          <w:rFonts w:ascii="Times New Roman" w:eastAsia="Cambria" w:hAnsi="Times New Roman" w:cs="Times New Roman"/>
          <w:color w:val="000000"/>
        </w:rPr>
        <w:t>RESOLUÇÃO Nº 191, DE 19 DE JUNHO DE 2020</w:t>
      </w:r>
    </w:p>
    <w:p w14:paraId="65B6ECE5" w14:textId="77777777" w:rsidR="00FB7E5F" w:rsidRPr="00FB7E5F" w:rsidRDefault="00FB7E5F" w:rsidP="00FB7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olor w:val="000000"/>
        </w:rPr>
      </w:pPr>
    </w:p>
    <w:p w14:paraId="35AAED7A" w14:textId="77777777" w:rsidR="00FB7E5F" w:rsidRPr="00FB7E5F" w:rsidRDefault="00FB7E5F" w:rsidP="00FB7E5F">
      <w:pPr>
        <w:spacing w:after="0" w:line="240" w:lineRule="auto"/>
        <w:ind w:left="4253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FB7E5F">
        <w:rPr>
          <w:rFonts w:ascii="Times New Roman" w:eastAsia="Cambria" w:hAnsi="Times New Roman" w:cs="Times New Roman"/>
          <w:b w:val="0"/>
          <w:color w:val="auto"/>
        </w:rPr>
        <w:t>Altera a Resolução CAU/BR nº 121, de 19 de agosto de 2016, relativamente ao prazo para parcelamento de débitos de anuidade, e dá outras providências.</w:t>
      </w:r>
    </w:p>
    <w:p w14:paraId="38346CC1" w14:textId="77777777" w:rsidR="00FB7E5F" w:rsidRPr="00FB7E5F" w:rsidRDefault="00FB7E5F" w:rsidP="00FB7E5F">
      <w:pPr>
        <w:spacing w:after="0" w:line="240" w:lineRule="auto"/>
        <w:ind w:left="4253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4E3CF045" w14:textId="77777777" w:rsidR="00FB7E5F" w:rsidRPr="00FB7E5F" w:rsidRDefault="00FB7E5F" w:rsidP="00FB7E5F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FB7E5F">
        <w:rPr>
          <w:rFonts w:ascii="Times New Roman" w:eastAsia="Cambria" w:hAnsi="Times New Roman" w:cs="Times New Roman"/>
          <w:b w:val="0"/>
          <w:color w:val="auto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</w:t>
      </w:r>
      <w:r w:rsidRPr="00FB7E5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DPOBR nº 0102-11/2020, de </w:t>
      </w:r>
      <w:r w:rsidRPr="00FB7E5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19 de junho de 2020, </w:t>
      </w:r>
      <w:r w:rsidRPr="00FB7E5F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>adotada na Reunião Plenária Ordinária n° 102, realizada nos dias 18 e 19</w:t>
      </w:r>
      <w:r w:rsidRPr="00FB7E5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junho </w:t>
      </w:r>
      <w:r w:rsidRPr="00FB7E5F">
        <w:rPr>
          <w:rFonts w:ascii="Times New Roman" w:eastAsia="Cambria" w:hAnsi="Times New Roman" w:cs="Times New Roman"/>
          <w:b w:val="0"/>
          <w:color w:val="auto"/>
        </w:rPr>
        <w:t>de 2020;</w:t>
      </w:r>
    </w:p>
    <w:p w14:paraId="12DA5DD6" w14:textId="77777777" w:rsidR="00FB7E5F" w:rsidRPr="00FB7E5F" w:rsidRDefault="00FB7E5F" w:rsidP="00FB7E5F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5E4E9B41" w14:textId="77777777" w:rsidR="00FB7E5F" w:rsidRPr="00FB7E5F" w:rsidRDefault="00FB7E5F" w:rsidP="00FB7E5F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</w:rPr>
      </w:pPr>
      <w:r w:rsidRPr="00FB7E5F">
        <w:rPr>
          <w:rFonts w:ascii="Times New Roman" w:eastAsia="Cambria" w:hAnsi="Times New Roman" w:cs="Times New Roman"/>
          <w:color w:val="auto"/>
        </w:rPr>
        <w:t>RESOLVE:</w:t>
      </w:r>
    </w:p>
    <w:p w14:paraId="08A6F584" w14:textId="77777777" w:rsidR="00FB7E5F" w:rsidRPr="00FB7E5F" w:rsidRDefault="00FB7E5F" w:rsidP="00FB7E5F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</w:rPr>
      </w:pPr>
    </w:p>
    <w:p w14:paraId="082587D2" w14:textId="77777777" w:rsidR="00FB7E5F" w:rsidRPr="00FB7E5F" w:rsidRDefault="00FB7E5F" w:rsidP="00FB7E5F">
      <w:pPr>
        <w:shd w:val="clear" w:color="auto" w:fill="FFFFFF"/>
        <w:spacing w:beforeLines="1" w:before="2" w:afterLines="1" w:after="2" w:line="240" w:lineRule="auto"/>
        <w:jc w:val="both"/>
        <w:rPr>
          <w:rFonts w:ascii="Times New Roman" w:eastAsia="Cambria" w:hAnsi="Times New Roman" w:cs="Times New Roman"/>
          <w:b w:val="0"/>
          <w:color w:val="000000"/>
        </w:rPr>
      </w:pPr>
      <w:r w:rsidRPr="00E30CC8">
        <w:rPr>
          <w:rFonts w:ascii="Times New Roman" w:eastAsia="Cambria" w:hAnsi="Times New Roman" w:cs="Times New Roman"/>
          <w:b w:val="0"/>
          <w:bCs/>
          <w:color w:val="000000"/>
        </w:rPr>
        <w:t xml:space="preserve">Art. 1º A Resolução CAU/BR nº 121, de 19 de agosto de 2016, publicada </w:t>
      </w:r>
      <w:r w:rsidRPr="00FB7E5F">
        <w:rPr>
          <w:rFonts w:ascii="Times New Roman" w:eastAsia="Cambria" w:hAnsi="Times New Roman" w:cs="Times New Roman"/>
          <w:b w:val="0"/>
          <w:color w:val="000000"/>
        </w:rPr>
        <w:t>no Diário Oficial da União, Edição n° 186, Seção 1, de 27 de setembro de 2016, passa a vigorar com a seguinte alteração:</w:t>
      </w:r>
    </w:p>
    <w:p w14:paraId="22D845FA" w14:textId="77777777" w:rsidR="00FB7E5F" w:rsidRPr="00FB7E5F" w:rsidRDefault="00FB7E5F" w:rsidP="00FB7E5F">
      <w:pPr>
        <w:shd w:val="clear" w:color="auto" w:fill="FFFFFF"/>
        <w:spacing w:beforeLines="1" w:before="2" w:afterLines="1" w:after="2" w:line="240" w:lineRule="auto"/>
        <w:jc w:val="both"/>
        <w:rPr>
          <w:rFonts w:ascii="Times New Roman" w:eastAsia="Cambria" w:hAnsi="Times New Roman" w:cs="Times New Roman"/>
          <w:b w:val="0"/>
          <w:color w:val="000000"/>
        </w:rPr>
      </w:pPr>
    </w:p>
    <w:p w14:paraId="5E01549F" w14:textId="77777777" w:rsidR="00FB7E5F" w:rsidRPr="00FB7E5F" w:rsidRDefault="00FB7E5F" w:rsidP="00FB7E5F">
      <w:pPr>
        <w:shd w:val="clear" w:color="auto" w:fill="FFFFFF"/>
        <w:spacing w:beforeLines="1" w:before="2" w:afterLines="1" w:after="2" w:line="240" w:lineRule="auto"/>
        <w:ind w:left="1134"/>
        <w:jc w:val="both"/>
        <w:rPr>
          <w:rFonts w:ascii="Times New Roman" w:eastAsia="Cambria" w:hAnsi="Times New Roman" w:cs="Times New Roman"/>
          <w:b w:val="0"/>
          <w:color w:val="000000"/>
        </w:rPr>
      </w:pPr>
      <w:r w:rsidRPr="00FB7E5F">
        <w:rPr>
          <w:rFonts w:ascii="Times New Roman" w:eastAsia="Cambria" w:hAnsi="Times New Roman" w:cs="Times New Roman"/>
          <w:b w:val="0"/>
          <w:color w:val="000000"/>
        </w:rPr>
        <w:t>“Art. 12. As condições de parcelamento previstas nos artigos 10 e 11 terão aplicação até 31 de dezembro de 2020.</w:t>
      </w:r>
    </w:p>
    <w:p w14:paraId="74183891" w14:textId="77777777" w:rsidR="00FB7E5F" w:rsidRPr="00FB7E5F" w:rsidRDefault="00FB7E5F" w:rsidP="00FB7E5F">
      <w:pPr>
        <w:shd w:val="clear" w:color="auto" w:fill="FFFFFF"/>
        <w:spacing w:beforeLines="1" w:before="2" w:afterLines="1" w:after="2" w:line="240" w:lineRule="auto"/>
        <w:ind w:left="1134"/>
        <w:jc w:val="both"/>
        <w:rPr>
          <w:rFonts w:ascii="Times New Roman" w:eastAsia="Cambria" w:hAnsi="Times New Roman" w:cs="Times New Roman"/>
          <w:b w:val="0"/>
          <w:color w:val="000000"/>
        </w:rPr>
      </w:pPr>
      <w:r w:rsidRPr="00FB7E5F">
        <w:rPr>
          <w:rFonts w:ascii="Times New Roman" w:eastAsia="Cambria" w:hAnsi="Times New Roman" w:cs="Times New Roman"/>
          <w:b w:val="0"/>
          <w:color w:val="000000"/>
        </w:rPr>
        <w:t>..............................................................................................................................................”</w:t>
      </w:r>
    </w:p>
    <w:p w14:paraId="603F0697" w14:textId="77777777" w:rsidR="00FB7E5F" w:rsidRPr="00FB7E5F" w:rsidRDefault="00FB7E5F" w:rsidP="00FB7E5F">
      <w:pPr>
        <w:shd w:val="clear" w:color="auto" w:fill="FFFFFF"/>
        <w:spacing w:beforeLines="1" w:before="2" w:afterLines="1" w:after="2" w:line="240" w:lineRule="auto"/>
        <w:ind w:left="1134"/>
        <w:jc w:val="both"/>
        <w:rPr>
          <w:rFonts w:ascii="Times New Roman" w:eastAsia="Cambria" w:hAnsi="Times New Roman" w:cs="Times New Roman"/>
          <w:b w:val="0"/>
          <w:color w:val="000000"/>
        </w:rPr>
      </w:pPr>
    </w:p>
    <w:p w14:paraId="6CECA8B1" w14:textId="77777777" w:rsidR="00FB7E5F" w:rsidRPr="00FB7E5F" w:rsidRDefault="00FB7E5F" w:rsidP="00FB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</w:rPr>
      </w:pPr>
      <w:r w:rsidRPr="00FB7E5F">
        <w:rPr>
          <w:rFonts w:ascii="Times New Roman" w:eastAsia="Cambria" w:hAnsi="Times New Roman" w:cs="Times New Roman"/>
          <w:b w:val="0"/>
          <w:color w:val="000000"/>
        </w:rPr>
        <w:t>Art. 2º Esta Resolução entra em vigor na data de sua publicação.</w:t>
      </w:r>
    </w:p>
    <w:p w14:paraId="4E108656" w14:textId="77777777" w:rsidR="00FB7E5F" w:rsidRPr="00FB7E5F" w:rsidRDefault="00FB7E5F" w:rsidP="00FB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</w:rPr>
      </w:pPr>
    </w:p>
    <w:p w14:paraId="6AFE6AC7" w14:textId="77777777" w:rsidR="00FB7E5F" w:rsidRPr="00FB7E5F" w:rsidRDefault="00FB7E5F" w:rsidP="00FB7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000000"/>
        </w:rPr>
      </w:pPr>
      <w:r w:rsidRPr="00FB7E5F">
        <w:rPr>
          <w:rFonts w:ascii="Times New Roman" w:eastAsia="Cambria" w:hAnsi="Times New Roman" w:cs="Times New Roman"/>
          <w:b w:val="0"/>
          <w:color w:val="000000"/>
        </w:rPr>
        <w:t>Brasília, 19 de junho de 2020.</w:t>
      </w:r>
    </w:p>
    <w:p w14:paraId="3D5356D2" w14:textId="77777777" w:rsidR="00FB7E5F" w:rsidRPr="00FB7E5F" w:rsidRDefault="00FB7E5F" w:rsidP="00FB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</w:rPr>
      </w:pPr>
    </w:p>
    <w:p w14:paraId="413679F3" w14:textId="77777777" w:rsidR="00FB7E5F" w:rsidRPr="00FB7E5F" w:rsidRDefault="00FB7E5F" w:rsidP="00FB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</w:rPr>
      </w:pPr>
    </w:p>
    <w:p w14:paraId="61F139F0" w14:textId="77777777" w:rsidR="00FB7E5F" w:rsidRPr="00FB7E5F" w:rsidRDefault="00FB7E5F" w:rsidP="00FB7E5F">
      <w:pPr>
        <w:spacing w:after="0" w:line="240" w:lineRule="auto"/>
        <w:jc w:val="center"/>
        <w:rPr>
          <w:rFonts w:ascii="Times New Roman" w:eastAsia="Cambria" w:hAnsi="Times New Roman" w:cs="Times New Roman"/>
          <w:color w:val="auto"/>
        </w:rPr>
      </w:pPr>
      <w:r w:rsidRPr="00FB7E5F">
        <w:rPr>
          <w:rFonts w:ascii="Times New Roman" w:eastAsia="Cambria" w:hAnsi="Times New Roman" w:cs="Times New Roman"/>
          <w:color w:val="auto"/>
        </w:rPr>
        <w:t>LUCIANO GUIMARÃES</w:t>
      </w:r>
    </w:p>
    <w:p w14:paraId="7E48A425" w14:textId="77777777" w:rsidR="00FB7E5F" w:rsidRPr="00FB7E5F" w:rsidRDefault="00FB7E5F" w:rsidP="00FB7E5F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FB7E5F">
        <w:rPr>
          <w:rFonts w:ascii="Times New Roman" w:eastAsia="Cambria" w:hAnsi="Times New Roman" w:cs="Times New Roman"/>
          <w:b w:val="0"/>
          <w:color w:val="auto"/>
        </w:rPr>
        <w:t>Presidente do CAU/BR</w:t>
      </w:r>
    </w:p>
    <w:p w14:paraId="43CE183A" w14:textId="77777777" w:rsidR="00FB7E5F" w:rsidRPr="00FB7E5F" w:rsidRDefault="00FB7E5F" w:rsidP="00FB7E5F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54843B6A" w14:textId="77777777" w:rsidR="00FB7E5F" w:rsidRPr="00FB7E5F" w:rsidRDefault="00FB7E5F" w:rsidP="00FB7E5F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6FE8433F" w14:textId="4E5DEAE4" w:rsidR="00FB7E5F" w:rsidRPr="00FB7E5F" w:rsidRDefault="00FB7E5F" w:rsidP="00FB7E5F">
      <w:pPr>
        <w:spacing w:after="0" w:line="240" w:lineRule="auto"/>
        <w:jc w:val="center"/>
        <w:rPr>
          <w:rFonts w:ascii="Times New Roman" w:eastAsia="Cambria" w:hAnsi="Times New Roman" w:cs="Times New Roman"/>
          <w:color w:val="FF0000"/>
          <w:sz w:val="24"/>
          <w:szCs w:val="24"/>
        </w:rPr>
      </w:pPr>
      <w:r w:rsidRPr="00FB7E5F">
        <w:rPr>
          <w:rFonts w:ascii="Times New Roman" w:eastAsia="Cambria" w:hAnsi="Times New Roman" w:cs="Times New Roman"/>
          <w:b w:val="0"/>
          <w:color w:val="FF0000"/>
        </w:rPr>
        <w:t>[Publicada no Diário Oficial da União, Edição n° 130, Seção 1, Página 221, de 9 de julho de 2020</w:t>
      </w:r>
      <w:r w:rsidR="007E7236">
        <w:rPr>
          <w:rFonts w:ascii="Times New Roman" w:eastAsia="Cambria" w:hAnsi="Times New Roman" w:cs="Times New Roman"/>
          <w:b w:val="0"/>
          <w:color w:val="FF0000"/>
        </w:rPr>
        <w:t>.</w:t>
      </w:r>
      <w:r w:rsidRPr="00FB7E5F">
        <w:rPr>
          <w:rFonts w:ascii="Times New Roman" w:eastAsia="Cambria" w:hAnsi="Times New Roman" w:cs="Times New Roman"/>
          <w:b w:val="0"/>
          <w:color w:val="FF0000"/>
        </w:rPr>
        <w:t>]</w:t>
      </w:r>
    </w:p>
    <w:p w14:paraId="67AAFD98" w14:textId="1DEA9761" w:rsidR="007A55E4" w:rsidRPr="00FB7E5F" w:rsidRDefault="007A55E4" w:rsidP="00FB7E5F"/>
    <w:sectPr w:rsidR="007A55E4" w:rsidRPr="00FB7E5F" w:rsidSect="00E25662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37C11" w14:textId="77777777" w:rsidR="008F0E6F" w:rsidRDefault="008F0E6F" w:rsidP="00EE0A57">
      <w:pPr>
        <w:spacing w:after="0" w:line="240" w:lineRule="auto"/>
      </w:pPr>
      <w:r>
        <w:separator/>
      </w:r>
    </w:p>
  </w:endnote>
  <w:endnote w:type="continuationSeparator" w:id="0">
    <w:p w14:paraId="767472C7" w14:textId="77777777" w:rsidR="008F0E6F" w:rsidRDefault="008F0E6F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314C0D" w:rsidRPr="007A55E4" w:rsidRDefault="00314C0D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Pr="007A55E4">
          <w:rPr>
            <w:b w:val="0"/>
            <w:bCs/>
            <w:color w:val="1B6469"/>
          </w:rPr>
          <w:t>2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DF2AD" w14:textId="77777777" w:rsidR="008F0E6F" w:rsidRDefault="008F0E6F" w:rsidP="00EE0A57">
      <w:pPr>
        <w:spacing w:after="0" w:line="240" w:lineRule="auto"/>
      </w:pPr>
      <w:r>
        <w:separator/>
      </w:r>
    </w:p>
  </w:footnote>
  <w:footnote w:type="continuationSeparator" w:id="0">
    <w:p w14:paraId="370F5AAF" w14:textId="77777777" w:rsidR="008F0E6F" w:rsidRDefault="008F0E6F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6A08" w14:textId="16B1C4F2" w:rsidR="005C2E15" w:rsidRPr="00345B66" w:rsidRDefault="00EA4731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6432" behindDoc="0" locked="0" layoutInCell="1" allowOverlap="1" wp14:anchorId="0D2F7C39" wp14:editId="5B9E9044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7"/>
    <w:rsid w:val="0000572D"/>
    <w:rsid w:val="000B1FA2"/>
    <w:rsid w:val="000B5EEF"/>
    <w:rsid w:val="000F0C06"/>
    <w:rsid w:val="00113E92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D4129"/>
    <w:rsid w:val="003D6CA6"/>
    <w:rsid w:val="003F6B20"/>
    <w:rsid w:val="00403B79"/>
    <w:rsid w:val="004711C3"/>
    <w:rsid w:val="00474FA0"/>
    <w:rsid w:val="004825ED"/>
    <w:rsid w:val="004C091D"/>
    <w:rsid w:val="004C44C3"/>
    <w:rsid w:val="004D49F4"/>
    <w:rsid w:val="00503414"/>
    <w:rsid w:val="00517F84"/>
    <w:rsid w:val="005406D7"/>
    <w:rsid w:val="00565076"/>
    <w:rsid w:val="00570C6D"/>
    <w:rsid w:val="005C2E15"/>
    <w:rsid w:val="005E7182"/>
    <w:rsid w:val="005F6C15"/>
    <w:rsid w:val="00623F7E"/>
    <w:rsid w:val="006758DE"/>
    <w:rsid w:val="006E5943"/>
    <w:rsid w:val="006F009C"/>
    <w:rsid w:val="00702B94"/>
    <w:rsid w:val="007450D9"/>
    <w:rsid w:val="00756AF0"/>
    <w:rsid w:val="00756D86"/>
    <w:rsid w:val="0078588D"/>
    <w:rsid w:val="007A55E4"/>
    <w:rsid w:val="007E7236"/>
    <w:rsid w:val="00851604"/>
    <w:rsid w:val="00854073"/>
    <w:rsid w:val="00870256"/>
    <w:rsid w:val="008936F6"/>
    <w:rsid w:val="0089372A"/>
    <w:rsid w:val="008C2D78"/>
    <w:rsid w:val="008D1D61"/>
    <w:rsid w:val="008D7A71"/>
    <w:rsid w:val="008F0E6F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C554C"/>
    <w:rsid w:val="00B31F78"/>
    <w:rsid w:val="00B52E79"/>
    <w:rsid w:val="00B64726"/>
    <w:rsid w:val="00BA0A42"/>
    <w:rsid w:val="00C049B1"/>
    <w:rsid w:val="00C07DEB"/>
    <w:rsid w:val="00C56C72"/>
    <w:rsid w:val="00C60C46"/>
    <w:rsid w:val="00C91CA5"/>
    <w:rsid w:val="00CA3343"/>
    <w:rsid w:val="00CA6368"/>
    <w:rsid w:val="00CB5DBC"/>
    <w:rsid w:val="00CB77DA"/>
    <w:rsid w:val="00CE68C1"/>
    <w:rsid w:val="00D07558"/>
    <w:rsid w:val="00D1669C"/>
    <w:rsid w:val="00D21C37"/>
    <w:rsid w:val="00D61D98"/>
    <w:rsid w:val="00E0640A"/>
    <w:rsid w:val="00E15833"/>
    <w:rsid w:val="00E25662"/>
    <w:rsid w:val="00E30CC8"/>
    <w:rsid w:val="00E54621"/>
    <w:rsid w:val="00E61A2C"/>
    <w:rsid w:val="00E70729"/>
    <w:rsid w:val="00EA4731"/>
    <w:rsid w:val="00EC24D9"/>
    <w:rsid w:val="00EE0A57"/>
    <w:rsid w:val="00F42952"/>
    <w:rsid w:val="00F86139"/>
    <w:rsid w:val="00FA7123"/>
    <w:rsid w:val="00FB30E6"/>
    <w:rsid w:val="00FB7E5F"/>
    <w:rsid w:val="00FD264C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8E964-DC01-4812-9FEC-004F6D22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Emerson Fonseca Fraga</cp:lastModifiedBy>
  <cp:revision>4</cp:revision>
  <cp:lastPrinted>2020-08-24T19:25:00Z</cp:lastPrinted>
  <dcterms:created xsi:type="dcterms:W3CDTF">2020-08-25T00:59:00Z</dcterms:created>
  <dcterms:modified xsi:type="dcterms:W3CDTF">2020-08-31T02:58:00Z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