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1"/>
        </w:rPr>
      </w:pPr>
    </w:p>
    <w:p>
      <w:pPr>
        <w:pStyle w:val="Heading1"/>
        <w:spacing w:before="92"/>
        <w:ind w:left="2092"/>
      </w:pPr>
      <w:r>
        <w:rPr/>
        <w:t>RESOLUÇÃO N° 173, DE 13 DE DEZEMBRO DE 2018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473" w:right="103"/>
        <w:jc w:val="both"/>
      </w:pPr>
      <w:r>
        <w:rPr/>
        <w:t>Dispõe sobre o Plano de Ação e Orçamento do CAU/BR e homologa os Planos de Ação e Orçamentos dos Conselhos de Arquitetura e Urbanismo dos Estados e do Distrito Federal (CAU/UF), referentes ao Exercício de 2019,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220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220" w:right="103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0027-02/2018, adotada na Reunião Plenária Ampliada n° 28, realizada no dia 13 de dezembro de</w:t>
      </w:r>
      <w:r>
        <w:rPr>
          <w:spacing w:val="-11"/>
        </w:rPr>
        <w:t> </w:t>
      </w:r>
      <w:r>
        <w:rPr/>
        <w:t>2018;</w:t>
      </w:r>
    </w:p>
    <w:p>
      <w:pPr>
        <w:pStyle w:val="BodyText"/>
        <w:spacing w:before="6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20" w:right="104"/>
        <w:jc w:val="both"/>
      </w:pPr>
      <w:r>
        <w:rPr/>
        <w:t>Art. 1° Aprovar, na forma dos resumos constantes nos Anexos desta Resolução, o Plano de Ação e Orçamento, contemplando os aportes financeiros para o Fundo de Apoio Financeiro aos CAU/UF e para o Centro de Serviços Compartilhados (CSC), referentes ao Exercício de 2019, do Conselho de Arquitetura e Urbanismo do Brasil (CAU/BR).</w:t>
      </w:r>
    </w:p>
    <w:p>
      <w:pPr>
        <w:pStyle w:val="BodyText"/>
        <w:spacing w:before="2"/>
      </w:pPr>
    </w:p>
    <w:p>
      <w:pPr>
        <w:pStyle w:val="BodyText"/>
        <w:ind w:left="220" w:right="101"/>
        <w:jc w:val="both"/>
      </w:pPr>
      <w:r>
        <w:rPr/>
        <w:t>Art. 2° Homologar, na forma dos resumos constantes nos Anexos desta Resolução, os Planos de Ação e Orçamentos, contemplando os aportes financeiros para o Fundo de Apoio Financeiro aos CAU/UF e para o Centro de Serviços Compartilhados (CSC), referentes ao Exercício de 2019, </w:t>
      </w:r>
      <w:r>
        <w:rPr>
          <w:spacing w:val="2"/>
        </w:rPr>
        <w:t>dos </w:t>
      </w:r>
      <w:r>
        <w:rPr/>
        <w:t>Conselhos de Arquitetura e Urbanismo dos Estados e do Distrito Federal</w:t>
      </w:r>
      <w:r>
        <w:rPr>
          <w:spacing w:val="-5"/>
        </w:rPr>
        <w:t> </w:t>
      </w:r>
      <w:r>
        <w:rPr/>
        <w:t>(CAU/UF).</w:t>
      </w:r>
    </w:p>
    <w:p>
      <w:pPr>
        <w:pStyle w:val="BodyText"/>
      </w:pPr>
    </w:p>
    <w:p>
      <w:pPr>
        <w:pStyle w:val="BodyText"/>
        <w:spacing w:before="1"/>
        <w:ind w:left="220" w:right="107"/>
        <w:jc w:val="both"/>
      </w:pPr>
      <w:r>
        <w:rPr/>
        <w:t>Art. 3° O Plano de Ação e Orçamento do CAU, contemplando os detalhamentos dos Planos de Ação e Orçamentos do Conselho de Arquitetura e Urbanismo do Brasil (CAU/BR) e dos Conselhos de Arquitetura e Urbanismo dos Estados e do Distrito Federal (CAU/UF), será publicado no sítio eletrônico do CAU/BR, no endereço </w:t>
      </w:r>
      <w:hyperlink r:id="rId7">
        <w:r>
          <w:rPr>
            <w:u w:val="single"/>
          </w:rPr>
          <w:t>www.caubr.gov.br</w:t>
        </w:r>
      </w:hyperlink>
      <w:r>
        <w:rPr/>
        <w:t>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220"/>
      </w:pPr>
      <w:r>
        <w:rPr/>
        <w:t>Art. 4º Esta Resolução entra em vigor na data de sua publicação.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1" w:right="458"/>
        <w:jc w:val="center"/>
      </w:pPr>
      <w:r>
        <w:rPr/>
        <w:t>Brasília, 13 de dezembro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572" w:right="458"/>
        <w:jc w:val="center"/>
      </w:pPr>
      <w:r>
        <w:rPr/>
        <w:t>LUCIANO GUIMARÃES</w:t>
      </w:r>
    </w:p>
    <w:p>
      <w:pPr>
        <w:pStyle w:val="BodyText"/>
        <w:spacing w:line="250" w:lineRule="exact"/>
        <w:ind w:left="571" w:right="458"/>
        <w:jc w:val="center"/>
      </w:pPr>
      <w:r>
        <w:rPr/>
        <w:t>Presidente do CAU/BR</w:t>
      </w:r>
    </w:p>
    <w:p>
      <w:pPr>
        <w:spacing w:after="0" w:line="250" w:lineRule="exact"/>
        <w:jc w:val="center"/>
        <w:sectPr>
          <w:headerReference w:type="default" r:id="rId5"/>
          <w:footerReference w:type="default" r:id="rId6"/>
          <w:type w:val="continuous"/>
          <w:pgSz w:w="11900" w:h="16850"/>
          <w:pgMar w:header="568" w:footer="1648" w:top="1480" w:bottom="1840" w:left="1340" w:right="1160"/>
          <w:pgNumType w:start="1"/>
        </w:sectPr>
      </w:pPr>
    </w:p>
    <w:p>
      <w:pPr>
        <w:pStyle w:val="Heading1"/>
        <w:spacing w:before="81"/>
        <w:ind w:left="572" w:right="458"/>
        <w:jc w:val="center"/>
      </w:pPr>
      <w:r>
        <w:rPr/>
        <w:t>RESOLUÇÃO N° 173, DE 13 DE DEZEMBRO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line="252" w:lineRule="exact" w:before="0"/>
        <w:ind w:left="571" w:right="458" w:firstLine="0"/>
        <w:jc w:val="center"/>
        <w:rPr>
          <w:b/>
          <w:sz w:val="22"/>
        </w:rPr>
      </w:pPr>
      <w:r>
        <w:rPr>
          <w:b/>
          <w:sz w:val="22"/>
        </w:rPr>
        <w:t>ANEXO I</w:t>
      </w:r>
    </w:p>
    <w:p>
      <w:pPr>
        <w:spacing w:line="252" w:lineRule="exact" w:before="0"/>
        <w:ind w:left="574" w:right="458" w:firstLine="0"/>
        <w:jc w:val="center"/>
        <w:rPr>
          <w:b/>
          <w:sz w:val="22"/>
        </w:rPr>
      </w:pPr>
      <w:r>
        <w:rPr>
          <w:b/>
          <w:sz w:val="22"/>
        </w:rPr>
        <w:t>PLANO DE AÇÃO E ORÇAMENTO DO CAU/BR – EXERCÍCIO 2019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46.528.340,00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46.582.340,00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14.194.611,00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14.194.611,00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60.722.951</w:t>
            </w:r>
            <w:r>
              <w:rPr>
                <w:sz w:val="22"/>
              </w:rPr>
              <w:t>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60.722.951,00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252" w:lineRule="exact" w:before="0"/>
        <w:ind w:left="572" w:right="458" w:firstLine="0"/>
        <w:jc w:val="center"/>
        <w:rPr>
          <w:b/>
          <w:sz w:val="22"/>
        </w:rPr>
      </w:pPr>
      <w:r>
        <w:rPr>
          <w:b/>
          <w:sz w:val="22"/>
        </w:rPr>
        <w:t>ANEXO II</w:t>
      </w:r>
    </w:p>
    <w:p>
      <w:pPr>
        <w:spacing w:line="722" w:lineRule="auto" w:before="0"/>
        <w:ind w:left="220" w:right="1028" w:firstLine="938"/>
        <w:jc w:val="left"/>
        <w:rPr>
          <w:b/>
          <w:sz w:val="22"/>
        </w:rPr>
      </w:pPr>
      <w:r>
        <w:rPr/>
        <w:pict>
          <v:shape style="position:absolute;margin-left:72.384003pt;margin-top:50.739525pt;width:433.05pt;height:53.2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1"/>
                    <w:gridCol w:w="2163"/>
                    <w:gridCol w:w="2161"/>
                    <w:gridCol w:w="2164"/>
                  </w:tblGrid>
                  <w:tr>
                    <w:trPr>
                      <w:trHeight w:val="254" w:hRule="atLeast"/>
                    </w:trPr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ind w:left="80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RECEITAS</w:t>
                        </w:r>
                      </w:p>
                    </w:tc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left="122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R$</w:t>
                        </w:r>
                      </w:p>
                    </w:tc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ind w:left="8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DESPESAS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ind w:left="122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Receita Corrente</w:t>
                        </w:r>
                      </w:p>
                    </w:tc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1.147.708,00</w:t>
                        </w:r>
                      </w:p>
                    </w:tc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Despesa Corrente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1.147.708,00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Receita Capital</w:t>
                        </w:r>
                      </w:p>
                    </w:tc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50.000,00</w:t>
                        </w:r>
                      </w:p>
                    </w:tc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Despesa Capital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50.000,00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1.197.708,00</w:t>
                        </w:r>
                      </w:p>
                    </w:tc>
                    <w:tc>
                      <w:tcPr>
                        <w:tcW w:w="2161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1.197.708,00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PLANOS DE AÇÃO E ORÇAMENTOS DOS CAU/UF – EXERCÍCIO 2019 CAU/AC - PROGRAMAÇÃO ORÇAMENTÁRIA – 2019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CAU/AL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1.228.807,00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1.228.807,00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1.408.807,00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1.408.807,00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CAU/AP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1.147.560,00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1.147.560,00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328.440,00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328.440,00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1.476.000,00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1.476.000,00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CAU/AM - PROGRAMAÇÃO ORÇAMENTÁRIA – 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1.257.462,00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1.257.462,00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14.600,00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14.600,00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1.272.062,00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1.272.062,00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CAU/BA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spacing w:line="235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5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5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5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3.377.426,00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3.377.426,00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2.260.000,00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2.260.000,00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5.637.426,00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5.637.426,00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CAU/CE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2.047.242,00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2.047.242,00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961.151,00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961.151,00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3.008.393,00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3.008.393,00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8"/>
          <w:pgSz w:w="11900" w:h="16850"/>
          <w:pgMar w:footer="1408" w:header="568" w:top="1480" w:bottom="1600" w:left="1340" w:right="1160"/>
          <w:pgNumType w:start="2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2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CAU/DF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3.607.304,00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3.548.189,00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800.000,00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859.115,00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4.407.304,00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4.407.304,00</w:t>
            </w: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spacing w:before="0" w:after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CAU/ES - PROGRAMAÇÃO ORÇAMENTÁRIA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2.605.284,00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2.605.284,00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2.805.284,00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2.805.284,00</w:t>
            </w:r>
          </w:p>
        </w:tc>
      </w:tr>
    </w:tbl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CAU/GO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3.823.228,00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3.823.228,00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3.973.228,00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3.973.228,00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CAU/MA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1.210.860,00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1.210.860,00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1.210.860,00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1.210.860,00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 w:after="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CAU/MS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3.180.381,00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3.180.381,00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3.380.381,00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3.380.381,00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CAU/MG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9.434.745,00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9.404.745,00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9.434.745,00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9.434.745,00</w:t>
            </w: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spacing w:before="0" w:after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CAU/MT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3.104.695,00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5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3.104.695,00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3.144.695,00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3.144.695,00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CAU/PA - PROGRAMAÇÃO ORÇAMENTÁRIA – 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1.565.427,00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1.565.427,00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850.000,00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850.000,00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2.415.427,00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2.415.427,00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408" w:top="1480" w:bottom="1840" w:left="1340" w:right="116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2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CAU/PB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1.750.821,00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1.750.821,00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16.000,00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1.766.821,00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1.766.821,00</w:t>
            </w: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spacing w:before="0" w:after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CAU/PE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3.230.000,00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3.230.000,00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760.000,00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760.000,00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3.990.000,00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3.990.000,00</w:t>
            </w:r>
          </w:p>
        </w:tc>
      </w:tr>
    </w:tbl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CAU/PI - PROGRAMAÇÃO ORÇAMENTÁRIA – 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1.234.628,00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1.234.628,00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140.000,00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140.000,00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1.374.628,00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1.374.628,00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CAU/PR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10.924.704,00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10.924.704,00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6.434.500,00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6.434.500,00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17.359.204,00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17.359.204,00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 w:after="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CAU/RJ - PROGRAMAÇÃO ORÇAMENTÁRIA –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12.300.266,00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12.300.266,00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13.300.266,00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13.300.266,00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CAU/RN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1.569.805,00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1.569.805,00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270.000,00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1.839.805,00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1.839.805,00</w:t>
            </w: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spacing w:before="0" w:after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CAU/RO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1.174.435,00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5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1.174.435,00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80.000,00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1.254.435,00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1.254.435,00</w:t>
            </w:r>
          </w:p>
        </w:tc>
      </w:tr>
    </w:tbl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CAU/RR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1.117.289,00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1.117.289,00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1.157.289,00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1.157.289,00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408" w:top="1480" w:bottom="1840" w:left="1340" w:right="116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2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CAU/RS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16.788.753,00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16.788.753,00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5.994.900,00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5.994.900,00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22.783.653,00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22.783.653,00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CAU/SC - PROGRAMAÇÃO ORÇAMENTÁRIA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3" w:lineRule="exact" w:before="1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3" w:lineRule="exact" w:before="1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3" w:lineRule="exact" w:before="1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8.791.421,00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8.791.421,00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5.959.935,00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5.959.935,00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14.751.356,00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14.751.356,00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CAU/SE - PROGRAMAÇÃO ORÇAMENTÁRIA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2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1.241.474,00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1.241.474,00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1.266.474,00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1.266.474,00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CAU/SP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65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650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67" w:right="80"/>
              <w:jc w:val="center"/>
              <w:rPr>
                <w:sz w:val="22"/>
              </w:rPr>
            </w:pPr>
            <w:r>
              <w:rPr>
                <w:sz w:val="22"/>
              </w:rPr>
              <w:t>46.934.895,00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767" w:right="82"/>
              <w:jc w:val="center"/>
              <w:rPr>
                <w:sz w:val="22"/>
              </w:rPr>
            </w:pPr>
            <w:r>
              <w:rPr>
                <w:sz w:val="22"/>
              </w:rPr>
              <w:t>46.934.895,00</w:t>
            </w:r>
          </w:p>
        </w:tc>
      </w:tr>
      <w:tr>
        <w:trPr>
          <w:trHeight w:val="253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left="767" w:right="80"/>
              <w:jc w:val="center"/>
              <w:rPr>
                <w:sz w:val="22"/>
              </w:rPr>
            </w:pPr>
            <w:r>
              <w:rPr>
                <w:sz w:val="22"/>
              </w:rPr>
              <w:t>40.000.000,00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left="767" w:right="82"/>
              <w:jc w:val="center"/>
              <w:rPr>
                <w:sz w:val="22"/>
              </w:rPr>
            </w:pPr>
            <w:r>
              <w:rPr>
                <w:sz w:val="22"/>
              </w:rPr>
              <w:t>40.000.000,00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left="767" w:right="80"/>
              <w:jc w:val="center"/>
              <w:rPr>
                <w:sz w:val="22"/>
              </w:rPr>
            </w:pPr>
            <w:r>
              <w:rPr>
                <w:sz w:val="22"/>
              </w:rPr>
              <w:t>86.934.895,00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left="767" w:right="82"/>
              <w:jc w:val="center"/>
              <w:rPr>
                <w:sz w:val="22"/>
              </w:rPr>
            </w:pPr>
            <w:r>
              <w:rPr>
                <w:sz w:val="22"/>
              </w:rPr>
              <w:t>86.934.895,00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CAU/TO - PROGRAMAÇÃO ORÇAMENTÁRIA – 2019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2163"/>
        <w:gridCol w:w="2161"/>
        <w:gridCol w:w="2164"/>
      </w:tblGrid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801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163" w:type="dxa"/>
          </w:tcPr>
          <w:p>
            <w:pPr>
              <w:pStyle w:val="TableParagraph"/>
              <w:ind w:left="1228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164" w:type="dxa"/>
          </w:tcPr>
          <w:p>
            <w:pPr>
              <w:pStyle w:val="TableParagraph"/>
              <w:ind w:left="1227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1.180.000,00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164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1.180.000,00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</w:tr>
      <w:tr>
        <w:trPr>
          <w:trHeight w:val="254" w:hRule="atLeast"/>
        </w:trPr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1.880.000,00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1.880.000,00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3528" w:right="392" w:hanging="2437"/>
        <w:jc w:val="left"/>
        <w:rPr>
          <w:b/>
          <w:sz w:val="22"/>
        </w:rPr>
      </w:pPr>
      <w:r>
        <w:rPr>
          <w:b/>
          <w:sz w:val="22"/>
        </w:rPr>
        <w:t>ANEXO III - FUNDO DE APOIO FINANCEIRO AOS CAU/UF EXERCÍCIO 2019 APORTES CAU/BR E CAU/UF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3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ind w:left="861" w:right="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(R$ )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7.375,00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24.599,00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9" w:right="126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23.770,00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9.639,00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spacing w:line="235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046" w:type="dxa"/>
          </w:tcPr>
          <w:p>
            <w:pPr>
              <w:pStyle w:val="TableParagraph"/>
              <w:spacing w:line="235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62.980,00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40.357,00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DF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68.681,00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51.309,00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GO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75.424,00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2" w:right="126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19.618,00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2" w:right="126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177.710,00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3" w:right="126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63.563,00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65.150,00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32.888,00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33.533,00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568" w:footer="1408" w:top="1480" w:bottom="1600" w:left="1340" w:right="116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61.712,00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4" w:right="126"/>
              <w:jc w:val="center"/>
              <w:rPr>
                <w:sz w:val="22"/>
              </w:rPr>
            </w:pPr>
            <w:r>
              <w:rPr>
                <w:sz w:val="22"/>
              </w:rPr>
              <w:t>PI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17.406,00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216.126,00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6" w:right="126"/>
              <w:jc w:val="center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225.308,00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32.494,00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RO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20.473,00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4.020,00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302.329,00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175.297,00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21.284,00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852.238,00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14.220,00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674.876,00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ind w:left="826" w:right="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3.374.379,00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1"/>
        <w:ind w:left="1146" w:right="458" w:firstLine="0"/>
        <w:jc w:val="center"/>
        <w:rPr>
          <w:b/>
          <w:sz w:val="22"/>
        </w:rPr>
      </w:pPr>
      <w:r>
        <w:rPr>
          <w:b/>
          <w:sz w:val="22"/>
        </w:rPr>
        <w:t>ANEXO IV - CENTRO DE SERVIÇOS COMPARTILHADOS EXERCÍCIO 2019 APORTES CAU/BR E CAU/UF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41" w:right="458" w:firstLine="0"/>
        <w:jc w:val="center"/>
        <w:rPr>
          <w:b/>
          <w:sz w:val="22"/>
        </w:rPr>
      </w:pPr>
      <w:r>
        <w:rPr>
          <w:b/>
          <w:sz w:val="22"/>
        </w:rPr>
        <w:t>SERVIÇOS ESSENCIAIS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spacing w:line="233" w:lineRule="exact" w:before="1"/>
              <w:ind w:left="123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spacing w:line="233" w:lineRule="exact" w:before="1"/>
              <w:ind w:left="861" w:right="8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(R$)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21.359,00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68.286,00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9" w:right="126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66.718,00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25.905,00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210.541,00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117.022,00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DF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257.198,00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171.295,00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GO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224.870,00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2" w:right="126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56.443,00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2" w:right="126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648.704,00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3" w:right="126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178.914,00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204.044,00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99.640,00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94.007,00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179.746,00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4" w:right="126"/>
              <w:jc w:val="center"/>
              <w:rPr>
                <w:sz w:val="22"/>
              </w:rPr>
            </w:pPr>
            <w:r>
              <w:rPr>
                <w:sz w:val="22"/>
              </w:rPr>
              <w:t>PI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48.019,00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669.374,00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6" w:right="126"/>
              <w:jc w:val="center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831.444,00</w:t>
            </w:r>
          </w:p>
        </w:tc>
      </w:tr>
      <w:tr>
        <w:trPr>
          <w:trHeight w:val="252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91.480,00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RO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59.989,00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10.848,00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859.262,00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539.628,00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57.979,00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ind w:left="826" w:right="815"/>
              <w:jc w:val="center"/>
              <w:rPr>
                <w:sz w:val="22"/>
              </w:rPr>
            </w:pPr>
            <w:r>
              <w:rPr>
                <w:sz w:val="22"/>
              </w:rPr>
              <w:t>2.782.637,00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40.417,00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left="826" w:right="815"/>
              <w:jc w:val="center"/>
              <w:rPr>
                <w:sz w:val="22"/>
              </w:rPr>
            </w:pPr>
            <w:r>
              <w:rPr>
                <w:sz w:val="22"/>
              </w:rPr>
              <w:t>1.749.448,00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7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10.365.217,00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header="568" w:footer="1408" w:top="1480" w:bottom="1820" w:left="1340" w:right="116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2"/>
        <w:ind w:left="1141" w:right="458" w:firstLine="0"/>
        <w:jc w:val="center"/>
        <w:rPr>
          <w:b/>
          <w:sz w:val="22"/>
        </w:rPr>
      </w:pPr>
      <w:r>
        <w:rPr>
          <w:b/>
          <w:sz w:val="22"/>
        </w:rPr>
        <w:t>SERVIÇOS POR ADESÃO – SISCAF*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7" w:right="126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15.320,00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2" w:right="126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83.195,00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15.799,00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1" w:right="126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13.422,00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7.580,00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358.879,00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ind w:left="827" w:right="815"/>
              <w:jc w:val="center"/>
              <w:rPr>
                <w:sz w:val="22"/>
              </w:rPr>
            </w:pPr>
            <w:r>
              <w:rPr>
                <w:sz w:val="22"/>
              </w:rPr>
              <w:t>4.567,00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28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left="827" w:right="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498.762,00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39" w:right="458"/>
        <w:jc w:val="center"/>
      </w:pPr>
      <w:r>
        <w:rPr/>
        <w:t>*Conforme os planos de ação 2019 apresentados pelos estados.</w:t>
      </w:r>
    </w:p>
    <w:p>
      <w:pPr>
        <w:pStyle w:val="BodyText"/>
        <w:spacing w:before="6"/>
      </w:pPr>
    </w:p>
    <w:p>
      <w:pPr>
        <w:pStyle w:val="Heading1"/>
        <w:ind w:left="1141" w:right="458"/>
        <w:jc w:val="center"/>
      </w:pPr>
      <w:r>
        <w:rPr/>
        <w:t>SERVIÇOS POR ADESÃO – SGI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right="1013"/>
              <w:jc w:val="right"/>
              <w:rPr>
                <w:sz w:val="22"/>
              </w:rPr>
            </w:pPr>
            <w:r>
              <w:rPr>
                <w:sz w:val="22"/>
              </w:rPr>
              <w:t>140.519,00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1013"/>
              <w:jc w:val="right"/>
              <w:rPr>
                <w:sz w:val="22"/>
              </w:rPr>
            </w:pPr>
            <w:r>
              <w:rPr>
                <w:sz w:val="22"/>
              </w:rPr>
              <w:t>205.057,00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30" w:right="126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</w:tcPr>
          <w:p>
            <w:pPr>
              <w:pStyle w:val="TableParagraph"/>
              <w:ind w:right="1013"/>
              <w:jc w:val="right"/>
              <w:rPr>
                <w:sz w:val="22"/>
              </w:rPr>
            </w:pPr>
            <w:r>
              <w:rPr>
                <w:sz w:val="22"/>
              </w:rPr>
              <w:t>190.595,00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28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ind w:right="10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536.161,00</w:t>
            </w:r>
          </w:p>
        </w:tc>
      </w:tr>
    </w:tbl>
    <w:sectPr>
      <w:footerReference w:type="default" r:id="rId9"/>
      <w:pgSz w:w="11900" w:h="16850"/>
      <w:pgMar w:footer="1761" w:header="568" w:top="1480" w:bottom="1960" w:left="1340" w:right="116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527">
          <wp:simplePos x="0" y="0"/>
          <wp:positionH relativeFrom="page">
            <wp:posOffset>0</wp:posOffset>
          </wp:positionH>
          <wp:positionV relativeFrom="page">
            <wp:posOffset>9913101</wp:posOffset>
          </wp:positionV>
          <wp:extent cx="7522209" cy="44092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2209" cy="44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863998pt;margin-top:748.618103pt;width:408.35pt;height:14.25pt;mso-position-horizontal-relative:page;mso-position-vertical-relative:page;z-index:-489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(Publicada no Diário Oficial da União, Edição n° 245, Seção 1, de 21 de dezembro de 2018)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359985pt;margin-top:748.988525pt;width:9.050pt;height:12.1pt;mso-position-horizontal-relative:page;mso-position-vertical-relative:page;z-index:-4888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599">
          <wp:simplePos x="0" y="0"/>
          <wp:positionH relativeFrom="page">
            <wp:posOffset>0</wp:posOffset>
          </wp:positionH>
          <wp:positionV relativeFrom="page">
            <wp:posOffset>9913101</wp:posOffset>
          </wp:positionV>
          <wp:extent cx="7522209" cy="440925"/>
          <wp:effectExtent l="0" t="0" r="0" b="0"/>
          <wp:wrapNone/>
          <wp:docPr id="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2209" cy="44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2.359985pt;margin-top:748.988525pt;width:9.050pt;height:12.1pt;mso-position-horizontal-relative:page;mso-position-vertical-relative:page;z-index:-4883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647">
          <wp:simplePos x="0" y="0"/>
          <wp:positionH relativeFrom="page">
            <wp:posOffset>0</wp:posOffset>
          </wp:positionH>
          <wp:positionV relativeFrom="page">
            <wp:posOffset>9913101</wp:posOffset>
          </wp:positionV>
          <wp:extent cx="7522209" cy="44092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2209" cy="44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2.863998pt;margin-top:742.978088pt;width:408.35pt;height:14.25pt;mso-position-horizontal-relative:page;mso-position-vertical-relative:page;z-index:-487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(Publicada no Diário Oficial da União, Edição n° 245, Seção 1, de 21 de dezembro de 2018)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359985pt;margin-top:748.988525pt;width:9.050pt;height:12.1pt;mso-position-horizontal-relative:page;mso-position-vertical-relative:page;z-index:-4876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6503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ubr.gov.br/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2019-04-23T15:20:08Z</dcterms:created>
  <dcterms:modified xsi:type="dcterms:W3CDTF">2019-04-23T15:20:08Z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