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"/>
        <w:rPr>
          <w:i w:val="0"/>
          <w:sz w:val="19"/>
        </w:rPr>
      </w:pPr>
    </w:p>
    <w:p>
      <w:pPr>
        <w:pStyle w:val="Heading1"/>
        <w:ind w:left="4025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84455</wp:posOffset>
            </wp:positionH>
            <wp:positionV relativeFrom="paragraph">
              <wp:posOffset>-718912</wp:posOffset>
            </wp:positionV>
            <wp:extent cx="7471537" cy="58486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537" cy="58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170, DE 17 DE AGOSTO DE 2018</w:t>
      </w:r>
    </w:p>
    <w:p>
      <w:pPr>
        <w:pStyle w:val="BodyText"/>
        <w:spacing w:before="7"/>
        <w:rPr>
          <w:b/>
          <w:i w:val="0"/>
          <w:sz w:val="21"/>
        </w:rPr>
      </w:pPr>
    </w:p>
    <w:p>
      <w:pPr>
        <w:spacing w:before="0"/>
        <w:ind w:left="6805" w:right="1129" w:firstLine="0"/>
        <w:jc w:val="both"/>
        <w:rPr>
          <w:sz w:val="22"/>
        </w:rPr>
      </w:pPr>
      <w:r>
        <w:rPr>
          <w:sz w:val="22"/>
        </w:rPr>
        <w:t>Altera a Resolução nº 121 e dispõe sobre o desconto para pagamento à vista das anuidades pessoa física e jurídica.</w:t>
      </w:r>
    </w:p>
    <w:p>
      <w:pPr>
        <w:pStyle w:val="BodyText"/>
        <w:spacing w:before="10"/>
        <w:rPr>
          <w:i w:val="0"/>
          <w:sz w:val="21"/>
        </w:rPr>
      </w:pPr>
    </w:p>
    <w:p>
      <w:pPr>
        <w:spacing w:before="0"/>
        <w:ind w:left="1702" w:right="0" w:firstLine="0"/>
        <w:jc w:val="left"/>
        <w:rPr>
          <w:sz w:val="22"/>
        </w:rPr>
      </w:pPr>
      <w:r>
        <w:rPr>
          <w:sz w:val="22"/>
        </w:rPr>
        <w:t>O PLENÁRIO DO CONSELHO DE ARQUITETURA E URBANISMO DO BRASIL - CAU/BR no</w:t>
      </w:r>
    </w:p>
    <w:p>
      <w:pPr>
        <w:spacing w:before="2"/>
        <w:ind w:left="1702" w:right="1134" w:firstLine="0"/>
        <w:jc w:val="both"/>
        <w:rPr>
          <w:sz w:val="22"/>
        </w:rPr>
      </w:pPr>
      <w:r>
        <w:rPr>
          <w:sz w:val="22"/>
        </w:rPr>
        <w:t>exercício das competências e prerrogativas de que tratam os artigos 2°, 4° e 30 do Regimento Interno do CAU/BR, reunido ordinariamente em Brasília/DF no dia 17 de agosto de 2018, e de acordo com a deliberação adotada na Reunião Plenária Ampliada n° 26, realizada no dia 17 de agosto de 2018,</w:t>
      </w:r>
    </w:p>
    <w:p>
      <w:pPr>
        <w:pStyle w:val="BodyText"/>
        <w:spacing w:before="3"/>
        <w:rPr>
          <w:i w:val="0"/>
        </w:rPr>
      </w:pPr>
    </w:p>
    <w:p>
      <w:pPr>
        <w:spacing w:before="0"/>
        <w:ind w:left="1702" w:right="0" w:firstLine="0"/>
        <w:jc w:val="left"/>
        <w:rPr>
          <w:b/>
          <w:sz w:val="22"/>
        </w:rPr>
      </w:pPr>
      <w:r>
        <w:rPr>
          <w:b/>
          <w:sz w:val="22"/>
        </w:rPr>
        <w:t>RESOLVE:</w:t>
      </w:r>
    </w:p>
    <w:p>
      <w:pPr>
        <w:pStyle w:val="BodyText"/>
        <w:spacing w:before="9"/>
        <w:rPr>
          <w:b/>
          <w:i w:val="0"/>
          <w:sz w:val="21"/>
        </w:rPr>
      </w:pPr>
    </w:p>
    <w:p>
      <w:pPr>
        <w:spacing w:before="0"/>
        <w:ind w:left="1702" w:right="1178" w:firstLine="0"/>
        <w:jc w:val="left"/>
        <w:rPr>
          <w:sz w:val="22"/>
        </w:rPr>
      </w:pPr>
      <w:r>
        <w:rPr>
          <w:sz w:val="22"/>
        </w:rPr>
        <w:t>Art. 1º A Resolução nº 121 CAU/BR, de 19 de agosto de 2016, passa a vigorar com a seguinte redação:</w:t>
      </w:r>
    </w:p>
    <w:p>
      <w:pPr>
        <w:pStyle w:val="BodyText"/>
        <w:rPr>
          <w:i w:val="0"/>
          <w:sz w:val="24"/>
        </w:rPr>
      </w:pPr>
    </w:p>
    <w:p>
      <w:pPr>
        <w:pStyle w:val="BodyText"/>
        <w:spacing w:before="7"/>
        <w:rPr>
          <w:i w:val="0"/>
          <w:sz w:val="20"/>
        </w:rPr>
      </w:pPr>
    </w:p>
    <w:p>
      <w:pPr>
        <w:pStyle w:val="BodyText"/>
        <w:ind w:left="2834" w:right="988"/>
      </w:pPr>
      <w:r>
        <w:rPr>
          <w:i/>
        </w:rPr>
        <w:t>Art. 2º Na fixação dos valores de anuidades, inclusive nos casos em que haja interrupção </w:t>
      </w:r>
      <w:r>
        <w:rPr/>
        <w:t>de registro, serão observadas as seguintes regras:</w:t>
      </w:r>
    </w:p>
    <w:p>
      <w:pPr>
        <w:pStyle w:val="BodyText"/>
        <w:spacing w:before="11"/>
        <w:rPr>
          <w:i/>
          <w:sz w:val="21"/>
        </w:rPr>
      </w:pPr>
    </w:p>
    <w:p>
      <w:pPr>
        <w:pStyle w:val="BodyText"/>
        <w:ind w:left="2834"/>
        <w:rPr>
          <w:i/>
        </w:rPr>
      </w:pPr>
      <w:r>
        <w:rPr>
          <w:i/>
        </w:rPr>
        <w:t>[...]</w:t>
      </w:r>
    </w:p>
    <w:p>
      <w:pPr>
        <w:pStyle w:val="BodyText"/>
        <w:rPr>
          <w:i/>
        </w:rPr>
      </w:pPr>
    </w:p>
    <w:p>
      <w:pPr>
        <w:pStyle w:val="BodyText"/>
        <w:ind w:left="2834" w:right="1178"/>
      </w:pPr>
      <w:r>
        <w:rPr>
          <w:i/>
        </w:rPr>
        <w:t>V – o valor da anuidade, com redução de 50% (cinquenta por cento), será devido pelos </w:t>
      </w:r>
      <w:r>
        <w:rPr/>
        <w:t>arquitetos e urbanistas:</w:t>
      </w:r>
    </w:p>
    <w:p>
      <w:pPr>
        <w:pStyle w:val="ListParagraph"/>
        <w:numPr>
          <w:ilvl w:val="0"/>
          <w:numId w:val="1"/>
        </w:numPr>
        <w:tabs>
          <w:tab w:pos="3073" w:val="left" w:leader="none"/>
        </w:tabs>
        <w:spacing w:line="252" w:lineRule="exact" w:before="1" w:after="0"/>
        <w:ind w:left="3072" w:right="0" w:hanging="238"/>
        <w:jc w:val="left"/>
        <w:rPr>
          <w:i/>
          <w:sz w:val="22"/>
        </w:rPr>
      </w:pPr>
      <w:r>
        <w:rPr>
          <w:i/>
          <w:sz w:val="22"/>
        </w:rPr>
        <w:t>que tenham até 2 (dois) anos 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formado;</w:t>
      </w:r>
    </w:p>
    <w:p>
      <w:pPr>
        <w:pStyle w:val="ListParagraph"/>
        <w:numPr>
          <w:ilvl w:val="0"/>
          <w:numId w:val="1"/>
        </w:numPr>
        <w:tabs>
          <w:tab w:pos="3073" w:val="left" w:leader="none"/>
        </w:tabs>
        <w:spacing w:line="252" w:lineRule="exact" w:before="0" w:after="0"/>
        <w:ind w:left="3072" w:right="0" w:hanging="238"/>
        <w:jc w:val="left"/>
        <w:rPr>
          <w:i/>
          <w:sz w:val="22"/>
        </w:rPr>
      </w:pPr>
      <w:r>
        <w:rPr>
          <w:i/>
          <w:sz w:val="22"/>
        </w:rPr>
        <w:t>que tenham completado 30 (trinta) anos de formado;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e</w:t>
      </w:r>
    </w:p>
    <w:p>
      <w:pPr>
        <w:pStyle w:val="ListParagraph"/>
        <w:numPr>
          <w:ilvl w:val="0"/>
          <w:numId w:val="1"/>
        </w:numPr>
        <w:tabs>
          <w:tab w:pos="3068" w:val="left" w:leader="none"/>
        </w:tabs>
        <w:spacing w:line="240" w:lineRule="auto" w:before="1" w:after="0"/>
        <w:ind w:left="2834" w:right="1131" w:firstLine="0"/>
        <w:jc w:val="left"/>
        <w:rPr>
          <w:i/>
          <w:sz w:val="22"/>
        </w:rPr>
      </w:pPr>
      <w:r>
        <w:rPr>
          <w:i/>
          <w:sz w:val="22"/>
        </w:rPr>
        <w:t>por pessoas jurídicas com até 2 (dois) anos de registro no CAU e cujo sócio arquiteto </w:t>
      </w:r>
      <w:r>
        <w:rPr>
          <w:i/>
          <w:sz w:val="22"/>
        </w:rPr>
        <w:t>e urbanista tenha até 2 (dois) anos de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formado.</w:t>
      </w:r>
    </w:p>
    <w:p>
      <w:pPr>
        <w:pStyle w:val="BodyText"/>
        <w:rPr>
          <w:i/>
        </w:rPr>
      </w:pPr>
    </w:p>
    <w:p>
      <w:pPr>
        <w:pStyle w:val="BodyText"/>
        <w:ind w:left="2834"/>
        <w:rPr>
          <w:i/>
        </w:rPr>
      </w:pPr>
      <w:r>
        <w:rPr>
          <w:i/>
        </w:rPr>
        <w:t>[...]</w:t>
      </w:r>
    </w:p>
    <w:p>
      <w:pPr>
        <w:pStyle w:val="BodyText"/>
        <w:rPr>
          <w:i/>
        </w:rPr>
      </w:pPr>
    </w:p>
    <w:p>
      <w:pPr>
        <w:pStyle w:val="BodyText"/>
        <w:ind w:left="2834" w:right="1178"/>
      </w:pPr>
      <w:r>
        <w:rPr>
          <w:i/>
        </w:rPr>
        <w:t>Art. 4° Assegurados os benefícios previstos no art. 2°, a anuidade do exercício poderá </w:t>
      </w:r>
      <w:r>
        <w:rPr/>
        <w:t>ser paga nos seguintes prazos e</w:t>
      </w:r>
      <w:r>
        <w:rPr>
          <w:spacing w:val="-5"/>
        </w:rPr>
        <w:t> </w:t>
      </w:r>
      <w:r>
        <w:rPr/>
        <w:t>condições: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3015" w:val="left" w:leader="none"/>
        </w:tabs>
        <w:spacing w:line="240" w:lineRule="auto" w:before="0" w:after="0"/>
        <w:ind w:left="2834" w:right="1134" w:firstLine="0"/>
        <w:jc w:val="left"/>
        <w:rPr>
          <w:i/>
          <w:sz w:val="22"/>
        </w:rPr>
      </w:pPr>
      <w:r>
        <w:rPr>
          <w:i/>
          <w:sz w:val="22"/>
        </w:rPr>
        <w:t>– de forma integral, com desconto de 10% (dez por cento), até 31 de janeiro do </w:t>
      </w:r>
      <w:r>
        <w:rPr>
          <w:i/>
          <w:sz w:val="22"/>
        </w:rPr>
        <w:t>respectivo exercício, ou, não sendo este dia útil, até o primeiro dia útil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subsequente;</w:t>
      </w:r>
    </w:p>
    <w:p>
      <w:pPr>
        <w:pStyle w:val="BodyText"/>
        <w:spacing w:before="11"/>
        <w:rPr>
          <w:i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087" w:val="left" w:leader="none"/>
        </w:tabs>
        <w:spacing w:line="240" w:lineRule="auto" w:before="0" w:after="0"/>
        <w:ind w:left="2834" w:right="1134" w:firstLine="0"/>
        <w:jc w:val="both"/>
        <w:rPr>
          <w:i/>
          <w:sz w:val="22"/>
        </w:rPr>
      </w:pPr>
      <w:r>
        <w:rPr>
          <w:i/>
          <w:sz w:val="22"/>
        </w:rPr>
        <w:t>– de forma integral, com desconto de 5% (cinco por cento), até o último dia de </w:t>
      </w:r>
      <w:r>
        <w:rPr>
          <w:i/>
          <w:sz w:val="22"/>
        </w:rPr>
        <w:t>fevereiro do respectivo exercício, ou, não sendo este dia útil, até o primeiro dia útil subsequente, para anuidades de pessoas físicas;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3159" w:val="left" w:leader="none"/>
        </w:tabs>
        <w:spacing w:line="240" w:lineRule="auto" w:before="1" w:after="0"/>
        <w:ind w:left="2834" w:right="1133" w:firstLine="0"/>
        <w:jc w:val="both"/>
        <w:rPr>
          <w:i/>
          <w:sz w:val="22"/>
        </w:rPr>
      </w:pPr>
      <w:r>
        <w:rPr>
          <w:i/>
          <w:sz w:val="22"/>
        </w:rPr>
        <w:t>– em até cinco parcelas, iguais e sucessivas, sem desconto, com vencimentos no </w:t>
      </w:r>
      <w:r>
        <w:rPr>
          <w:i/>
          <w:sz w:val="22"/>
        </w:rPr>
        <w:t>último dia dos meses de janeiro, fevereiro, março, abril e maio do respectivo exercício, ou, não sendo estes dias úteis, até o primeiro dia útil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subsequente.</w:t>
      </w:r>
    </w:p>
    <w:p>
      <w:pPr>
        <w:pStyle w:val="BodyText"/>
        <w:spacing w:before="10"/>
        <w:rPr>
          <w:i/>
          <w:sz w:val="21"/>
        </w:rPr>
      </w:pPr>
    </w:p>
    <w:p>
      <w:pPr>
        <w:spacing w:before="0"/>
        <w:ind w:left="1702" w:right="0" w:firstLine="0"/>
        <w:jc w:val="both"/>
        <w:rPr>
          <w:sz w:val="22"/>
        </w:rPr>
      </w:pPr>
      <w:r>
        <w:rPr>
          <w:sz w:val="22"/>
        </w:rPr>
        <w:t>Art. 2º Esta Resolução entra em vigor na data de sua publicação.</w:t>
      </w:r>
    </w:p>
    <w:p>
      <w:pPr>
        <w:pStyle w:val="BodyText"/>
        <w:rPr>
          <w:i w:val="0"/>
        </w:rPr>
      </w:pPr>
    </w:p>
    <w:p>
      <w:pPr>
        <w:spacing w:before="1"/>
        <w:ind w:left="5138" w:right="4002" w:firstLine="0"/>
        <w:jc w:val="center"/>
        <w:rPr>
          <w:sz w:val="22"/>
        </w:rPr>
      </w:pPr>
      <w:r>
        <w:rPr>
          <w:sz w:val="22"/>
        </w:rPr>
        <w:t>Brasília, 17 de agosto de 2018.</w:t>
      </w:r>
    </w:p>
    <w:p>
      <w:pPr>
        <w:pStyle w:val="BodyText"/>
        <w:rPr>
          <w:i w:val="0"/>
          <w:sz w:val="24"/>
        </w:rPr>
      </w:pPr>
    </w:p>
    <w:p>
      <w:pPr>
        <w:pStyle w:val="BodyText"/>
        <w:spacing w:before="4"/>
        <w:rPr>
          <w:i w:val="0"/>
          <w:sz w:val="20"/>
        </w:rPr>
      </w:pPr>
    </w:p>
    <w:p>
      <w:pPr>
        <w:spacing w:line="251" w:lineRule="exact" w:before="0"/>
        <w:ind w:left="5138" w:right="4000" w:firstLine="0"/>
        <w:jc w:val="center"/>
        <w:rPr>
          <w:b/>
          <w:sz w:val="22"/>
        </w:rPr>
      </w:pPr>
      <w:r>
        <w:rPr>
          <w:b/>
          <w:sz w:val="22"/>
        </w:rPr>
        <w:t>Luciano Guimarães</w:t>
      </w:r>
    </w:p>
    <w:p>
      <w:pPr>
        <w:spacing w:line="251" w:lineRule="exact" w:before="0"/>
        <w:ind w:left="5138" w:right="4000" w:firstLine="0"/>
        <w:jc w:val="center"/>
        <w:rPr>
          <w:sz w:val="22"/>
        </w:rPr>
      </w:pPr>
      <w:r>
        <w:rPr>
          <w:sz w:val="22"/>
        </w:rPr>
        <w:t>Presidente do CAU/BR</w:t>
      </w:r>
    </w:p>
    <w:p>
      <w:pPr>
        <w:pStyle w:val="BodyText"/>
        <w:rPr>
          <w:i w:val="0"/>
          <w:sz w:val="24"/>
        </w:rPr>
      </w:pPr>
    </w:p>
    <w:p>
      <w:pPr>
        <w:pStyle w:val="BodyText"/>
        <w:spacing w:before="10"/>
        <w:rPr>
          <w:i w:val="0"/>
          <w:sz w:val="20"/>
        </w:rPr>
      </w:pPr>
    </w:p>
    <w:p>
      <w:pPr>
        <w:spacing w:before="0"/>
        <w:ind w:left="1702" w:right="0" w:firstLine="0"/>
        <w:jc w:val="both"/>
        <w:rPr>
          <w:rFonts w:ascii="Cambria" w:hAnsi="Cambria"/>
          <w:sz w:val="22"/>
        </w:rPr>
      </w:pPr>
      <w:r>
        <w:rPr/>
        <w:pict>
          <v:group style="position:absolute;margin-left:5.5pt;margin-top:11.363664pt;width:589.5pt;height:34.75pt;mso-position-horizontal-relative:page;mso-position-vertical-relative:paragraph;z-index:1072" coordorigin="110,227" coordsize="11790,695">
            <v:shape style="position:absolute;left:110;top:227;width:11790;height:695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287;top:290;width:1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mbria" w:hAnsi="Cambria"/>
          <w:sz w:val="22"/>
        </w:rPr>
        <w:t>(Publicada no Diário Oficial da União, Edição n° 235, Seção 1, de 7 de dezembro de 2018)</w:t>
      </w:r>
    </w:p>
    <w:sectPr>
      <w:type w:val="continuous"/>
      <w:pgSz w:w="11900" w:h="16850"/>
      <w:pgMar w:top="5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"/>
      <w:lvlJc w:val="left"/>
      <w:pPr>
        <w:ind w:left="2834" w:hanging="180"/>
        <w:jc w:val="left"/>
      </w:pPr>
      <w:rPr>
        <w:rFonts w:hint="default" w:ascii="Times New Roman" w:hAnsi="Times New Roman" w:eastAsia="Times New Roman" w:cs="Times New Roman"/>
        <w:i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3745" w:hanging="18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4651" w:hanging="18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5557" w:hanging="18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6463" w:hanging="18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7369" w:hanging="18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8275" w:hanging="18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9181" w:hanging="18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10087" w:hanging="180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3072" w:hanging="238"/>
        <w:jc w:val="left"/>
      </w:pPr>
      <w:rPr>
        <w:rFonts w:hint="default" w:ascii="Times New Roman" w:hAnsi="Times New Roman" w:eastAsia="Times New Roman" w:cs="Times New Roman"/>
        <w:i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3961" w:hanging="23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4843" w:hanging="23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5725" w:hanging="23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6607" w:hanging="23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7489" w:hanging="23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8371" w:hanging="23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9253" w:hanging="23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10135" w:hanging="238"/>
      </w:pPr>
      <w:rPr>
        <w:rFonts w:hint="default"/>
        <w:lang w:val="pt-br" w:eastAsia="pt-br" w:bidi="pt-b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70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2834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2019-04-23T15:19:46Z</dcterms:created>
  <dcterms:modified xsi:type="dcterms:W3CDTF">2019-04-23T15:19:46Z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