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68"/>
        <w:ind w:left="2274"/>
        <w:jc w:val="left"/>
      </w:pPr>
      <w:r>
        <w:rPr/>
        <w:t>RESOLUÇÃO N° 162, DE 24 DE MAIO DE 2018.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ind w:left="4355" w:right="109"/>
        <w:jc w:val="both"/>
      </w:pPr>
      <w:r>
        <w:rPr/>
        <w:t>Dispõe sobre o registro do título complementar e o exercício das atividades do arquiteto e urbanista com especialização em Engenharia de Segurança do Trabalho e dá outras providências.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52" w:lineRule="exact"/>
        <w:ind w:left="102"/>
        <w:jc w:val="both"/>
      </w:pPr>
      <w:r>
        <w:rPr/>
        <w:t>O CONSELHO DE ARQUITETURA E URBANISMO DO BRASIL (CAU/BR), no exercício das</w:t>
      </w:r>
    </w:p>
    <w:p>
      <w:pPr>
        <w:pStyle w:val="BodyText"/>
        <w:ind w:left="102" w:right="106"/>
        <w:jc w:val="both"/>
      </w:pPr>
      <w:r>
        <w:rPr/>
        <w:t>competências e prerrogativas de que tratam o art. 28 da Lei n° 12.378, de 31 de dezembro de 2010, e os artigos 2°, 4° e 30 do Regimento Interno aprovado pela Deliberação Plenária Ordinária DPOBR n° 0065-05/2017, de 28 de abril de 2017, e instituído pela Resolução CAU/BR n° 139, de 28 de abril de 2017, e de acordo com a Deliberação Plenária Ordinária DPOBR n° 0078-08/2018, de 24 de maio de 2018, adotada na Reunião Plenária Ordinária n° 78, realizada no dia 24 de maio de 2018;</w:t>
      </w:r>
      <w:r>
        <w:rPr>
          <w:spacing w:val="-10"/>
        </w:rPr>
        <w:t> </w:t>
      </w:r>
      <w:r>
        <w:rPr/>
        <w:t>e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2" w:right="109"/>
        <w:jc w:val="both"/>
      </w:pPr>
      <w:r>
        <w:rPr/>
        <w:t>Considerando a Lei n° 7.410, de 27 de novembro de 1985, que dispõe sobre a Especialização de Engenheiros e Arquitetos em Engenharia de Segurança do Trabalho, e o Decreto nº 92.530, de 9 de abril de 1986, que regulamenta a Lei e estabelece as condições para o exercício da especialização de “Engenheiro de Segurança do Trabalho” no Brasil;</w:t>
      </w:r>
    </w:p>
    <w:p>
      <w:pPr>
        <w:pStyle w:val="BodyText"/>
      </w:pPr>
    </w:p>
    <w:p>
      <w:pPr>
        <w:pStyle w:val="BodyText"/>
        <w:ind w:left="102" w:right="109"/>
        <w:jc w:val="both"/>
      </w:pPr>
      <w:r>
        <w:rPr/>
        <w:t>Considerando que o art. 3º da Lei nº 7.410, de 1985, determina que o exercício da atividade de Engenheiros e Arquitetos na especialização em Engenharia de Segurança do Trabalho dependerá de registro em Conselho Regional de Engenharia, Arquitetura e Agronomia;</w:t>
      </w:r>
    </w:p>
    <w:p>
      <w:pPr>
        <w:pStyle w:val="BodyText"/>
      </w:pPr>
    </w:p>
    <w:p>
      <w:pPr>
        <w:pStyle w:val="BodyText"/>
        <w:spacing w:before="1"/>
        <w:ind w:left="102" w:right="110"/>
        <w:jc w:val="both"/>
      </w:pPr>
      <w:r>
        <w:rPr/>
        <w:t>Considerando que as questões relativas aos arquitetos e urbanistas, constantes da Lei nº 5.194, de 24 de dezembro de 1966, e da Lei nº 6.496, de 7 de dezembro de 1977, passaram a ser regulamentadas pela Lei n° 12.378, de 31 de dezembro de</w:t>
      </w:r>
      <w:r>
        <w:rPr>
          <w:spacing w:val="-4"/>
        </w:rPr>
        <w:t> </w:t>
      </w:r>
      <w:r>
        <w:rPr/>
        <w:t>2010;</w:t>
      </w:r>
    </w:p>
    <w:p>
      <w:pPr>
        <w:pStyle w:val="BodyText"/>
        <w:spacing w:before="1"/>
      </w:pPr>
    </w:p>
    <w:p>
      <w:pPr>
        <w:pStyle w:val="BodyText"/>
        <w:ind w:left="102" w:right="108"/>
        <w:jc w:val="both"/>
      </w:pPr>
      <w:r>
        <w:rPr/>
        <w:t>Considerando que o § 1° do art. 2° do </w:t>
      </w:r>
      <w:hyperlink r:id="rId7">
        <w:r>
          <w:rPr/>
          <w:t>Decreto-Lei nº 4.657, de 4 de setembro de 1942</w:t>
        </w:r>
      </w:hyperlink>
      <w:r>
        <w:rPr>
          <w:b/>
        </w:rPr>
        <w:t>, </w:t>
      </w:r>
      <w:r>
        <w:rPr/>
        <w:t>prevê que a lei posterior revoga a anterior [...] quando regule inteiramente a matéria de que tratava a lei anterior;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2" w:right="106"/>
        <w:jc w:val="both"/>
      </w:pPr>
      <w:r>
        <w:rPr/>
        <w:t>Considerando que, a partir da vigência da Lei n° 12.378, de 2010, os arquitetos e urbanistas passaram a ter registro profissional nos Conselhos de Arquitetura e Urbanismo dos Estados e do Distrito Federal (CAU/UF);</w:t>
      </w:r>
    </w:p>
    <w:p>
      <w:pPr>
        <w:pStyle w:val="BodyText"/>
        <w:spacing w:before="1"/>
      </w:pPr>
    </w:p>
    <w:p>
      <w:pPr>
        <w:pStyle w:val="BodyText"/>
        <w:ind w:left="102" w:right="113"/>
        <w:jc w:val="both"/>
      </w:pPr>
      <w:r>
        <w:rPr/>
        <w:t>Considerando a Resolução CAU/BR nº 21, de 5 de abril de 2012, que detalha em seu art. 3º o rol de atividades técnicas de atribuição e campo de atuação dos arquitetos e urbanistas para fins de Registro de Responsabilidade Técnica (RRT) e formação de acervo técnico no CAU;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2" w:right="111"/>
        <w:jc w:val="both"/>
      </w:pPr>
      <w:r>
        <w:rPr/>
        <w:t>Considerando o Regimento Geral do CAU, instituído pela Resolução CAU/BR nº 139, de 28 de abril de 2017, no qual foram adotadas as seguintes definições e convenções: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66" w:val="left" w:leader="none"/>
        </w:tabs>
        <w:spacing w:line="240" w:lineRule="auto" w:before="0" w:after="0"/>
        <w:ind w:left="102" w:right="114" w:firstLine="0"/>
        <w:jc w:val="both"/>
        <w:rPr>
          <w:sz w:val="22"/>
        </w:rPr>
      </w:pPr>
      <w:r>
        <w:rPr>
          <w:sz w:val="22"/>
        </w:rPr>
        <w:t>- CAU: refere-se ao conjunto autárquico formado pelo Conselho de Arquitetura e Urbanismo do Brasil (CAU/BR) e pelos Conselhos de Arquitetura e Urbanismo dos Estados e do Distrito Federal (CAU/UF);</w:t>
      </w:r>
      <w:r>
        <w:rPr>
          <w:spacing w:val="-2"/>
          <w:sz w:val="22"/>
        </w:rPr>
        <w:t> </w:t>
      </w:r>
      <w:r>
        <w:rPr>
          <w:sz w:val="22"/>
        </w:rPr>
        <w:t>e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335" w:val="left" w:leader="none"/>
        </w:tabs>
        <w:spacing w:line="240" w:lineRule="auto" w:before="0" w:after="0"/>
        <w:ind w:left="102" w:right="106" w:firstLine="0"/>
        <w:jc w:val="both"/>
        <w:rPr>
          <w:sz w:val="22"/>
        </w:rPr>
      </w:pPr>
      <w:r>
        <w:rPr>
          <w:sz w:val="22"/>
        </w:rPr>
        <w:t>- CAU/UF: refere-se, genericamente, a qualquer dos Conselhos de Arquitetura e Urbanismo dos Estados e do Distrito</w:t>
      </w:r>
      <w:r>
        <w:rPr>
          <w:spacing w:val="-1"/>
          <w:sz w:val="22"/>
        </w:rPr>
        <w:t> </w:t>
      </w:r>
      <w:r>
        <w:rPr>
          <w:sz w:val="22"/>
        </w:rPr>
        <w:t>Federal;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2" w:right="112"/>
        <w:jc w:val="both"/>
      </w:pPr>
      <w:r>
        <w:rPr/>
        <w:t>Considerando a necessidade de aperfeiçoar os procedimentos relativos ao registro e exercício das atividades do arquiteto e urbanista com especialização em Engenharia de Segurança do Trabalho, previstos na Resolução CAU/BR nº 10, de 16 de janeiro de 2012;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1900" w:h="16850"/>
          <w:pgMar w:header="568" w:footer="1055" w:top="1660" w:bottom="1240" w:left="1600" w:right="1020"/>
          <w:pgNumType w:start="1"/>
        </w:sectPr>
      </w:pPr>
    </w:p>
    <w:p>
      <w:pPr>
        <w:pStyle w:val="Heading1"/>
        <w:spacing w:before="168"/>
        <w:ind w:left="102"/>
        <w:jc w:val="left"/>
      </w:pPr>
      <w:r>
        <w:rPr/>
        <w:t>RESOLVE:</w:t>
      </w:r>
    </w:p>
    <w:p>
      <w:pPr>
        <w:pStyle w:val="BodyText"/>
        <w:spacing w:before="1"/>
        <w:rPr>
          <w:b/>
          <w:sz w:val="14"/>
        </w:rPr>
      </w:pPr>
    </w:p>
    <w:p>
      <w:pPr>
        <w:spacing w:line="252" w:lineRule="exact" w:before="91"/>
        <w:ind w:left="1066" w:right="1074" w:firstLine="0"/>
        <w:jc w:val="center"/>
        <w:rPr>
          <w:b/>
          <w:sz w:val="22"/>
        </w:rPr>
      </w:pPr>
      <w:r>
        <w:rPr>
          <w:b/>
          <w:sz w:val="22"/>
        </w:rPr>
        <w:t>CAPÍTULO I</w:t>
      </w:r>
    </w:p>
    <w:p>
      <w:pPr>
        <w:spacing w:line="252" w:lineRule="exact" w:before="0"/>
        <w:ind w:left="2764" w:right="0" w:firstLine="0"/>
        <w:jc w:val="left"/>
        <w:rPr>
          <w:b/>
          <w:sz w:val="22"/>
        </w:rPr>
      </w:pPr>
      <w:r>
        <w:rPr>
          <w:b/>
          <w:sz w:val="22"/>
        </w:rPr>
        <w:t>DAS DISPOSIÇÕES PRELIMINARES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102" w:right="107"/>
        <w:jc w:val="both"/>
      </w:pPr>
      <w:r>
        <w:rPr/>
        <w:t>Art. 1° A habilitação para o exercício das atividades de especialização em Engenharia de Segurança  do Trabalho pelos arquitetos e urbanistas dependerá de registro profissional ativo e do registro do título complementar de “Engenheiro (a) de Segurança do Trabalho (Especialização)” em um dos Conselhos de Arquitetura e Urbanismo dos Estados e do Distrito Federal (CAU/UF), nos termos desta Resolução.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2" w:right="113"/>
        <w:jc w:val="both"/>
      </w:pPr>
      <w:r>
        <w:rPr/>
        <w:t>Art. 2º O exercício das atividades de Engenharia de Segurança do Trabalho é permitido, exclusivamente, ao arquiteto e urbanista que seja: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256" w:val="left" w:leader="none"/>
        </w:tabs>
        <w:spacing w:line="240" w:lineRule="auto" w:before="0" w:after="0"/>
        <w:ind w:left="102" w:right="108" w:firstLine="0"/>
        <w:jc w:val="both"/>
        <w:rPr>
          <w:sz w:val="22"/>
        </w:rPr>
      </w:pPr>
      <w:r>
        <w:rPr>
          <w:sz w:val="22"/>
        </w:rPr>
        <w:t>- portador de certificado de conclusão de curso de especialização, em nível de pós-graduação, em Engenharia de Segurança do Trabalho;</w:t>
      </w:r>
      <w:r>
        <w:rPr>
          <w:spacing w:val="-2"/>
          <w:sz w:val="22"/>
        </w:rPr>
        <w:t> </w:t>
      </w:r>
      <w:r>
        <w:rPr>
          <w:sz w:val="22"/>
        </w:rPr>
        <w:t>ou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343" w:val="left" w:leader="none"/>
        </w:tabs>
        <w:spacing w:line="240" w:lineRule="auto" w:before="0" w:after="0"/>
        <w:ind w:left="102" w:right="114" w:firstLine="0"/>
        <w:jc w:val="both"/>
        <w:rPr>
          <w:sz w:val="22"/>
        </w:rPr>
      </w:pPr>
      <w:r>
        <w:rPr>
          <w:sz w:val="22"/>
        </w:rPr>
        <w:t>- portador de certificado de curso de especialização em Engenharia de Segurança do Trabalho, realizado em caráter prioritário pelo Ministério do Trabalho;</w:t>
      </w:r>
      <w:r>
        <w:rPr>
          <w:spacing w:val="-10"/>
          <w:sz w:val="22"/>
        </w:rPr>
        <w:t> </w:t>
      </w:r>
      <w:r>
        <w:rPr>
          <w:sz w:val="22"/>
        </w:rPr>
        <w:t>ou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424" w:val="left" w:leader="none"/>
        </w:tabs>
        <w:spacing w:line="240" w:lineRule="auto" w:before="0" w:after="0"/>
        <w:ind w:left="102" w:right="114" w:firstLine="0"/>
        <w:jc w:val="both"/>
        <w:rPr>
          <w:sz w:val="22"/>
        </w:rPr>
      </w:pPr>
      <w:r>
        <w:rPr>
          <w:sz w:val="22"/>
        </w:rPr>
        <w:t>- portador de registro de Engenharia de Segurança do Trabalho, expedido pelo Ministério do Trabalho, dentro de 180 (cento e oitenta) dias da extinção do curso referido no item</w:t>
      </w:r>
      <w:r>
        <w:rPr>
          <w:spacing w:val="-20"/>
          <w:sz w:val="22"/>
        </w:rPr>
        <w:t> </w:t>
      </w:r>
      <w:r>
        <w:rPr>
          <w:sz w:val="22"/>
        </w:rPr>
        <w:t>anterior.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2" w:right="108"/>
        <w:jc w:val="both"/>
      </w:pPr>
      <w:r>
        <w:rPr/>
        <w:t>Parágrafo único. Para os fins desta Resolução, o título único de arquiteto e urbanista compreende, em conformidade com o art. 55 da Lei n° 12.378, de 2010, os títulos de arquiteto, arquiteto e urbanista e engenheiro arquiteto.</w:t>
      </w:r>
    </w:p>
    <w:p>
      <w:pPr>
        <w:pStyle w:val="BodyText"/>
      </w:pPr>
    </w:p>
    <w:p>
      <w:pPr>
        <w:pStyle w:val="BodyText"/>
        <w:spacing w:before="1"/>
        <w:ind w:left="102" w:right="106"/>
        <w:jc w:val="both"/>
      </w:pPr>
      <w:r>
        <w:rPr/>
        <w:t>Art. 3º Ficam asseguradas aos arquitetos e urbanistas possuidores de anotação da especialização de Engenheiro (a) ou de Engenharia de Segurança do Trabalho efetuada pelos então Conselhos Regionais de Engenharia, Arquitetura e Agronomia (CREA) antes da entrada em vigor da Lei n° 12.378, de 2010, as prerrogativas estabelecidas na Lei nº 7.410, de 1985, e nos normativos específicos do CAU/BR.</w:t>
      </w:r>
    </w:p>
    <w:p>
      <w:pPr>
        <w:pStyle w:val="BodyText"/>
        <w:spacing w:before="4"/>
      </w:pPr>
    </w:p>
    <w:p>
      <w:pPr>
        <w:pStyle w:val="Heading1"/>
        <w:ind w:right="1074"/>
      </w:pPr>
      <w:r>
        <w:rPr/>
        <w:t>CAPÍTULO II</w:t>
      </w:r>
    </w:p>
    <w:p>
      <w:pPr>
        <w:spacing w:before="1"/>
        <w:ind w:left="1066" w:right="1078" w:firstLine="0"/>
        <w:jc w:val="center"/>
        <w:rPr>
          <w:b/>
          <w:sz w:val="22"/>
        </w:rPr>
      </w:pPr>
      <w:r>
        <w:rPr>
          <w:b/>
          <w:sz w:val="22"/>
        </w:rPr>
        <w:t>DO REGISTRO DO TÍTULO COMPLEMENTAR DE ENGENHEIRO (A) DE SEGURANÇA DO TRABALHO (ESPECIALIZAÇÃO)</w:t>
      </w:r>
    </w:p>
    <w:p>
      <w:pPr>
        <w:pStyle w:val="BodyText"/>
        <w:spacing w:before="6"/>
        <w:rPr>
          <w:b/>
          <w:sz w:val="21"/>
        </w:rPr>
      </w:pPr>
    </w:p>
    <w:p>
      <w:pPr>
        <w:pStyle w:val="BodyText"/>
        <w:ind w:left="102" w:right="109"/>
        <w:jc w:val="both"/>
      </w:pPr>
      <w:r>
        <w:rPr/>
        <w:t>Art. 4º O registro da titularidade complementar de “Engenheiro (a) de Segurança do Trabalho (Especialização) no CAU deverá ser requerido pelo arquiteto e urbanista, com registro ativo no CAU, por meio do preenchimento de formulário específico disponível no ambiente profissional do Sistema de Informação e Comunicação dos Conselhos de Arquitetura e Urbanismo</w:t>
      </w:r>
      <w:r>
        <w:rPr>
          <w:spacing w:val="-7"/>
        </w:rPr>
        <w:t> </w:t>
      </w:r>
      <w:r>
        <w:rPr/>
        <w:t>(SICCAU).</w:t>
      </w:r>
    </w:p>
    <w:p>
      <w:pPr>
        <w:pStyle w:val="BodyText"/>
        <w:spacing w:before="1"/>
      </w:pPr>
    </w:p>
    <w:p>
      <w:pPr>
        <w:pStyle w:val="BodyText"/>
        <w:ind w:left="102" w:right="109"/>
        <w:jc w:val="both"/>
      </w:pPr>
      <w:r>
        <w:rPr/>
        <w:t>§ 1º O formulário de requerimento de que trata o </w:t>
      </w:r>
      <w:r>
        <w:rPr>
          <w:i/>
        </w:rPr>
        <w:t>caput </w:t>
      </w:r>
      <w:r>
        <w:rPr/>
        <w:t>deste artigo, ao ser cadastrado, gera o número do protocolo SICCAU que instaura o processo administrativo e que será submetido à análise e aprovação do CAU/UF pertinente.</w:t>
      </w:r>
    </w:p>
    <w:p>
      <w:pPr>
        <w:pStyle w:val="BodyText"/>
      </w:pPr>
    </w:p>
    <w:p>
      <w:pPr>
        <w:pStyle w:val="BodyText"/>
        <w:spacing w:before="1"/>
        <w:ind w:left="102" w:right="113"/>
        <w:jc w:val="both"/>
      </w:pPr>
      <w:r>
        <w:rPr/>
        <w:t>§ 2º A responsabilidade pela aprovação do processo mencionado no parágrafo anterior é da Comissão de Ensino e Formação (CEF) do CAU/UF, que poderá delegar a análise e instrução do processo para o corpo técnico por meio de Deliberação de Comissão.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02" w:right="113"/>
        <w:jc w:val="both"/>
      </w:pPr>
      <w:r>
        <w:rPr/>
        <w:t>§ 3º Para os fins desta Resolução, o CAU/UF pertinente é aquele de jurisdição do endereço de registro do profissional, conforme cadastrado no SICCAU.</w:t>
      </w:r>
    </w:p>
    <w:p>
      <w:pPr>
        <w:spacing w:after="0"/>
        <w:jc w:val="both"/>
        <w:sectPr>
          <w:pgSz w:w="11900" w:h="16850"/>
          <w:pgMar w:header="568" w:footer="1055" w:top="1660" w:bottom="1240" w:left="1600" w:right="1020"/>
        </w:sectPr>
      </w:pPr>
    </w:p>
    <w:p>
      <w:pPr>
        <w:pStyle w:val="BodyText"/>
        <w:spacing w:before="163"/>
        <w:ind w:left="102" w:right="111"/>
        <w:jc w:val="both"/>
      </w:pPr>
      <w:r>
        <w:rPr/>
        <w:t>Art. 5º No ato do preenchimento do requerimento, o interessado deverá instruir o formulário com o certificado de conclusão de curso de pós-graduação acompanhado do respectivo histórico escolar, apresentados na forma de arquivos digitais, contendo, obrigatoriamente, as seguintes informações: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230" w:val="left" w:leader="none"/>
        </w:tabs>
        <w:spacing w:line="240" w:lineRule="auto" w:before="0" w:after="0"/>
        <w:ind w:left="229" w:right="0" w:hanging="127"/>
        <w:jc w:val="both"/>
        <w:rPr>
          <w:sz w:val="22"/>
        </w:rPr>
      </w:pPr>
      <w:r>
        <w:rPr>
          <w:sz w:val="22"/>
        </w:rPr>
        <w:t>- relação das disciplinas, carga horária, nota ou</w:t>
      </w:r>
      <w:r>
        <w:rPr>
          <w:spacing w:val="-10"/>
          <w:sz w:val="22"/>
        </w:rPr>
        <w:t> </w:t>
      </w:r>
      <w:r>
        <w:rPr>
          <w:sz w:val="22"/>
        </w:rPr>
        <w:t>conceito;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304" w:val="left" w:leader="none"/>
        </w:tabs>
        <w:spacing w:line="240" w:lineRule="auto" w:before="0" w:after="0"/>
        <w:ind w:left="303" w:right="0" w:hanging="201"/>
        <w:jc w:val="both"/>
        <w:rPr>
          <w:sz w:val="22"/>
        </w:rPr>
      </w:pPr>
      <w:r>
        <w:rPr>
          <w:sz w:val="22"/>
        </w:rPr>
        <w:t>- período em que o curso foi realizado, incluindo datas de início e</w:t>
      </w:r>
      <w:r>
        <w:rPr>
          <w:spacing w:val="-20"/>
          <w:sz w:val="22"/>
        </w:rPr>
        <w:t> </w:t>
      </w:r>
      <w:r>
        <w:rPr>
          <w:sz w:val="22"/>
        </w:rPr>
        <w:t>conclusão;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379" w:val="left" w:leader="none"/>
        </w:tabs>
        <w:spacing w:line="480" w:lineRule="auto" w:before="0" w:after="0"/>
        <w:ind w:left="102" w:right="1153" w:firstLine="0"/>
        <w:jc w:val="left"/>
        <w:rPr>
          <w:sz w:val="22"/>
        </w:rPr>
      </w:pPr>
      <w:r>
        <w:rPr>
          <w:sz w:val="22"/>
        </w:rPr>
        <w:t>- título da monografia ou do trabalho de conclusão do curso e nota ou conceito obtido; e IV - identificação do corpo docente com sua respectiva</w:t>
      </w:r>
      <w:r>
        <w:rPr>
          <w:spacing w:val="-11"/>
          <w:sz w:val="22"/>
        </w:rPr>
        <w:t> </w:t>
      </w:r>
      <w:r>
        <w:rPr>
          <w:sz w:val="22"/>
        </w:rPr>
        <w:t>qualificação.</w:t>
      </w:r>
    </w:p>
    <w:p>
      <w:pPr>
        <w:pStyle w:val="BodyText"/>
        <w:spacing w:before="1"/>
        <w:ind w:left="102" w:right="113"/>
        <w:jc w:val="both"/>
      </w:pPr>
      <w:r>
        <w:rPr/>
        <w:t>§ 1º A instituição de ensino deverá ser credenciada pelo Ministério da Educação (MEC), de acordo com a legislação educacional em vigor.</w:t>
      </w:r>
    </w:p>
    <w:p>
      <w:pPr>
        <w:pStyle w:val="BodyText"/>
      </w:pPr>
    </w:p>
    <w:p>
      <w:pPr>
        <w:pStyle w:val="BodyText"/>
        <w:ind w:left="102" w:right="107"/>
        <w:jc w:val="both"/>
      </w:pPr>
      <w:r>
        <w:rPr/>
        <w:t>§ 2º O curso deve atender as diretrizes curriculares fixadas pelo Conselho Nacional de Educação (CNE), conforme determina o parágrafo único do art. 1º da Lei 7.410, de 1985, observando-se as disciplinas básicas exigidas, a carga horaria e o tempo de integralização mínimos e os requisitos do corpo docente exigidos pela legislação educacional em vigor.</w:t>
      </w:r>
    </w:p>
    <w:p>
      <w:pPr>
        <w:pStyle w:val="BodyText"/>
      </w:pPr>
    </w:p>
    <w:p>
      <w:pPr>
        <w:pStyle w:val="BodyText"/>
        <w:ind w:left="102" w:right="109"/>
        <w:jc w:val="both"/>
      </w:pPr>
      <w:r>
        <w:rPr/>
        <w:t>Art. 6º O prazo de análise do requerimento de anotação do curso será de até 60 (sessenta dias), contados a partir da data do requerimento e desde que este contenha toda documentação mencionada no art. 5º desta Resolução.</w:t>
      </w:r>
    </w:p>
    <w:p>
      <w:pPr>
        <w:pStyle w:val="BodyText"/>
      </w:pPr>
    </w:p>
    <w:p>
      <w:pPr>
        <w:pStyle w:val="BodyText"/>
        <w:spacing w:before="1"/>
        <w:ind w:left="102" w:right="109"/>
        <w:jc w:val="both"/>
      </w:pPr>
      <w:r>
        <w:rPr/>
        <w:t>§ 1º Os procedimentos para análise do requerimento serão definidos por meio de instrução específica emitida pelo CAU/BR, por meio da Comissão de Ensino e Formação (CEF-CAU/BR), com a finalidade de orientar e instruir os CAU/UF quantos aos procedimentos administrativos, com base no Manual de Atos Administrativos e Normativos de Competência do CAU/BR.</w:t>
      </w:r>
    </w:p>
    <w:p>
      <w:pPr>
        <w:pStyle w:val="BodyText"/>
      </w:pPr>
    </w:p>
    <w:p>
      <w:pPr>
        <w:pStyle w:val="BodyText"/>
        <w:ind w:left="102" w:right="114"/>
        <w:jc w:val="both"/>
      </w:pPr>
      <w:r>
        <w:rPr/>
        <w:t>§ 2º Ao finalizar a análise e fundamentar sua decisão, o CAU/UF pertinente deverá comunicar o profissional interessado sobre o deferimento ou indeferimento do pleito.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2" w:right="107"/>
        <w:jc w:val="both"/>
      </w:pPr>
      <w:r>
        <w:rPr/>
        <w:t>Art. 7º No caso de indeferimento do pleito, o CAU/UF pertinente deverá informar ao profissional que ele poderá interpor recurso ao Plenário do CAU/UF em face da decisão da CEF-CAU/UF.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2" w:right="109"/>
        <w:jc w:val="both"/>
      </w:pPr>
      <w:r>
        <w:rPr/>
        <w:t>Art. 8º O registro da titularidade complementar e a atribuição para o exercício da especialização em Engenharia de Segurança do Trabalho somente será efetuada mediante a aprovação e deferimento do requerimento por parte do CAU/UF pertinente.</w:t>
      </w:r>
    </w:p>
    <w:p>
      <w:pPr>
        <w:pStyle w:val="BodyText"/>
        <w:spacing w:before="1"/>
      </w:pPr>
    </w:p>
    <w:p>
      <w:pPr>
        <w:pStyle w:val="BodyText"/>
        <w:ind w:left="102" w:right="107"/>
        <w:jc w:val="both"/>
      </w:pPr>
      <w:r>
        <w:rPr/>
        <w:t>Parágrafo único. O título complementar a ser cadastrado no SICCAU, no registro do profissional, nas certidões a serem expedidas, nos Registros de Responsabilidade Técnica (RRT) a serem efetuados e na Carteira de Identificação Profissional, será de “Engenheiro (a) de Segurança do Trabalho (Especialização)”.</w:t>
      </w:r>
    </w:p>
    <w:p>
      <w:pPr>
        <w:pStyle w:val="BodyText"/>
      </w:pPr>
    </w:p>
    <w:p>
      <w:pPr>
        <w:pStyle w:val="BodyText"/>
        <w:ind w:left="102" w:right="115"/>
        <w:jc w:val="both"/>
      </w:pPr>
      <w:r>
        <w:rPr/>
        <w:t>Art. 9º Os documentos, as comunicações enviadas e recebidas, a decisão e a data de deferimento ou indeferimento ficarão registrados no SICCAU, no protocolo do requerimento.</w:t>
      </w:r>
    </w:p>
    <w:p>
      <w:pPr>
        <w:pStyle w:val="BodyText"/>
        <w:spacing w:before="4"/>
      </w:pPr>
    </w:p>
    <w:p>
      <w:pPr>
        <w:pStyle w:val="Heading1"/>
        <w:spacing w:line="252" w:lineRule="exact" w:before="1"/>
        <w:ind w:right="1074"/>
      </w:pPr>
      <w:r>
        <w:rPr/>
        <w:t>CAPÍTULO III</w:t>
      </w:r>
    </w:p>
    <w:p>
      <w:pPr>
        <w:spacing w:before="0"/>
        <w:ind w:left="692" w:right="705" w:firstLine="0"/>
        <w:jc w:val="center"/>
        <w:rPr>
          <w:b/>
          <w:sz w:val="22"/>
        </w:rPr>
      </w:pPr>
      <w:r>
        <w:rPr>
          <w:b/>
          <w:sz w:val="22"/>
        </w:rPr>
        <w:t>DAS ATIVIDADES DO ARQUITETO E URBANISTA COM ESPECIALIZAÇÃO EM ENGENHARIA DE SEGURANÇA DO TRABALHO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spacing w:before="1"/>
        <w:ind w:left="102" w:right="107"/>
        <w:jc w:val="both"/>
      </w:pPr>
      <w:r>
        <w:rPr/>
        <w:t>Art. 10. As atividades dos arquitetos e urbanistas no exercício da especialização em Engenharia de Segurança do Trabalho, em conformidade com normativo educacional vigente, são:</w:t>
      </w:r>
    </w:p>
    <w:p>
      <w:pPr>
        <w:spacing w:after="0"/>
        <w:jc w:val="both"/>
        <w:sectPr>
          <w:pgSz w:w="11900" w:h="16850"/>
          <w:pgMar w:header="568" w:footer="1055" w:top="1660" w:bottom="1240" w:left="1600" w:right="1020"/>
        </w:sectPr>
      </w:pPr>
    </w:p>
    <w:p>
      <w:pPr>
        <w:pStyle w:val="ListParagraph"/>
        <w:numPr>
          <w:ilvl w:val="0"/>
          <w:numId w:val="4"/>
        </w:numPr>
        <w:tabs>
          <w:tab w:pos="290" w:val="left" w:leader="none"/>
        </w:tabs>
        <w:spacing w:line="240" w:lineRule="auto" w:before="163" w:after="0"/>
        <w:ind w:left="102" w:right="110" w:firstLine="0"/>
        <w:jc w:val="both"/>
        <w:rPr>
          <w:sz w:val="22"/>
        </w:rPr>
      </w:pPr>
      <w:r>
        <w:rPr>
          <w:sz w:val="22"/>
        </w:rPr>
        <w:t>- supervisão, coordenação, gerenciamento e orientação técnica dos serviços de Engenharia de Segurança do</w:t>
      </w:r>
      <w:r>
        <w:rPr>
          <w:spacing w:val="-4"/>
          <w:sz w:val="22"/>
        </w:rPr>
        <w:t> </w:t>
      </w:r>
      <w:r>
        <w:rPr>
          <w:sz w:val="22"/>
        </w:rPr>
        <w:t>Trabalho;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321" w:val="left" w:leader="none"/>
        </w:tabs>
        <w:spacing w:line="240" w:lineRule="auto" w:before="0" w:after="0"/>
        <w:ind w:left="102" w:right="108" w:firstLine="0"/>
        <w:jc w:val="both"/>
        <w:rPr>
          <w:sz w:val="22"/>
        </w:rPr>
      </w:pPr>
      <w:r>
        <w:rPr>
          <w:sz w:val="22"/>
        </w:rPr>
        <w:t>- estudo das condições de segurança dos locais de trabalho e das instalações e equipamentos, com vistas especialmente aos problemas de controle de risco, controle de poluição, higiene do trabalho, ergonomia, proteção contra incêndio e</w:t>
      </w:r>
      <w:r>
        <w:rPr>
          <w:spacing w:val="-6"/>
          <w:sz w:val="22"/>
        </w:rPr>
        <w:t> </w:t>
      </w:r>
      <w:r>
        <w:rPr>
          <w:sz w:val="22"/>
        </w:rPr>
        <w:t>saneamento;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381" w:val="left" w:leader="none"/>
        </w:tabs>
        <w:spacing w:line="240" w:lineRule="auto" w:before="0" w:after="0"/>
        <w:ind w:left="102" w:right="111" w:firstLine="0"/>
        <w:jc w:val="both"/>
        <w:rPr>
          <w:sz w:val="22"/>
        </w:rPr>
      </w:pPr>
      <w:r>
        <w:rPr>
          <w:sz w:val="22"/>
        </w:rPr>
        <w:t>- planejamento, desenvolvimento e implantação de técnicas relativas a gerenciamento e controle de riscos;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446" w:val="left" w:leader="none"/>
        </w:tabs>
        <w:spacing w:line="240" w:lineRule="auto" w:before="0" w:after="0"/>
        <w:ind w:left="102" w:right="106" w:firstLine="0"/>
        <w:jc w:val="both"/>
        <w:rPr>
          <w:sz w:val="22"/>
        </w:rPr>
      </w:pPr>
      <w:r>
        <w:rPr>
          <w:sz w:val="22"/>
        </w:rPr>
        <w:t>- realização de vistorias, avaliações, perícias e arbitramentos, emissão de pareceres e laudos técnicos e indicação de medidas de controle sobre grau de exposição a agentes agressivos de riscos físicos, químicos e biológicos, tais como poluentes atmosféricos, ruídos, calor, radiação em geral e pressões anormais, caracterizando as atividades, operações e locais insalubres e</w:t>
      </w:r>
      <w:r>
        <w:rPr>
          <w:spacing w:val="-13"/>
          <w:sz w:val="22"/>
        </w:rPr>
        <w:t> </w:t>
      </w:r>
      <w:r>
        <w:rPr>
          <w:sz w:val="22"/>
        </w:rPr>
        <w:t>perigosos;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379" w:val="left" w:leader="none"/>
        </w:tabs>
        <w:spacing w:line="240" w:lineRule="auto" w:before="0" w:after="0"/>
        <w:ind w:left="102" w:right="109" w:firstLine="0"/>
        <w:jc w:val="both"/>
        <w:rPr>
          <w:sz w:val="22"/>
        </w:rPr>
      </w:pPr>
      <w:r>
        <w:rPr>
          <w:sz w:val="22"/>
        </w:rPr>
        <w:t>- análise de riscos, acidentes e falhas, investigando causas, propondo medidas preventivas e corretivas e orientando trabalhos estatísticos, inclusive com respeito a</w:t>
      </w:r>
      <w:r>
        <w:rPr>
          <w:spacing w:val="-18"/>
          <w:sz w:val="22"/>
        </w:rPr>
        <w:t> </w:t>
      </w:r>
      <w:r>
        <w:rPr>
          <w:sz w:val="22"/>
        </w:rPr>
        <w:t>custo;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419" w:val="left" w:leader="none"/>
        </w:tabs>
        <w:spacing w:line="240" w:lineRule="auto" w:before="0" w:after="0"/>
        <w:ind w:left="102" w:right="115" w:firstLine="0"/>
        <w:jc w:val="both"/>
        <w:rPr>
          <w:sz w:val="22"/>
        </w:rPr>
      </w:pPr>
      <w:r>
        <w:rPr>
          <w:sz w:val="22"/>
        </w:rPr>
        <w:t>- proposição de políticas, programas, normas e regulamentos de segurança do trabalho, zelando pela sua</w:t>
      </w:r>
      <w:r>
        <w:rPr>
          <w:spacing w:val="-3"/>
          <w:sz w:val="22"/>
        </w:rPr>
        <w:t> </w:t>
      </w:r>
      <w:r>
        <w:rPr>
          <w:sz w:val="22"/>
        </w:rPr>
        <w:t>observância;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477" w:val="left" w:leader="none"/>
        </w:tabs>
        <w:spacing w:line="240" w:lineRule="auto" w:before="0" w:after="0"/>
        <w:ind w:left="102" w:right="113" w:firstLine="0"/>
        <w:jc w:val="both"/>
        <w:rPr>
          <w:sz w:val="22"/>
        </w:rPr>
      </w:pPr>
      <w:r>
        <w:rPr>
          <w:sz w:val="22"/>
        </w:rPr>
        <w:t>- elaboração de projetos de sistemas de segurança e assessoramento na elaboração de projetos de obras, instalações e equipamentos, opinando do ponto de vista da Engenharia de Segurança do Trabalho;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609" w:val="left" w:leader="none"/>
        </w:tabs>
        <w:spacing w:line="240" w:lineRule="auto" w:before="1" w:after="0"/>
        <w:ind w:left="102" w:right="108" w:firstLine="0"/>
        <w:jc w:val="both"/>
        <w:rPr>
          <w:sz w:val="22"/>
        </w:rPr>
      </w:pPr>
      <w:r>
        <w:rPr>
          <w:sz w:val="22"/>
        </w:rPr>
        <w:t>- estudo das instalações, máquinas e equipamentos, identificando seus pontos de risco e projetando dispositivos de</w:t>
      </w:r>
      <w:r>
        <w:rPr>
          <w:spacing w:val="-1"/>
          <w:sz w:val="22"/>
        </w:rPr>
        <w:t> </w:t>
      </w:r>
      <w:r>
        <w:rPr>
          <w:sz w:val="22"/>
        </w:rPr>
        <w:t>segurança;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0" w:after="0"/>
        <w:ind w:left="102" w:right="113" w:firstLine="0"/>
        <w:jc w:val="both"/>
        <w:rPr>
          <w:sz w:val="22"/>
        </w:rPr>
      </w:pPr>
      <w:r>
        <w:rPr>
          <w:sz w:val="22"/>
        </w:rPr>
        <w:t>- projeto de sistemas de proteção contra incêndio, coordenação de atividades de combate a incêndio e de salvamento e elaboração de planos para emergência e</w:t>
      </w:r>
      <w:r>
        <w:rPr>
          <w:spacing w:val="-5"/>
          <w:sz w:val="22"/>
        </w:rPr>
        <w:t> </w:t>
      </w:r>
      <w:r>
        <w:rPr>
          <w:sz w:val="22"/>
        </w:rPr>
        <w:t>catástrofes;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323" w:val="left" w:leader="none"/>
        </w:tabs>
        <w:spacing w:line="240" w:lineRule="auto" w:before="0" w:after="0"/>
        <w:ind w:left="102" w:right="113" w:firstLine="0"/>
        <w:jc w:val="both"/>
        <w:rPr>
          <w:sz w:val="22"/>
        </w:rPr>
      </w:pPr>
      <w:r>
        <w:rPr>
          <w:sz w:val="22"/>
        </w:rPr>
        <w:t>- inspeção de locais de trabalho no que se relaciona com a segurança do trabalho, delimitando áreas de</w:t>
      </w:r>
      <w:r>
        <w:rPr>
          <w:spacing w:val="-1"/>
          <w:sz w:val="22"/>
        </w:rPr>
        <w:t> </w:t>
      </w:r>
      <w:r>
        <w:rPr>
          <w:sz w:val="22"/>
        </w:rPr>
        <w:t>periculosidade;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429" w:val="left" w:leader="none"/>
        </w:tabs>
        <w:spacing w:line="240" w:lineRule="auto" w:before="0" w:after="0"/>
        <w:ind w:left="102" w:right="107" w:firstLine="0"/>
        <w:jc w:val="both"/>
        <w:rPr>
          <w:sz w:val="22"/>
        </w:rPr>
      </w:pPr>
      <w:r>
        <w:rPr>
          <w:sz w:val="22"/>
        </w:rPr>
        <w:t>- especificação, controle e fiscalização de sistemas de proteção coletiva e de equipamentos de segurança, inclusive os de proteção individual e os de proteção contra incêndio, assegurando-se de sua qualidade e</w:t>
      </w:r>
      <w:r>
        <w:rPr>
          <w:spacing w:val="-1"/>
          <w:sz w:val="22"/>
        </w:rPr>
        <w:t> </w:t>
      </w:r>
      <w:r>
        <w:rPr>
          <w:sz w:val="22"/>
        </w:rPr>
        <w:t>eficiência;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486" w:val="left" w:leader="none"/>
        </w:tabs>
        <w:spacing w:line="240" w:lineRule="auto" w:before="0" w:after="0"/>
        <w:ind w:left="102" w:right="107" w:firstLine="0"/>
        <w:jc w:val="both"/>
        <w:rPr>
          <w:sz w:val="22"/>
        </w:rPr>
      </w:pPr>
      <w:r>
        <w:rPr>
          <w:sz w:val="22"/>
        </w:rPr>
        <w:t>- participação na especificação para aquisição de substâncias e equipamentos cuja manipulação, armazenamento, transporte ou funcionamento possam apresentar riscos, acompanhando o controle do recebimento e da</w:t>
      </w:r>
      <w:r>
        <w:rPr>
          <w:spacing w:val="-3"/>
          <w:sz w:val="22"/>
        </w:rPr>
        <w:t> </w:t>
      </w:r>
      <w:r>
        <w:rPr>
          <w:sz w:val="22"/>
        </w:rPr>
        <w:t>expedição;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546" w:val="left" w:leader="none"/>
        </w:tabs>
        <w:spacing w:line="240" w:lineRule="auto" w:before="0" w:after="0"/>
        <w:ind w:left="102" w:right="116" w:firstLine="0"/>
        <w:jc w:val="both"/>
        <w:rPr>
          <w:sz w:val="22"/>
        </w:rPr>
      </w:pPr>
      <w:r>
        <w:rPr>
          <w:sz w:val="22"/>
        </w:rPr>
        <w:t>- elaboração de planos destinados a criar e desenvolver a prevenção de acidentes, promovendo a instalação de comissões e assessorando o</w:t>
      </w:r>
      <w:r>
        <w:rPr>
          <w:spacing w:val="-7"/>
          <w:sz w:val="22"/>
        </w:rPr>
        <w:t> </w:t>
      </w:r>
      <w:r>
        <w:rPr>
          <w:sz w:val="22"/>
        </w:rPr>
        <w:t>funcionamento;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563" w:val="left" w:leader="none"/>
        </w:tabs>
        <w:spacing w:line="240" w:lineRule="auto" w:before="0" w:after="0"/>
        <w:ind w:left="102" w:right="110" w:firstLine="0"/>
        <w:jc w:val="both"/>
        <w:rPr>
          <w:sz w:val="22"/>
        </w:rPr>
      </w:pPr>
      <w:r>
        <w:rPr>
          <w:sz w:val="22"/>
        </w:rPr>
        <w:t>- orientação de treinamento específico de segurança do trabalho e assessoramento na elaboração de programas de treinamento geral, no que diz respeito à segurança do</w:t>
      </w:r>
      <w:r>
        <w:rPr>
          <w:spacing w:val="-13"/>
          <w:sz w:val="22"/>
        </w:rPr>
        <w:t> </w:t>
      </w:r>
      <w:r>
        <w:rPr>
          <w:sz w:val="22"/>
        </w:rPr>
        <w:t>trabalho;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537" w:val="left" w:leader="none"/>
        </w:tabs>
        <w:spacing w:line="240" w:lineRule="auto" w:before="0" w:after="0"/>
        <w:ind w:left="102" w:right="114" w:firstLine="0"/>
        <w:jc w:val="both"/>
        <w:rPr>
          <w:sz w:val="22"/>
        </w:rPr>
      </w:pPr>
      <w:r>
        <w:rPr>
          <w:sz w:val="22"/>
        </w:rPr>
        <w:t>- acompanhamento da execução de obras e serviços decorrentes da adoção de medidas de segurança, quando a complexidade dos trabalhos a executar assim o</w:t>
      </w:r>
      <w:r>
        <w:rPr>
          <w:spacing w:val="-9"/>
          <w:sz w:val="22"/>
        </w:rPr>
        <w:t> </w:t>
      </w:r>
      <w:r>
        <w:rPr>
          <w:sz w:val="22"/>
        </w:rPr>
        <w:t>exigir;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549" w:val="left" w:leader="none"/>
        </w:tabs>
        <w:spacing w:line="240" w:lineRule="auto" w:before="1" w:after="0"/>
        <w:ind w:left="102" w:right="113" w:firstLine="0"/>
        <w:jc w:val="both"/>
        <w:rPr>
          <w:sz w:val="22"/>
        </w:rPr>
      </w:pPr>
      <w:r>
        <w:rPr>
          <w:sz w:val="22"/>
        </w:rPr>
        <w:t>- colaboração na fixação de requisitos de aptidão para o exercício de funções, apontando os riscos decorrentes desses</w:t>
      </w:r>
      <w:r>
        <w:rPr>
          <w:spacing w:val="-3"/>
          <w:sz w:val="22"/>
        </w:rPr>
        <w:t> </w:t>
      </w:r>
      <w:r>
        <w:rPr>
          <w:sz w:val="22"/>
        </w:rPr>
        <w:t>exercícios;</w:t>
      </w:r>
    </w:p>
    <w:p>
      <w:pPr>
        <w:spacing w:after="0" w:line="240" w:lineRule="auto"/>
        <w:jc w:val="both"/>
        <w:rPr>
          <w:sz w:val="22"/>
        </w:rPr>
        <w:sectPr>
          <w:pgSz w:w="11900" w:h="16850"/>
          <w:pgMar w:header="568" w:footer="1055" w:top="1660" w:bottom="1240" w:left="1600" w:right="1020"/>
        </w:sectPr>
      </w:pPr>
    </w:p>
    <w:p>
      <w:pPr>
        <w:pStyle w:val="ListParagraph"/>
        <w:numPr>
          <w:ilvl w:val="0"/>
          <w:numId w:val="4"/>
        </w:numPr>
        <w:tabs>
          <w:tab w:pos="700" w:val="left" w:leader="none"/>
        </w:tabs>
        <w:spacing w:line="240" w:lineRule="auto" w:before="163" w:after="0"/>
        <w:ind w:left="102" w:right="117" w:firstLine="0"/>
        <w:jc w:val="both"/>
        <w:rPr>
          <w:sz w:val="22"/>
        </w:rPr>
      </w:pPr>
      <w:r>
        <w:rPr>
          <w:sz w:val="22"/>
        </w:rPr>
        <w:t>- proposição de medidas preventivas no campo da segurança do trabalho, em face do conhecimento da natureza e gravidade das lesões provenientes do acidente de trabalho, incluídas as doenças do</w:t>
      </w:r>
      <w:r>
        <w:rPr>
          <w:spacing w:val="-2"/>
          <w:sz w:val="22"/>
        </w:rPr>
        <w:t> </w:t>
      </w:r>
      <w:r>
        <w:rPr>
          <w:sz w:val="22"/>
        </w:rPr>
        <w:t>trabalho;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798" w:val="left" w:leader="none"/>
        </w:tabs>
        <w:spacing w:line="240" w:lineRule="auto" w:before="0" w:after="0"/>
        <w:ind w:left="102" w:right="108" w:firstLine="0"/>
        <w:jc w:val="both"/>
        <w:rPr>
          <w:sz w:val="22"/>
        </w:rPr>
      </w:pPr>
      <w:r>
        <w:rPr>
          <w:sz w:val="22"/>
        </w:rPr>
        <w:t>- informação aos trabalhadores e à comunidade, diretamente ou por meio de seus representantes, das condições que possam trazer danos a sua integridade e as medidas que eliminem  ou atenuem estes riscos e que deverão ser</w:t>
      </w:r>
      <w:r>
        <w:rPr>
          <w:spacing w:val="-9"/>
          <w:sz w:val="22"/>
        </w:rPr>
        <w:t> </w:t>
      </w:r>
      <w:r>
        <w:rPr>
          <w:sz w:val="22"/>
        </w:rPr>
        <w:t>tomadas;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549" w:val="left" w:leader="none"/>
        </w:tabs>
        <w:spacing w:line="240" w:lineRule="auto" w:before="0" w:after="0"/>
        <w:ind w:left="548" w:right="0" w:hanging="446"/>
        <w:jc w:val="both"/>
        <w:rPr>
          <w:sz w:val="22"/>
        </w:rPr>
      </w:pPr>
      <w:r>
        <w:rPr>
          <w:sz w:val="22"/>
        </w:rPr>
        <w:t>- organização e supervisão das</w:t>
      </w:r>
      <w:r>
        <w:rPr>
          <w:spacing w:val="-10"/>
          <w:sz w:val="22"/>
        </w:rPr>
        <w:t> </w:t>
      </w:r>
      <w:r>
        <w:rPr>
          <w:sz w:val="22"/>
        </w:rPr>
        <w:t>CIPAS;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501" w:val="left" w:leader="none"/>
        </w:tabs>
        <w:spacing w:line="240" w:lineRule="auto" w:before="0" w:after="0"/>
        <w:ind w:left="102" w:right="117" w:firstLine="0"/>
        <w:jc w:val="both"/>
        <w:rPr>
          <w:sz w:val="22"/>
        </w:rPr>
      </w:pPr>
      <w:r>
        <w:rPr>
          <w:sz w:val="22"/>
        </w:rPr>
        <w:t>- outras atividades destinadas a prevenir riscos à integridade da pessoa humana e a promover a proteção à saúde do trabalhador no ambiente de</w:t>
      </w:r>
      <w:r>
        <w:rPr>
          <w:spacing w:val="-5"/>
          <w:sz w:val="22"/>
        </w:rPr>
        <w:t> </w:t>
      </w:r>
      <w:r>
        <w:rPr>
          <w:sz w:val="22"/>
        </w:rPr>
        <w:t>trabalho.</w:t>
      </w:r>
    </w:p>
    <w:p>
      <w:pPr>
        <w:pStyle w:val="BodyText"/>
      </w:pPr>
    </w:p>
    <w:p>
      <w:pPr>
        <w:pStyle w:val="BodyText"/>
        <w:ind w:left="102" w:right="106"/>
        <w:jc w:val="both"/>
      </w:pPr>
      <w:r>
        <w:rPr/>
        <w:t>Art. 11. No exercício das atividades de especialista em Engenharia de Segurança do Trabalho, o arquiteto e urbanista efetuará o Registro de Responsabilidade Técnica (RRT) no CAU, nos termos da norma específica do CAU/BR sobre Registro de Responsabilidade Técnica (RRT), e em conformidade com as atividades técnicas previstas no item “7. ENGENHARIA DE SEGURANÇA DO TRABALHO” do art. 3º da Resolução CAU/BR nº 21, de 5 de abril de 2012.</w:t>
      </w:r>
    </w:p>
    <w:p>
      <w:pPr>
        <w:pStyle w:val="BodyText"/>
        <w:spacing w:before="2"/>
      </w:pPr>
    </w:p>
    <w:p>
      <w:pPr>
        <w:pStyle w:val="BodyText"/>
        <w:ind w:left="102" w:right="111"/>
        <w:jc w:val="both"/>
      </w:pPr>
      <w:r>
        <w:rPr/>
        <w:t>Parágrafo único. Para atendimento de todas as atividades listadas no art. 10 desta Resolução, serão incluídas no subitem 7.8 do item 7 do art. 3º da Resolução CAU/BR nº 21, de 2012, as atividades técnicas listadas no art. 14 desta Resolução.</w:t>
      </w:r>
    </w:p>
    <w:p>
      <w:pPr>
        <w:pStyle w:val="BodyText"/>
        <w:spacing w:before="3"/>
      </w:pPr>
    </w:p>
    <w:p>
      <w:pPr>
        <w:pStyle w:val="Heading1"/>
        <w:ind w:right="1073"/>
      </w:pPr>
      <w:r>
        <w:rPr/>
        <w:t>CAPÍTULO IV</w:t>
      </w:r>
    </w:p>
    <w:p>
      <w:pPr>
        <w:spacing w:before="1"/>
        <w:ind w:left="2279" w:right="0" w:firstLine="0"/>
        <w:jc w:val="left"/>
        <w:rPr>
          <w:b/>
          <w:sz w:val="22"/>
        </w:rPr>
      </w:pPr>
      <w:r>
        <w:rPr>
          <w:b/>
          <w:sz w:val="22"/>
        </w:rPr>
        <w:t>DAS DISPOSIÇÕES FINAIS E TRANSITÓRIAS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spacing w:before="1"/>
        <w:ind w:left="102" w:right="107"/>
        <w:jc w:val="both"/>
      </w:pPr>
      <w:r>
        <w:rPr/>
        <w:t>Art. 12. Constatado que as informações fornecidas pelo profissional são inverídicas, este estará sujeito à autuação por infração à legislação reguladora da profissão e por falta ética, sujeitando-se às cominações legais e regulamentares aplicáveis.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2" w:right="107"/>
        <w:jc w:val="both"/>
      </w:pPr>
      <w:r>
        <w:rPr/>
        <w:t>Parágrafo único. Para apuração e constatação da infração legal ou da falta ética de que trata o </w:t>
      </w:r>
      <w:r>
        <w:rPr>
          <w:i/>
        </w:rPr>
        <w:t>caput </w:t>
      </w:r>
      <w:r>
        <w:rPr/>
        <w:t>deste artigo, deverá ser instaurado o devido processo administrativo, seguindo os ritos processuais dispostos nos normativos específicos do CAU/BR que tratam de fiscalização e ética e disciplina.</w:t>
      </w:r>
    </w:p>
    <w:p>
      <w:pPr>
        <w:pStyle w:val="BodyText"/>
        <w:spacing w:before="1"/>
      </w:pPr>
    </w:p>
    <w:p>
      <w:pPr>
        <w:spacing w:before="0"/>
        <w:ind w:left="102" w:right="106" w:firstLine="0"/>
        <w:jc w:val="both"/>
        <w:rPr>
          <w:sz w:val="22"/>
        </w:rPr>
      </w:pPr>
      <w:r>
        <w:rPr>
          <w:sz w:val="22"/>
        </w:rPr>
        <w:t>Art. 13. O arquiteto e urbanista, que já possui o título complementar de “</w:t>
      </w:r>
      <w:r>
        <w:rPr>
          <w:i/>
          <w:sz w:val="22"/>
        </w:rPr>
        <w:t>Especialista em Engenharia </w:t>
      </w:r>
      <w:r>
        <w:rPr>
          <w:i/>
          <w:sz w:val="22"/>
        </w:rPr>
        <w:t>de Segurança do Trabalho</w:t>
      </w:r>
      <w:r>
        <w:rPr>
          <w:sz w:val="22"/>
        </w:rPr>
        <w:t>” registrado no CAU e a Carteira de Identificação Profissional emitida, poderá solicitar a troca da sua carteira no CAU/UF pertinente para que a nova Carteira contemple a nova nomenclatura de título complementar “</w:t>
      </w:r>
      <w:r>
        <w:rPr>
          <w:i/>
          <w:sz w:val="22"/>
        </w:rPr>
        <w:t>Engenheiro (a) de Segurança do Trabalho </w:t>
      </w:r>
      <w:r>
        <w:rPr>
          <w:i/>
          <w:sz w:val="22"/>
        </w:rPr>
        <w:t>(Especialização)”, </w:t>
      </w:r>
      <w:r>
        <w:rPr>
          <w:sz w:val="22"/>
        </w:rPr>
        <w:t>por meio do requerimento de segunda via de carteira, nos termos da norma específica do CAU/BR sobre carteiras.</w:t>
      </w:r>
    </w:p>
    <w:p>
      <w:pPr>
        <w:pStyle w:val="BodyText"/>
      </w:pPr>
    </w:p>
    <w:p>
      <w:pPr>
        <w:pStyle w:val="BodyText"/>
        <w:ind w:left="102" w:right="107"/>
        <w:jc w:val="both"/>
      </w:pPr>
      <w:r>
        <w:rPr/>
        <w:t>Parágrafo único. Para os casos definidos no </w:t>
      </w:r>
      <w:r>
        <w:rPr>
          <w:i/>
        </w:rPr>
        <w:t>caput </w:t>
      </w:r>
      <w:r>
        <w:rPr/>
        <w:t>deste artigo, o profissional que requerer a troca da carteira no prazo de 180 (cento e oitenta) dias, contados da data de entrada em vigor desta Resolução, estará isento do pagamento da taxa correspondente para emissão da segunda via da carteira de identidade profissional definitiva.</w:t>
      </w:r>
    </w:p>
    <w:p>
      <w:pPr>
        <w:pStyle w:val="BodyText"/>
        <w:spacing w:before="1"/>
      </w:pPr>
    </w:p>
    <w:p>
      <w:pPr>
        <w:pStyle w:val="BodyText"/>
        <w:ind w:left="102" w:right="109"/>
        <w:jc w:val="both"/>
      </w:pPr>
      <w:r>
        <w:rPr/>
        <w:t>Art. 14. O item “7.8. OUTRAS ATIVIDADES”, do item 7 do art. 3º da Resolução CAU/BR nº 21, de 5 de abril de 2012, passa a vigorar com as seguintes alterações: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52" w:lineRule="exact" w:before="1"/>
        <w:ind w:left="1520"/>
      </w:pPr>
      <w:r>
        <w:rPr/>
        <w:t>“7.8. OUTRAS ATIVIDADES</w:t>
      </w:r>
    </w:p>
    <w:p>
      <w:pPr>
        <w:pStyle w:val="BodyText"/>
        <w:spacing w:line="252" w:lineRule="exact"/>
        <w:ind w:left="1520"/>
      </w:pPr>
      <w:r>
        <w:rPr/>
        <w:t>...........................................................................................................................................</w:t>
      </w:r>
    </w:p>
    <w:p>
      <w:pPr>
        <w:pStyle w:val="ListParagraph"/>
        <w:numPr>
          <w:ilvl w:val="2"/>
          <w:numId w:val="5"/>
        </w:numPr>
        <w:tabs>
          <w:tab w:pos="2183" w:val="left" w:leader="none"/>
        </w:tabs>
        <w:spacing w:line="252" w:lineRule="exact" w:before="1" w:after="0"/>
        <w:ind w:left="2182" w:right="0" w:hanging="662"/>
        <w:jc w:val="left"/>
        <w:rPr>
          <w:sz w:val="22"/>
        </w:rPr>
      </w:pPr>
      <w:r>
        <w:rPr>
          <w:sz w:val="22"/>
        </w:rPr>
        <w:t>Projeto de sistemas de</w:t>
      </w:r>
      <w:r>
        <w:rPr>
          <w:spacing w:val="-1"/>
          <w:sz w:val="22"/>
        </w:rPr>
        <w:t> </w:t>
      </w:r>
      <w:r>
        <w:rPr>
          <w:sz w:val="22"/>
        </w:rPr>
        <w:t>segurança;</w:t>
      </w:r>
    </w:p>
    <w:p>
      <w:pPr>
        <w:pStyle w:val="ListParagraph"/>
        <w:numPr>
          <w:ilvl w:val="2"/>
          <w:numId w:val="5"/>
        </w:numPr>
        <w:tabs>
          <w:tab w:pos="2183" w:val="left" w:leader="none"/>
        </w:tabs>
        <w:spacing w:line="252" w:lineRule="exact" w:before="0" w:after="0"/>
        <w:ind w:left="2182" w:right="0" w:hanging="662"/>
        <w:jc w:val="left"/>
        <w:rPr>
          <w:sz w:val="22"/>
        </w:rPr>
      </w:pPr>
      <w:r>
        <w:rPr>
          <w:sz w:val="22"/>
        </w:rPr>
        <w:t>Projeto de sistemas de proteção contra</w:t>
      </w:r>
      <w:r>
        <w:rPr>
          <w:spacing w:val="-4"/>
          <w:sz w:val="22"/>
        </w:rPr>
        <w:t> </w:t>
      </w:r>
      <w:r>
        <w:rPr>
          <w:sz w:val="22"/>
        </w:rPr>
        <w:t>incêndios;</w:t>
      </w:r>
    </w:p>
    <w:p>
      <w:pPr>
        <w:spacing w:after="0" w:line="252" w:lineRule="exact"/>
        <w:jc w:val="left"/>
        <w:rPr>
          <w:sz w:val="22"/>
        </w:rPr>
        <w:sectPr>
          <w:pgSz w:w="11900" w:h="16850"/>
          <w:pgMar w:header="568" w:footer="1055" w:top="1660" w:bottom="1240" w:left="1600" w:right="1020"/>
        </w:sectPr>
      </w:pPr>
    </w:p>
    <w:p>
      <w:pPr>
        <w:pStyle w:val="ListParagraph"/>
        <w:numPr>
          <w:ilvl w:val="2"/>
          <w:numId w:val="5"/>
        </w:numPr>
        <w:tabs>
          <w:tab w:pos="2210" w:val="left" w:leader="none"/>
        </w:tabs>
        <w:spacing w:line="240" w:lineRule="auto" w:before="163" w:after="0"/>
        <w:ind w:left="1520" w:right="112" w:firstLine="0"/>
        <w:jc w:val="left"/>
        <w:rPr>
          <w:sz w:val="22"/>
        </w:rPr>
      </w:pPr>
      <w:r>
        <w:rPr>
          <w:sz w:val="22"/>
        </w:rPr>
        <w:t>Acompanhamento da execução de obras e serviços relacionados à segurança do</w:t>
      </w:r>
      <w:r>
        <w:rPr>
          <w:spacing w:val="-1"/>
          <w:sz w:val="22"/>
        </w:rPr>
        <w:t> </w:t>
      </w:r>
      <w:r>
        <w:rPr>
          <w:sz w:val="22"/>
        </w:rPr>
        <w:t>trabalho;</w:t>
      </w:r>
    </w:p>
    <w:p>
      <w:pPr>
        <w:pStyle w:val="ListParagraph"/>
        <w:numPr>
          <w:ilvl w:val="2"/>
          <w:numId w:val="5"/>
        </w:numPr>
        <w:tabs>
          <w:tab w:pos="2183" w:val="left" w:leader="none"/>
        </w:tabs>
        <w:spacing w:line="252" w:lineRule="exact" w:before="0" w:after="0"/>
        <w:ind w:left="2182" w:right="0" w:hanging="662"/>
        <w:jc w:val="left"/>
        <w:rPr>
          <w:sz w:val="22"/>
        </w:rPr>
      </w:pPr>
      <w:r>
        <w:rPr>
          <w:sz w:val="22"/>
        </w:rPr>
        <w:t>Assessoria;</w:t>
      </w:r>
    </w:p>
    <w:p>
      <w:pPr>
        <w:pStyle w:val="ListParagraph"/>
        <w:numPr>
          <w:ilvl w:val="2"/>
          <w:numId w:val="5"/>
        </w:numPr>
        <w:tabs>
          <w:tab w:pos="2183" w:val="left" w:leader="none"/>
        </w:tabs>
        <w:spacing w:line="252" w:lineRule="exact" w:before="0" w:after="0"/>
        <w:ind w:left="2182" w:right="0" w:hanging="662"/>
        <w:jc w:val="left"/>
        <w:rPr>
          <w:sz w:val="22"/>
        </w:rPr>
      </w:pPr>
      <w:r>
        <w:rPr>
          <w:sz w:val="22"/>
        </w:rPr>
        <w:t>Inspeção e</w:t>
      </w:r>
      <w:r>
        <w:rPr>
          <w:spacing w:val="-4"/>
          <w:sz w:val="22"/>
        </w:rPr>
        <w:t> </w:t>
      </w:r>
      <w:r>
        <w:rPr>
          <w:sz w:val="22"/>
        </w:rPr>
        <w:t>Controle;</w:t>
      </w:r>
    </w:p>
    <w:p>
      <w:pPr>
        <w:pStyle w:val="ListParagraph"/>
        <w:numPr>
          <w:ilvl w:val="2"/>
          <w:numId w:val="5"/>
        </w:numPr>
        <w:tabs>
          <w:tab w:pos="2183" w:val="left" w:leader="none"/>
        </w:tabs>
        <w:spacing w:line="252" w:lineRule="exact" w:before="2" w:after="0"/>
        <w:ind w:left="2182" w:right="0" w:hanging="662"/>
        <w:jc w:val="left"/>
        <w:rPr>
          <w:sz w:val="22"/>
        </w:rPr>
      </w:pPr>
      <w:r>
        <w:rPr>
          <w:sz w:val="22"/>
        </w:rPr>
        <w:t>Especificação;</w:t>
      </w:r>
    </w:p>
    <w:p>
      <w:pPr>
        <w:pStyle w:val="ListParagraph"/>
        <w:numPr>
          <w:ilvl w:val="2"/>
          <w:numId w:val="5"/>
        </w:numPr>
        <w:tabs>
          <w:tab w:pos="2183" w:val="left" w:leader="none"/>
        </w:tabs>
        <w:spacing w:line="252" w:lineRule="exact" w:before="0" w:after="0"/>
        <w:ind w:left="2182" w:right="0" w:hanging="662"/>
        <w:jc w:val="left"/>
        <w:rPr>
          <w:sz w:val="22"/>
        </w:rPr>
      </w:pPr>
      <w:r>
        <w:rPr>
          <w:sz w:val="22"/>
        </w:rPr>
        <w:t>Orientação</w:t>
      </w:r>
      <w:r>
        <w:rPr>
          <w:spacing w:val="-3"/>
          <w:sz w:val="22"/>
        </w:rPr>
        <w:t> </w:t>
      </w:r>
      <w:r>
        <w:rPr>
          <w:sz w:val="22"/>
        </w:rPr>
        <w:t>Técnica;</w:t>
      </w:r>
    </w:p>
    <w:p>
      <w:pPr>
        <w:pStyle w:val="ListParagraph"/>
        <w:numPr>
          <w:ilvl w:val="2"/>
          <w:numId w:val="5"/>
        </w:numPr>
        <w:tabs>
          <w:tab w:pos="2183" w:val="left" w:leader="none"/>
        </w:tabs>
        <w:spacing w:line="252" w:lineRule="exact" w:before="0" w:after="0"/>
        <w:ind w:left="2182" w:right="0" w:hanging="662"/>
        <w:jc w:val="left"/>
        <w:rPr>
          <w:sz w:val="22"/>
        </w:rPr>
      </w:pPr>
      <w:r>
        <w:rPr>
          <w:sz w:val="22"/>
        </w:rPr>
        <w:t>Fiscalização;</w:t>
      </w:r>
    </w:p>
    <w:p>
      <w:pPr>
        <w:pStyle w:val="ListParagraph"/>
        <w:numPr>
          <w:ilvl w:val="2"/>
          <w:numId w:val="5"/>
        </w:numPr>
        <w:tabs>
          <w:tab w:pos="2183" w:val="left" w:leader="none"/>
        </w:tabs>
        <w:spacing w:line="252" w:lineRule="exact" w:before="1" w:after="0"/>
        <w:ind w:left="2182" w:right="0" w:hanging="662"/>
        <w:jc w:val="left"/>
        <w:rPr>
          <w:sz w:val="22"/>
        </w:rPr>
      </w:pPr>
      <w:r>
        <w:rPr>
          <w:sz w:val="22"/>
        </w:rPr>
        <w:t>Supervisão;</w:t>
      </w:r>
    </w:p>
    <w:p>
      <w:pPr>
        <w:pStyle w:val="ListParagraph"/>
        <w:numPr>
          <w:ilvl w:val="2"/>
          <w:numId w:val="5"/>
        </w:numPr>
        <w:tabs>
          <w:tab w:pos="2183" w:val="left" w:leader="none"/>
        </w:tabs>
        <w:spacing w:line="252" w:lineRule="exact" w:before="0" w:after="0"/>
        <w:ind w:left="2182" w:right="0" w:hanging="662"/>
        <w:jc w:val="left"/>
        <w:rPr>
          <w:sz w:val="22"/>
        </w:rPr>
      </w:pPr>
      <w:r>
        <w:rPr>
          <w:sz w:val="22"/>
        </w:rPr>
        <w:t>Coordenação;</w:t>
      </w:r>
    </w:p>
    <w:p>
      <w:pPr>
        <w:pStyle w:val="ListParagraph"/>
        <w:numPr>
          <w:ilvl w:val="2"/>
          <w:numId w:val="5"/>
        </w:numPr>
        <w:tabs>
          <w:tab w:pos="2183" w:val="left" w:leader="none"/>
        </w:tabs>
        <w:spacing w:line="240" w:lineRule="auto" w:before="2" w:after="0"/>
        <w:ind w:left="2182" w:right="0" w:hanging="662"/>
        <w:jc w:val="left"/>
        <w:rPr>
          <w:sz w:val="22"/>
        </w:rPr>
      </w:pPr>
      <w:r>
        <w:rPr>
          <w:sz w:val="22"/>
        </w:rPr>
        <w:t>Gerenciamento.”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02"/>
      </w:pPr>
      <w:r>
        <w:rPr/>
        <w:t>Art. 15. Revoga-se a Resolução CAU/BR nº 10, de 16 de janeiro de 2012.</w:t>
      </w:r>
    </w:p>
    <w:p>
      <w:pPr>
        <w:pStyle w:val="BodyText"/>
        <w:spacing w:before="1"/>
      </w:pPr>
    </w:p>
    <w:p>
      <w:pPr>
        <w:pStyle w:val="BodyText"/>
        <w:ind w:left="102"/>
      </w:pPr>
      <w:r>
        <w:rPr/>
        <w:t>Art. 16. Esta Resolução entra em vigor 90 (noventa dias) da data de publicação.</w:t>
      </w:r>
    </w:p>
    <w:p>
      <w:pPr>
        <w:pStyle w:val="BodyText"/>
        <w:spacing w:before="1"/>
      </w:pPr>
    </w:p>
    <w:p>
      <w:pPr>
        <w:pStyle w:val="BodyText"/>
        <w:ind w:left="1066" w:right="1072"/>
        <w:jc w:val="center"/>
      </w:pPr>
      <w:r>
        <w:rPr/>
        <w:t>Brasília, 24 de maio de 2018.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line="250" w:lineRule="exact" w:before="212"/>
        <w:ind w:right="1076"/>
      </w:pPr>
      <w:r>
        <w:rPr/>
        <w:t>LUCIANO GUIMARÃES</w:t>
      </w:r>
    </w:p>
    <w:p>
      <w:pPr>
        <w:pStyle w:val="BodyText"/>
        <w:spacing w:line="250" w:lineRule="exact"/>
        <w:ind w:left="1066" w:right="1073"/>
        <w:jc w:val="center"/>
      </w:pPr>
      <w:r>
        <w:rPr/>
        <w:t>Presidente do CAU/BR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4"/>
        </w:rPr>
      </w:pPr>
    </w:p>
    <w:p>
      <w:pPr>
        <w:pStyle w:val="BodyText"/>
        <w:ind w:left="102"/>
      </w:pPr>
      <w:r>
        <w:rPr/>
        <w:t>(Publicada no Diário Oficial da União, Edição n° 116, Seção 1, de 19 de junho de 2018)</w:t>
      </w:r>
    </w:p>
    <w:sectPr>
      <w:pgSz w:w="11900" w:h="16850"/>
      <w:pgMar w:header="568" w:footer="1055" w:top="1660" w:bottom="124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8383">
          <wp:simplePos x="0" y="0"/>
          <wp:positionH relativeFrom="page">
            <wp:posOffset>69850</wp:posOffset>
          </wp:positionH>
          <wp:positionV relativeFrom="page">
            <wp:posOffset>9846472</wp:posOffset>
          </wp:positionV>
          <wp:extent cx="7486142" cy="439749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86142" cy="439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359985pt;margin-top:782.348511pt;width:9.050pt;height:12.1pt;mso-position-horizontal-relative:page;mso-position-vertical-relative:page;z-index:-7048" type="#_x0000_t202" filled="false" stroked="false">
          <v:textbox inset="0,0,0,0">
            <w:txbxContent>
              <w:p>
                <w:pPr>
                  <w:spacing w:before="14"/>
                  <w:ind w:left="4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296C79"/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8359">
          <wp:simplePos x="0" y="0"/>
          <wp:positionH relativeFrom="page">
            <wp:posOffset>84455</wp:posOffset>
          </wp:positionH>
          <wp:positionV relativeFrom="page">
            <wp:posOffset>360974</wp:posOffset>
          </wp:positionV>
          <wp:extent cx="7471537" cy="58486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71537" cy="584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7"/>
      <w:numFmt w:val="decimal"/>
      <w:lvlText w:val="%1"/>
      <w:lvlJc w:val="left"/>
      <w:pPr>
        <w:ind w:left="2182" w:hanging="663"/>
        <w:jc w:val="left"/>
      </w:pPr>
      <w:rPr>
        <w:rFonts w:hint="default"/>
        <w:lang w:val="pt-br" w:eastAsia="pt-br" w:bidi="pt-br"/>
      </w:rPr>
    </w:lvl>
    <w:lvl w:ilvl="1">
      <w:start w:val="8"/>
      <w:numFmt w:val="decimal"/>
      <w:lvlText w:val="%1.%2"/>
      <w:lvlJc w:val="left"/>
      <w:pPr>
        <w:ind w:left="2182" w:hanging="663"/>
        <w:jc w:val="left"/>
      </w:pPr>
      <w:rPr>
        <w:rFonts w:hint="default"/>
        <w:lang w:val="pt-br" w:eastAsia="pt-br" w:bidi="pt-br"/>
      </w:rPr>
    </w:lvl>
    <w:lvl w:ilvl="2">
      <w:start w:val="12"/>
      <w:numFmt w:val="decimal"/>
      <w:lvlText w:val="%1.%2.%3."/>
      <w:lvlJc w:val="left"/>
      <w:pPr>
        <w:ind w:left="2182" w:hanging="66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3">
      <w:start w:val="0"/>
      <w:numFmt w:val="bullet"/>
      <w:lvlText w:val="•"/>
      <w:lvlJc w:val="left"/>
      <w:pPr>
        <w:ind w:left="4309" w:hanging="663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5019" w:hanging="663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729" w:hanging="663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439" w:hanging="663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149" w:hanging="663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859" w:hanging="663"/>
      </w:pPr>
      <w:rPr>
        <w:rFonts w:hint="default"/>
        <w:lang w:val="pt-br" w:eastAsia="pt-br" w:bidi="pt-br"/>
      </w:rPr>
    </w:lvl>
  </w:abstractNum>
  <w:abstractNum w:abstractNumId="3">
    <w:multiLevelType w:val="hybridMultilevel"/>
    <w:lvl w:ilvl="0">
      <w:start w:val="1"/>
      <w:numFmt w:val="upperRoman"/>
      <w:lvlText w:val="%1"/>
      <w:lvlJc w:val="left"/>
      <w:pPr>
        <w:ind w:left="102" w:hanging="18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17" w:hanging="188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935" w:hanging="188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853" w:hanging="188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771" w:hanging="18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689" w:hanging="18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07" w:hanging="18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25" w:hanging="18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43" w:hanging="188"/>
      </w:pPr>
      <w:rPr>
        <w:rFonts w:hint="default"/>
        <w:lang w:val="pt-br" w:eastAsia="pt-br" w:bidi="pt-br"/>
      </w:rPr>
    </w:lvl>
  </w:abstractNum>
  <w:abstractNum w:abstractNumId="2">
    <w:multiLevelType w:val="hybridMultilevel"/>
    <w:lvl w:ilvl="0">
      <w:start w:val="1"/>
      <w:numFmt w:val="upperRoman"/>
      <w:lvlText w:val="%1"/>
      <w:lvlJc w:val="left"/>
      <w:pPr>
        <w:ind w:left="229" w:hanging="12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125" w:hanging="128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31" w:hanging="128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37" w:hanging="128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843" w:hanging="12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749" w:hanging="12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55" w:hanging="12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61" w:hanging="12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67" w:hanging="128"/>
      </w:pPr>
      <w:rPr>
        <w:rFonts w:hint="default"/>
        <w:lang w:val="pt-br" w:eastAsia="pt-br" w:bidi="pt-br"/>
      </w:rPr>
    </w:lvl>
  </w:abstractNum>
  <w:abstractNum w:abstractNumId="1">
    <w:multiLevelType w:val="hybridMultilevel"/>
    <w:lvl w:ilvl="0">
      <w:start w:val="1"/>
      <w:numFmt w:val="upperRoman"/>
      <w:lvlText w:val="%1"/>
      <w:lvlJc w:val="left"/>
      <w:pPr>
        <w:ind w:left="102" w:hanging="154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17" w:hanging="154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935" w:hanging="154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853" w:hanging="154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771" w:hanging="154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689" w:hanging="154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07" w:hanging="154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25" w:hanging="154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43" w:hanging="154"/>
      </w:pPr>
      <w:rPr>
        <w:rFonts w:hint="default"/>
        <w:lang w:val="pt-br" w:eastAsia="pt-br" w:bidi="pt-br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102" w:hanging="164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17" w:hanging="164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935" w:hanging="164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853" w:hanging="164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771" w:hanging="164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689" w:hanging="164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07" w:hanging="164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25" w:hanging="164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43" w:hanging="164"/>
      </w:pPr>
      <w:rPr>
        <w:rFonts w:hint="default"/>
        <w:lang w:val="pt-br" w:eastAsia="pt-br" w:bidi="pt-br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1066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ind w:left="102"/>
      <w:jc w:val="both"/>
    </w:pPr>
    <w:rPr>
      <w:rFonts w:ascii="Times New Roman" w:hAnsi="Times New Roman" w:eastAsia="Times New Roman" w:cs="Times New Roman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legislacao.planalto.gov.br/legisla/legislacao.nsf/Viw_Identificacao/DEL%204.657-1942?OpenDocument" TargetMode="External"/><Relationship Id="rId8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Pecegueiro Maranhao Santos</dc:creator>
  <dcterms:created xsi:type="dcterms:W3CDTF">2019-04-23T15:21:02Z</dcterms:created>
  <dcterms:modified xsi:type="dcterms:W3CDTF">2019-04-23T15:21:02Z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2019-04-23T00:00:00Z</vt:filetime>
  </property>
</Properties>
</file>