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3725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0</wp:posOffset>
            </wp:positionH>
            <wp:positionV relativeFrom="paragraph">
              <wp:posOffset>-718912</wp:posOffset>
            </wp:positionV>
            <wp:extent cx="7555992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161, DE 27 DE ABRIL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5813" w:right="1261"/>
        <w:jc w:val="both"/>
      </w:pPr>
      <w:r>
        <w:rPr/>
        <w:t>Homologa a Primeira Reprogramação do Plano de Ação e Orçamento do CAU/AC – Exercício 2018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2" w:lineRule="exact"/>
        <w:ind w:left="1560"/>
        <w:jc w:val="both"/>
      </w:pPr>
      <w:r>
        <w:rPr/>
        <w:t>O CONSELHO DE ARQUITETURA E URBANISMO DO BRASIL (CAU/BR), no exercício das</w:t>
      </w:r>
    </w:p>
    <w:p>
      <w:pPr>
        <w:pStyle w:val="BodyText"/>
        <w:ind w:left="1560" w:right="1263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</w:t>
      </w:r>
      <w:r>
        <w:rPr>
          <w:spacing w:val="2"/>
        </w:rPr>
        <w:t>139, </w:t>
      </w:r>
      <w:r>
        <w:rPr/>
        <w:t>de 28 de abril de 2017, e de acordo com a Deliberação Plenária DPOBR n° 0077-17/2018, adotada na Reunião Plenária Ordinária n° 77, realizada nos dias 26 e 27 de abril de</w:t>
      </w:r>
      <w:r>
        <w:rPr>
          <w:spacing w:val="-8"/>
        </w:rPr>
        <w:t> </w:t>
      </w:r>
      <w:r>
        <w:rPr/>
        <w:t>2018;</w:t>
      </w:r>
    </w:p>
    <w:p>
      <w:pPr>
        <w:pStyle w:val="BodyText"/>
        <w:spacing w:before="1"/>
      </w:pPr>
    </w:p>
    <w:p>
      <w:pPr>
        <w:pStyle w:val="BodyText"/>
        <w:spacing w:before="1"/>
        <w:ind w:left="1560" w:right="1262"/>
        <w:jc w:val="both"/>
      </w:pPr>
      <w:r>
        <w:rPr/>
        <w:t>Considerando que compete ao Plenário do CAU/BR estabelecer diretrizes orçamentárias e contábeis para formulação dos orçamentos dos Conselhos de Arquitetura e Urbanismo dos Estados e do Distrito Federal (CAU/UF);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560" w:right="1266"/>
        <w:jc w:val="both"/>
      </w:pPr>
      <w:r>
        <w:rPr/>
        <w:t>Considerando que compete ao Plenário do CAU/BR aprovar o Plano de Ação e Orçamento do CAU/BR e homologar os Planos de Ação e Orçamentos dos Conselhos de Arquitetura e Urbanismo dos Estados e do Distrito Federal (CAU/UF) e as reformulações daquele e destes; e</w:t>
      </w:r>
    </w:p>
    <w:p>
      <w:pPr>
        <w:pStyle w:val="BodyText"/>
      </w:pPr>
    </w:p>
    <w:p>
      <w:pPr>
        <w:pStyle w:val="BodyText"/>
        <w:ind w:left="1560" w:right="1263"/>
        <w:jc w:val="both"/>
      </w:pPr>
      <w:r>
        <w:rPr/>
        <w:t>Considerando a Deliberação de Comissão nº 13/2018-CPFi-CAU/BR, da Comissão de Planejamento e Finanças do CAU/BR, que propõe ao Plenário do CAU/BR a homologação da Reprogramação do Plano de Ação e Orçamento do CAU/AC;</w:t>
      </w:r>
    </w:p>
    <w:p>
      <w:pPr>
        <w:pStyle w:val="BodyText"/>
        <w:spacing w:before="6"/>
      </w:pPr>
    </w:p>
    <w:p>
      <w:pPr>
        <w:pStyle w:val="Heading1"/>
        <w:ind w:left="1560"/>
        <w:jc w:val="both"/>
      </w:pPr>
      <w:r>
        <w:rPr/>
        <w:t>RESOLVE: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560" w:right="1261"/>
        <w:jc w:val="both"/>
      </w:pPr>
      <w:r>
        <w:rPr/>
        <w:t>Art. 1° Homologar a Primeira Reprogramação do Plano de Ação e Orçamento do Conselho de Arquitetura e Urbanismo do Acre (CAU/AC), para o Exercício de 2018, na forma do resumo abaixo:</w:t>
      </w:r>
    </w:p>
    <w:p>
      <w:pPr>
        <w:pStyle w:val="BodyText"/>
        <w:spacing w:before="4"/>
      </w:pPr>
    </w:p>
    <w:p>
      <w:pPr>
        <w:pStyle w:val="Heading1"/>
        <w:ind w:right="3742"/>
      </w:pPr>
      <w:r>
        <w:rPr/>
        <w:t>CAU/AC – 1ª REPROGRAMAÇÃO – 2018</w:t>
      </w: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1892"/>
        <w:gridCol w:w="1894"/>
        <w:gridCol w:w="1892"/>
        <w:gridCol w:w="1891"/>
      </w:tblGrid>
      <w:tr>
        <w:trPr>
          <w:trHeight w:val="273" w:hRule="atLeast"/>
        </w:trPr>
        <w:tc>
          <w:tcPr>
            <w:tcW w:w="1505" w:type="dxa"/>
          </w:tcPr>
          <w:p>
            <w:pPr>
              <w:pStyle w:val="TableParagraph"/>
              <w:spacing w:line="248" w:lineRule="exact" w:before="5"/>
              <w:ind w:left="335" w:right="0"/>
              <w:jc w:val="left"/>
              <w:rPr>
                <w:sz w:val="22"/>
              </w:rPr>
            </w:pPr>
            <w:r>
              <w:rPr>
                <w:sz w:val="22"/>
              </w:rPr>
              <w:t>CAU/AC</w:t>
            </w:r>
          </w:p>
        </w:tc>
        <w:tc>
          <w:tcPr>
            <w:tcW w:w="3786" w:type="dxa"/>
            <w:gridSpan w:val="2"/>
          </w:tcPr>
          <w:p>
            <w:pPr>
              <w:pStyle w:val="TableParagraph"/>
              <w:spacing w:line="248" w:lineRule="exact" w:before="5"/>
              <w:ind w:left="1342" w:right="1341"/>
              <w:jc w:val="center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48" w:lineRule="exact" w:before="5"/>
              <w:ind w:left="1332" w:right="1324"/>
              <w:jc w:val="center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</w:tr>
      <w:tr>
        <w:trPr>
          <w:trHeight w:val="505" w:hRule="atLeast"/>
        </w:trPr>
        <w:tc>
          <w:tcPr>
            <w:tcW w:w="150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47" w:lineRule="exact"/>
              <w:ind w:left="339" w:right="337"/>
              <w:jc w:val="center"/>
              <w:rPr>
                <w:sz w:val="22"/>
              </w:rPr>
            </w:pPr>
            <w:r>
              <w:rPr>
                <w:sz w:val="22"/>
              </w:rPr>
              <w:t>Programação</w:t>
            </w:r>
          </w:p>
          <w:p>
            <w:pPr>
              <w:pStyle w:val="TableParagraph"/>
              <w:spacing w:line="238" w:lineRule="exact" w:before="1"/>
              <w:ind w:left="341" w:right="337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894" w:type="dxa"/>
          </w:tcPr>
          <w:p>
            <w:pPr>
              <w:pStyle w:val="TableParagraph"/>
              <w:spacing w:line="247" w:lineRule="exact"/>
              <w:ind w:left="226" w:right="224"/>
              <w:jc w:val="center"/>
              <w:rPr>
                <w:sz w:val="22"/>
              </w:rPr>
            </w:pPr>
            <w:r>
              <w:rPr>
                <w:sz w:val="22"/>
              </w:rPr>
              <w:t>Reprogramação</w:t>
            </w:r>
          </w:p>
          <w:p>
            <w:pPr>
              <w:pStyle w:val="TableParagraph"/>
              <w:spacing w:line="238" w:lineRule="exact" w:before="1"/>
              <w:ind w:left="226" w:right="221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892" w:type="dxa"/>
          </w:tcPr>
          <w:p>
            <w:pPr>
              <w:pStyle w:val="TableParagraph"/>
              <w:spacing w:line="247" w:lineRule="exact"/>
              <w:ind w:left="341" w:right="335"/>
              <w:jc w:val="center"/>
              <w:rPr>
                <w:sz w:val="22"/>
              </w:rPr>
            </w:pPr>
            <w:r>
              <w:rPr>
                <w:sz w:val="22"/>
              </w:rPr>
              <w:t>Programação</w:t>
            </w:r>
          </w:p>
          <w:p>
            <w:pPr>
              <w:pStyle w:val="TableParagraph"/>
              <w:spacing w:line="238" w:lineRule="exact" w:before="1"/>
              <w:ind w:left="341" w:right="334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891" w:type="dxa"/>
          </w:tcPr>
          <w:p>
            <w:pPr>
              <w:pStyle w:val="TableParagraph"/>
              <w:spacing w:line="247" w:lineRule="exact"/>
              <w:ind w:left="226" w:right="221"/>
              <w:jc w:val="center"/>
              <w:rPr>
                <w:sz w:val="22"/>
              </w:rPr>
            </w:pPr>
            <w:r>
              <w:rPr>
                <w:sz w:val="22"/>
              </w:rPr>
              <w:t>Reprogramação</w:t>
            </w:r>
          </w:p>
          <w:p>
            <w:pPr>
              <w:pStyle w:val="TableParagraph"/>
              <w:spacing w:line="238" w:lineRule="exact" w:before="1"/>
              <w:ind w:left="226" w:right="218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254" w:hRule="atLeast"/>
        </w:trPr>
        <w:tc>
          <w:tcPr>
            <w:tcW w:w="1505" w:type="dxa"/>
          </w:tcPr>
          <w:p>
            <w:pPr>
              <w:pStyle w:val="TableParagraph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Corrente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1.161.807,00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1.161.807,00</w:t>
            </w:r>
          </w:p>
        </w:tc>
        <w:tc>
          <w:tcPr>
            <w:tcW w:w="1892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1.161.807,00</w:t>
            </w:r>
          </w:p>
        </w:tc>
        <w:tc>
          <w:tcPr>
            <w:tcW w:w="1891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1.161.807,00</w:t>
            </w:r>
          </w:p>
        </w:tc>
      </w:tr>
      <w:tr>
        <w:trPr>
          <w:trHeight w:val="251" w:hRule="atLeast"/>
        </w:trPr>
        <w:tc>
          <w:tcPr>
            <w:tcW w:w="1505" w:type="dxa"/>
          </w:tcPr>
          <w:p>
            <w:pPr>
              <w:pStyle w:val="TableParagraph"/>
              <w:spacing w:line="232" w:lineRule="exact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Capital</w:t>
            </w:r>
          </w:p>
        </w:tc>
        <w:tc>
          <w:tcPr>
            <w:tcW w:w="189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9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  <w:tc>
          <w:tcPr>
            <w:tcW w:w="1892" w:type="dxa"/>
          </w:tcPr>
          <w:p>
            <w:pPr>
              <w:pStyle w:val="TableParagraph"/>
              <w:spacing w:line="232" w:lineRule="exact"/>
              <w:ind w:right="56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91" w:type="dxa"/>
          </w:tcPr>
          <w:p>
            <w:pPr>
              <w:pStyle w:val="TableParagraph"/>
              <w:spacing w:line="232" w:lineRule="exact"/>
              <w:ind w:right="55"/>
              <w:rPr>
                <w:sz w:val="22"/>
              </w:rPr>
            </w:pPr>
            <w:r>
              <w:rPr>
                <w:sz w:val="22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1505" w:type="dxa"/>
          </w:tcPr>
          <w:p>
            <w:pPr>
              <w:pStyle w:val="TableParagraph"/>
              <w:ind w:left="69" w:right="0"/>
              <w:jc w:val="lef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1.580.492,00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1.679.555,00</w:t>
            </w:r>
          </w:p>
        </w:tc>
        <w:tc>
          <w:tcPr>
            <w:tcW w:w="1892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1.580.492,00</w:t>
            </w:r>
          </w:p>
        </w:tc>
        <w:tc>
          <w:tcPr>
            <w:tcW w:w="1891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1.679.555,00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560"/>
        <w:jc w:val="both"/>
      </w:pPr>
      <w:r>
        <w:rPr/>
        <w:t>Art. 2° Esta Resolução entra em vigor na data de sua publicação.</w:t>
      </w:r>
    </w:p>
    <w:p>
      <w:pPr>
        <w:pStyle w:val="BodyText"/>
        <w:spacing w:before="1"/>
      </w:pPr>
    </w:p>
    <w:p>
      <w:pPr>
        <w:pStyle w:val="BodyText"/>
        <w:ind w:left="4037" w:right="3742"/>
        <w:jc w:val="center"/>
      </w:pPr>
      <w:r>
        <w:rPr/>
        <w:t>Brasília, 27 de abril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  <w:ind w:right="3742"/>
      </w:pPr>
      <w:r>
        <w:rPr/>
        <w:t>LUCIANO GUIMARÃES</w:t>
      </w:r>
    </w:p>
    <w:p>
      <w:pPr>
        <w:pStyle w:val="BodyText"/>
        <w:spacing w:line="250" w:lineRule="exact"/>
        <w:ind w:left="4035" w:right="3742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1615"/>
        <w:jc w:val="both"/>
      </w:pPr>
      <w:r>
        <w:rPr/>
        <w:pict>
          <v:group style="position:absolute;margin-left:0pt;margin-top:51.76638pt;width:595pt;height:34.65pt;mso-position-horizontal-relative:page;mso-position-vertical-relative:paragraph;z-index:1072" coordorigin="0,1035" coordsize="11900,693">
            <v:shape style="position:absolute;left:0;top:1035;width:1190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1196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(Publicada no Diário Oficial da União, Edição n° 116, Seção 1, de 19 de junho de 2018)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4037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right="58"/>
      <w:jc w:val="righ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2019-04-23T15:21:09Z</dcterms:created>
  <dcterms:modified xsi:type="dcterms:W3CDTF">2019-04-23T15:21:09Z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