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3"/>
        </w:rPr>
      </w:pPr>
    </w:p>
    <w:p>
      <w:pPr>
        <w:pStyle w:val="BodyText"/>
        <w:spacing w:before="92"/>
        <w:ind w:left="4637" w:right="321"/>
        <w:jc w:val="both"/>
      </w:pPr>
      <w:r>
        <w:rPr/>
        <w:t>Altera a Resolução CAU/BR nº 126, de 2016, que regulamenta o compartilhamento, entre o CAU/BR e os CAU/UF, da gestão, manutenção, evolução e despesas relativas ao Centro de Serviços Compartilhados do Conselho de Arquitetura e Urbanismo (CSC-CAU), e dá outras providências.</w:t>
      </w:r>
    </w:p>
    <w:p>
      <w:pPr>
        <w:pStyle w:val="BodyText"/>
      </w:pPr>
    </w:p>
    <w:p>
      <w:pPr>
        <w:pStyle w:val="BodyText"/>
        <w:spacing w:line="252" w:lineRule="exact"/>
        <w:ind w:left="100"/>
      </w:pPr>
      <w:r>
        <w:rPr/>
        <w:t>O CONSELHO DE ARQUITETURA E URBANISMO DO BRASIL (CAU/BR), no exercício das</w:t>
      </w:r>
    </w:p>
    <w:p>
      <w:pPr>
        <w:pStyle w:val="BodyText"/>
        <w:ind w:left="100" w:right="322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DPABR n° 0023-03/2017, adotada na Reunião Plenária Ampliada n° 23, realizada no dia 15 de dezembro de</w:t>
      </w:r>
      <w:r>
        <w:rPr>
          <w:spacing w:val="-11"/>
        </w:rPr>
        <w:t> </w:t>
      </w:r>
      <w:r>
        <w:rPr/>
        <w:t>2017;</w:t>
      </w:r>
    </w:p>
    <w:p>
      <w:pPr>
        <w:pStyle w:val="BodyText"/>
        <w:spacing w:before="6"/>
      </w:pPr>
    </w:p>
    <w:p>
      <w:pPr>
        <w:pStyle w:val="Heading1"/>
        <w:spacing w:before="0"/>
        <w:ind w:left="100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322"/>
        <w:jc w:val="both"/>
      </w:pPr>
      <w:r>
        <w:rPr/>
        <w:t>Art. 1° A Resolução CAU/BR n° 126, de 15 de dezembro de 2016, publicada no Diário Oficial da União, Edição n° 6, Seção 1, de 9 de janeiro de 2017, passa a vigorar com as seguintes alterações:</w:t>
      </w:r>
    </w:p>
    <w:p>
      <w:pPr>
        <w:pStyle w:val="BodyText"/>
      </w:pPr>
    </w:p>
    <w:p>
      <w:pPr>
        <w:pStyle w:val="BodyText"/>
        <w:ind w:left="1518"/>
        <w:jc w:val="both"/>
      </w:pPr>
      <w:r>
        <w:rPr/>
        <w:t>“Art. 2° …………………………………………………….....…………………………</w:t>
      </w:r>
    </w:p>
    <w:p>
      <w:pPr>
        <w:pStyle w:val="BodyText"/>
      </w:pPr>
    </w:p>
    <w:p>
      <w:pPr>
        <w:pStyle w:val="BodyText"/>
        <w:spacing w:line="480" w:lineRule="auto"/>
        <w:ind w:left="1518" w:right="354"/>
        <w:jc w:val="both"/>
      </w:pPr>
      <w:r>
        <w:rPr/>
        <w:t>§ 1° …………………………………………………………….......…………………… IV - serviço de conferência via </w:t>
      </w:r>
      <w:r>
        <w:rPr>
          <w:i/>
        </w:rPr>
        <w:t>WEB</w:t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0" w:after="0"/>
        <w:ind w:left="1518" w:right="325" w:firstLine="0"/>
        <w:jc w:val="both"/>
        <w:rPr>
          <w:sz w:val="22"/>
        </w:rPr>
      </w:pPr>
      <w:r>
        <w:rPr>
          <w:sz w:val="22"/>
        </w:rPr>
        <w:t>- serviços a serem prestados pelo pessoal alocado pelo CAU/BR na gestão e execução dos serviços relacionados nos incisos I, II e III deste parágrafo, compreendendo salários e respectivos encargos trabalhistas e previdenciários;</w:t>
      </w:r>
      <w:r>
        <w:rPr>
          <w:spacing w:val="-13"/>
          <w:sz w:val="22"/>
        </w:rPr>
        <w:t> </w:t>
      </w:r>
      <w:r>
        <w:rPr>
          <w:sz w:val="22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937" w:val="left" w:leader="none"/>
        </w:tabs>
        <w:spacing w:line="240" w:lineRule="auto" w:before="0" w:after="0"/>
        <w:ind w:left="1518" w:right="326" w:firstLine="0"/>
        <w:jc w:val="both"/>
        <w:rPr>
          <w:sz w:val="22"/>
        </w:rPr>
      </w:pPr>
      <w:r>
        <w:rPr>
          <w:sz w:val="22"/>
        </w:rPr>
        <w:t>- funcionamento do Colegiado de Governança do Centro de Serviços Compartilhados (CG-CSC), compreendendo as despesas para tal</w:t>
      </w:r>
      <w:r>
        <w:rPr>
          <w:spacing w:val="-10"/>
          <w:sz w:val="22"/>
        </w:rPr>
        <w:t> </w:t>
      </w:r>
      <w:r>
        <w:rPr>
          <w:sz w:val="22"/>
        </w:rPr>
        <w:t>fim.”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518" w:right="323"/>
        <w:jc w:val="both"/>
      </w:pPr>
      <w:r>
        <w:rPr>
          <w:spacing w:val="-1"/>
        </w:rPr>
        <w:t>……………………………………………….....……………………………........……” </w:t>
      </w:r>
      <w:r>
        <w:rPr/>
        <w:t>“Art.10.</w:t>
      </w:r>
      <w:r>
        <w:rPr>
          <w:spacing w:val="-4"/>
        </w:rPr>
        <w:t> </w:t>
      </w:r>
      <w:r>
        <w:rPr/>
        <w:t>…………………………………………......…………………………………...</w:t>
      </w:r>
    </w:p>
    <w:p>
      <w:pPr>
        <w:pStyle w:val="BodyText"/>
        <w:spacing w:line="252" w:lineRule="exact" w:before="1"/>
        <w:ind w:left="1518"/>
      </w:pPr>
      <w:r>
        <w:rPr/>
        <w:t>§ 1°</w:t>
      </w:r>
      <w:r>
        <w:rPr>
          <w:spacing w:val="-4"/>
        </w:rPr>
        <w:t> </w:t>
      </w:r>
      <w:r>
        <w:rPr/>
        <w:t>………………………………………………….....………………………………..</w:t>
      </w:r>
    </w:p>
    <w:p>
      <w:pPr>
        <w:pStyle w:val="BodyText"/>
        <w:spacing w:line="252" w:lineRule="exact"/>
        <w:ind w:left="1518"/>
      </w:pPr>
      <w:r>
        <w:rPr/>
        <w:t>………………………………………………………….....……………………………..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697" w:val="left" w:leader="none"/>
        </w:tabs>
        <w:spacing w:line="240" w:lineRule="auto" w:before="0" w:after="0"/>
        <w:ind w:left="1518" w:right="324" w:firstLine="0"/>
        <w:jc w:val="both"/>
        <w:rPr>
          <w:sz w:val="22"/>
        </w:rPr>
      </w:pPr>
      <w:r>
        <w:rPr>
          <w:sz w:val="22"/>
        </w:rPr>
        <w:t>- caberá ao CAU/BR o custeio de 20% (vinte por cento) das despesas com os serviços referidos no art. 2°, § 1°, incisos I, </w:t>
      </w:r>
      <w:r>
        <w:rPr>
          <w:spacing w:val="-2"/>
          <w:sz w:val="22"/>
        </w:rPr>
        <w:t>II, </w:t>
      </w:r>
      <w:r>
        <w:rPr>
          <w:sz w:val="22"/>
        </w:rPr>
        <w:t>III, alíneas “c” e “d”, IV, V e VI desta Resolução;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721" w:val="left" w:leader="none"/>
        </w:tabs>
        <w:spacing w:line="240" w:lineRule="auto" w:before="0" w:after="0"/>
        <w:ind w:left="1720" w:right="0" w:hanging="203"/>
        <w:jc w:val="left"/>
        <w:rPr>
          <w:sz w:val="22"/>
        </w:rPr>
      </w:pPr>
      <w:r>
        <w:rPr>
          <w:sz w:val="22"/>
        </w:rPr>
        <w:t>- caberá aos</w:t>
      </w:r>
      <w:r>
        <w:rPr>
          <w:spacing w:val="-5"/>
          <w:sz w:val="22"/>
        </w:rPr>
        <w:t> </w:t>
      </w:r>
      <w:r>
        <w:rPr>
          <w:sz w:val="22"/>
        </w:rPr>
        <w:t>CAU/UF: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518" w:right="306"/>
      </w:pPr>
      <w:r>
        <w:rPr/>
        <w:t>a) o custeio de 80% (oitenta por cento) das despesas com os serviços referidos no art. 2°, § 1°, incisos I, II, III, alíneas “c” e “d”, IV, V e VI desta Resolução;</w:t>
      </w:r>
    </w:p>
    <w:p>
      <w:pPr>
        <w:pStyle w:val="BodyText"/>
        <w:spacing w:before="1"/>
        <w:ind w:left="1518"/>
      </w:pPr>
      <w:r>
        <w:rPr/>
        <w:t>…………………………………………….....……………………………....................”</w:t>
      </w:r>
    </w:p>
    <w:p>
      <w:pPr>
        <w:pStyle w:val="BodyText"/>
      </w:pPr>
    </w:p>
    <w:p>
      <w:pPr>
        <w:pStyle w:val="BodyText"/>
        <w:ind w:left="100" w:right="324"/>
        <w:jc w:val="both"/>
      </w:pPr>
      <w:r>
        <w:rPr/>
        <w:t>Art. 2° O Anexo I da Resolução CAU/BR n° 126, de 15 de dezembro de 2016, passa a vigorar com os seguintes acréscimos: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820" w:bottom="1240" w:left="1460" w:right="940"/>
          <w:pgNumType w:start="1"/>
        </w:sectPr>
      </w:pPr>
    </w:p>
    <w:p>
      <w:pPr>
        <w:pStyle w:val="Heading1"/>
        <w:spacing w:before="1"/>
        <w:ind w:left="557" w:right="778"/>
        <w:jc w:val="center"/>
      </w:pPr>
      <w:r>
        <w:rPr/>
        <w:t>ANEXO I – VALORES POR SERVIÇOS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1702"/>
        <w:gridCol w:w="1417"/>
        <w:gridCol w:w="2180"/>
      </w:tblGrid>
      <w:tr>
        <w:trPr>
          <w:trHeight w:val="373" w:hRule="atLeast"/>
        </w:trPr>
        <w:tc>
          <w:tcPr>
            <w:tcW w:w="9260" w:type="dxa"/>
            <w:gridSpan w:val="4"/>
          </w:tcPr>
          <w:p>
            <w:pPr>
              <w:pStyle w:val="TableParagraph"/>
              <w:spacing w:before="58"/>
              <w:ind w:left="3712" w:right="36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Serviços Essenciais</w:t>
            </w:r>
          </w:p>
        </w:tc>
      </w:tr>
      <w:tr>
        <w:trPr>
          <w:trHeight w:val="795" w:hRule="atLeast"/>
        </w:trPr>
        <w:tc>
          <w:tcPr>
            <w:tcW w:w="3961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09" w:right="15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Serviço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</w:p>
        </w:tc>
        <w:tc>
          <w:tcPr>
            <w:tcW w:w="1417" w:type="dxa"/>
          </w:tcPr>
          <w:p>
            <w:pPr>
              <w:pStyle w:val="TableParagraph"/>
              <w:spacing w:before="144"/>
              <w:ind w:left="260" w:right="112" w:hanging="120"/>
              <w:rPr>
                <w:b/>
                <w:sz w:val="22"/>
              </w:rPr>
            </w:pPr>
            <w:r>
              <w:rPr>
                <w:b/>
                <w:sz w:val="22"/>
              </w:rPr>
              <w:t>Modalidade de Rateio</w:t>
            </w:r>
          </w:p>
        </w:tc>
        <w:tc>
          <w:tcPr>
            <w:tcW w:w="2180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11"/>
              <w:rPr>
                <w:b/>
                <w:sz w:val="22"/>
              </w:rPr>
            </w:pPr>
            <w:r>
              <w:rPr>
                <w:b/>
                <w:sz w:val="22"/>
              </w:rPr>
              <w:t>Custos Anuais</w:t>
            </w:r>
          </w:p>
        </w:tc>
      </w:tr>
    </w:tbl>
    <w:p>
      <w:pPr>
        <w:pStyle w:val="BodyText"/>
        <w:spacing w:after="8"/>
        <w:ind w:left="100"/>
      </w:pPr>
      <w:r>
        <w:rPr/>
        <w:t>(...)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8"/>
        <w:gridCol w:w="2156"/>
        <w:gridCol w:w="1400"/>
        <w:gridCol w:w="2036"/>
      </w:tblGrid>
      <w:tr>
        <w:trPr>
          <w:trHeight w:val="484" w:hRule="atLeast"/>
        </w:trPr>
        <w:tc>
          <w:tcPr>
            <w:tcW w:w="3668" w:type="dxa"/>
          </w:tcPr>
          <w:p>
            <w:pPr>
              <w:pStyle w:val="TableParagraph"/>
              <w:ind w:left="69"/>
              <w:rPr>
                <w:i/>
                <w:sz w:val="22"/>
              </w:rPr>
            </w:pPr>
            <w:r>
              <w:rPr>
                <w:sz w:val="22"/>
              </w:rPr>
              <w:t>Serviço de Conferência via </w:t>
            </w:r>
            <w:r>
              <w:rPr>
                <w:i/>
                <w:sz w:val="22"/>
              </w:rPr>
              <w:t>WEB</w:t>
            </w:r>
          </w:p>
        </w:tc>
        <w:tc>
          <w:tcPr>
            <w:tcW w:w="2156" w:type="dxa"/>
          </w:tcPr>
          <w:p>
            <w:pPr>
              <w:pStyle w:val="TableParagraph"/>
              <w:ind w:left="762" w:right="757"/>
              <w:jc w:val="center"/>
              <w:rPr>
                <w:sz w:val="22"/>
              </w:rPr>
            </w:pPr>
            <w:r>
              <w:rPr>
                <w:sz w:val="22"/>
              </w:rPr>
              <w:t>Licitar</w:t>
            </w:r>
          </w:p>
        </w:tc>
        <w:tc>
          <w:tcPr>
            <w:tcW w:w="1400" w:type="dxa"/>
          </w:tcPr>
          <w:p>
            <w:pPr>
              <w:pStyle w:val="TableParagraph"/>
              <w:ind w:right="65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036" w:type="dxa"/>
          </w:tcPr>
          <w:p>
            <w:pPr>
              <w:pStyle w:val="TableParagraph"/>
              <w:ind w:left="865" w:right="864"/>
              <w:jc w:val="center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</w:tr>
      <w:tr>
        <w:trPr>
          <w:trHeight w:val="486" w:hRule="atLeast"/>
        </w:trPr>
        <w:tc>
          <w:tcPr>
            <w:tcW w:w="5824" w:type="dxa"/>
            <w:gridSpan w:val="2"/>
          </w:tcPr>
          <w:p>
            <w:pPr>
              <w:pStyle w:val="TableParagraph"/>
              <w:spacing w:before="111"/>
              <w:ind w:left="69"/>
              <w:rPr>
                <w:i/>
                <w:sz w:val="22"/>
              </w:rPr>
            </w:pPr>
            <w:r>
              <w:rPr>
                <w:sz w:val="22"/>
              </w:rPr>
              <w:t>Serviço de Conferência via </w:t>
            </w:r>
            <w:r>
              <w:rPr>
                <w:i/>
                <w:sz w:val="22"/>
              </w:rPr>
              <w:t>WEB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1"/>
              <w:ind w:right="65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036" w:type="dxa"/>
          </w:tcPr>
          <w:p>
            <w:pPr>
              <w:pStyle w:val="TableParagraph"/>
              <w:spacing w:before="111"/>
              <w:ind w:left="865" w:right="864"/>
              <w:jc w:val="center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</w:tr>
    </w:tbl>
    <w:p>
      <w:pPr>
        <w:pStyle w:val="BodyText"/>
        <w:ind w:left="100"/>
      </w:pPr>
      <w:r>
        <w:rPr/>
        <w:t>(...)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306"/>
      </w:pPr>
      <w:r>
        <w:rPr/>
        <w:t>(1) os valores relativos ao serviço de videoconferência serão definidos após a realização da licitação dos serviços.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Art. 3° Esta Resolução entra em vigor na data de sua publicação.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56" w:right="780"/>
        <w:jc w:val="center"/>
      </w:pPr>
      <w:r>
        <w:rPr/>
        <w:t>Brasília, 15 de dezembro de 2017.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208"/>
        <w:ind w:left="553" w:right="780"/>
        <w:jc w:val="center"/>
      </w:pPr>
      <w:r>
        <w:rPr/>
        <w:t>HAROLDO PINHEIRO VILLAR DE QUEIROZ</w:t>
      </w:r>
    </w:p>
    <w:p>
      <w:pPr>
        <w:pStyle w:val="BodyText"/>
        <w:spacing w:line="252" w:lineRule="exact"/>
        <w:ind w:left="555" w:right="780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ind w:left="557" w:right="780"/>
        <w:jc w:val="center"/>
      </w:pPr>
      <w:r>
        <w:rPr/>
        <w:t>(Publicada no Diário Oficial da União, Edição n° 246, Seção 1, de 26 de dezembro de 2017)</w:t>
      </w:r>
    </w:p>
    <w:sectPr>
      <w:headerReference w:type="default" r:id="rId7"/>
      <w:footerReference w:type="default" r:id="rId8"/>
      <w:pgSz w:w="11900" w:h="16850"/>
      <w:pgMar w:header="568" w:footer="1055" w:top="1820" w:bottom="1240" w:left="1460" w:right="940"/>
      <w:pgNumType w:start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72896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1.359985pt;margin-top:782.348511pt;width:11.05pt;height:12.1pt;mso-position-horizontal-relative:page;mso-position-vertical-relative:page;z-index:-25184256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76992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1.359985pt;margin-top:782.348511pt;width:11.05pt;height:12.1pt;mso-position-horizontal-relative:page;mso-position-vertical-relative:page;z-index:-25183846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70848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619995pt;margin-top:78.342087pt;width:268.5pt;height:14.25pt;mso-position-horizontal-relative:page;mso-position-vertical-relative:page;z-index:-2518446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RESOLUÇÃO N° 157, DE 15 DE DEZEMBRO DE 2017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74944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0.619995pt;margin-top:78.342087pt;width:268.45pt;height:14.25pt;mso-position-horizontal-relative:page;mso-position-vertical-relative:page;z-index:-2518405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RESOLUÇÃO N° 126, DE 15 DE DEZEMBRO DE 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1518" w:hanging="17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317" w:hanging="17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5" w:hanging="17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13" w:hanging="17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11" w:hanging="17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09" w:hanging="17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07" w:hanging="17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05" w:hanging="17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03" w:hanging="17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5"/>
      <w:numFmt w:val="upperRoman"/>
      <w:lvlText w:val="%1"/>
      <w:lvlJc w:val="left"/>
      <w:pPr>
        <w:ind w:left="1518" w:hanging="27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317" w:hanging="27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5" w:hanging="27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13" w:hanging="27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11" w:hanging="27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09" w:hanging="27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07" w:hanging="27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05" w:hanging="27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03" w:hanging="274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518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before="109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2020-06-10T15:06:51Z</dcterms:created>
  <dcterms:modified xsi:type="dcterms:W3CDTF">2020-06-10T15:06:51Z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