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14B39">
        <w:rPr>
          <w:rFonts w:ascii="Times New Roman" w:hAnsi="Times New Roman"/>
          <w:b/>
          <w:sz w:val="22"/>
          <w:szCs w:val="22"/>
        </w:rPr>
        <w:t xml:space="preserve">RESOLUÇÃO N° </w:t>
      </w:r>
      <w:r w:rsidR="00DE35CF" w:rsidRPr="00914B39">
        <w:rPr>
          <w:rFonts w:ascii="Times New Roman" w:hAnsi="Times New Roman"/>
          <w:b/>
          <w:sz w:val="22"/>
          <w:szCs w:val="22"/>
        </w:rPr>
        <w:t>154</w:t>
      </w:r>
      <w:r w:rsidRPr="00914B39">
        <w:rPr>
          <w:rFonts w:ascii="Times New Roman" w:hAnsi="Times New Roman"/>
          <w:b/>
          <w:sz w:val="22"/>
          <w:szCs w:val="22"/>
        </w:rPr>
        <w:t xml:space="preserve">, DE </w:t>
      </w:r>
      <w:r w:rsidR="00DE35CF" w:rsidRPr="00914B39">
        <w:rPr>
          <w:rFonts w:ascii="Times New Roman" w:hAnsi="Times New Roman"/>
          <w:b/>
          <w:sz w:val="22"/>
          <w:szCs w:val="22"/>
        </w:rPr>
        <w:t>14</w:t>
      </w:r>
      <w:r w:rsidRPr="00914B39">
        <w:rPr>
          <w:rFonts w:ascii="Times New Roman" w:hAnsi="Times New Roman"/>
          <w:b/>
          <w:sz w:val="22"/>
          <w:szCs w:val="22"/>
        </w:rPr>
        <w:t xml:space="preserve"> DE </w:t>
      </w:r>
      <w:r w:rsidR="00DE35CF" w:rsidRPr="00914B39">
        <w:rPr>
          <w:rFonts w:ascii="Times New Roman" w:hAnsi="Times New Roman"/>
          <w:b/>
          <w:sz w:val="22"/>
          <w:szCs w:val="22"/>
        </w:rPr>
        <w:t>DEZEMBRO</w:t>
      </w:r>
      <w:r w:rsidRPr="00914B39">
        <w:rPr>
          <w:rFonts w:ascii="Times New Roman" w:hAnsi="Times New Roman"/>
          <w:b/>
          <w:sz w:val="22"/>
          <w:szCs w:val="22"/>
        </w:rPr>
        <w:t xml:space="preserve"> DE 2017</w:t>
      </w:r>
    </w:p>
    <w:p w:rsidR="00B53BE5" w:rsidRPr="00914B39" w:rsidRDefault="00B53BE5" w:rsidP="00914B39">
      <w:pPr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Aprova a regulamentação da aplicação de sanções de natureza ético-disciplinar às sociedades de prestação de serviços com atuação nos campos da Arquitetura e Urbanismo, nos termos do § 2º do art. 19 da Lei nº 12.378, de 31 de dezembro de 2010, e do art. 122 da Resolução CAU/BR nº 143, de 23 de junho de 2017, e dá outras providências.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</w:t>
      </w:r>
      <w:r w:rsidR="00BA2AB3" w:rsidRPr="00914B39">
        <w:rPr>
          <w:rFonts w:ascii="Times New Roman" w:hAnsi="Times New Roman"/>
          <w:sz w:val="22"/>
          <w:szCs w:val="22"/>
        </w:rPr>
        <w:t>art</w:t>
      </w:r>
      <w:r w:rsidR="005C3DF2" w:rsidRPr="00914B39">
        <w:rPr>
          <w:rFonts w:ascii="Times New Roman" w:hAnsi="Times New Roman"/>
          <w:sz w:val="22"/>
          <w:szCs w:val="22"/>
        </w:rPr>
        <w:t>igos</w:t>
      </w:r>
      <w:r w:rsidRPr="00914B39">
        <w:rPr>
          <w:rFonts w:ascii="Times New Roman" w:hAnsi="Times New Roman"/>
          <w:sz w:val="22"/>
          <w:szCs w:val="22"/>
        </w:rPr>
        <w:t xml:space="preserve">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="00DB3184" w:rsidRPr="00914B39">
        <w:rPr>
          <w:rFonts w:ascii="Times New Roman" w:hAnsi="Times New Roman"/>
          <w:sz w:val="22"/>
          <w:szCs w:val="22"/>
        </w:rPr>
        <w:t>0073</w:t>
      </w:r>
      <w:r w:rsidRPr="00914B39">
        <w:rPr>
          <w:rFonts w:ascii="Times New Roman" w:hAnsi="Times New Roman"/>
          <w:sz w:val="22"/>
          <w:szCs w:val="22"/>
        </w:rPr>
        <w:t>-</w:t>
      </w:r>
      <w:r w:rsidR="00DB3184" w:rsidRPr="00914B39">
        <w:rPr>
          <w:rFonts w:ascii="Times New Roman" w:hAnsi="Times New Roman"/>
          <w:sz w:val="22"/>
          <w:szCs w:val="22"/>
        </w:rPr>
        <w:t>06</w:t>
      </w:r>
      <w:r w:rsidRPr="00914B39">
        <w:rPr>
          <w:rFonts w:ascii="Times New Roman" w:hAnsi="Times New Roman"/>
          <w:sz w:val="22"/>
          <w:szCs w:val="22"/>
        </w:rPr>
        <w:t>/</w:t>
      </w:r>
      <w:r w:rsidR="00DB3184" w:rsidRPr="00914B39">
        <w:rPr>
          <w:rFonts w:ascii="Times New Roman" w:hAnsi="Times New Roman"/>
          <w:sz w:val="22"/>
          <w:szCs w:val="22"/>
        </w:rPr>
        <w:t>2017</w:t>
      </w:r>
      <w:r w:rsidRPr="00914B39">
        <w:rPr>
          <w:rFonts w:ascii="Times New Roman" w:hAnsi="Times New Roman"/>
          <w:sz w:val="22"/>
          <w:szCs w:val="22"/>
        </w:rPr>
        <w:t xml:space="preserve">, adotada na Reunião Plenária Ordinária n° </w:t>
      </w:r>
      <w:r w:rsidR="00DB3184" w:rsidRPr="00914B39">
        <w:rPr>
          <w:rFonts w:ascii="Times New Roman" w:hAnsi="Times New Roman"/>
          <w:sz w:val="22"/>
          <w:szCs w:val="22"/>
        </w:rPr>
        <w:t>73</w:t>
      </w:r>
      <w:r w:rsidRPr="00914B39">
        <w:rPr>
          <w:rFonts w:ascii="Times New Roman" w:hAnsi="Times New Roman"/>
          <w:sz w:val="22"/>
          <w:szCs w:val="22"/>
        </w:rPr>
        <w:t xml:space="preserve">, realizada no dia </w:t>
      </w:r>
      <w:r w:rsidR="00DB3184" w:rsidRPr="00914B39">
        <w:rPr>
          <w:rFonts w:ascii="Times New Roman" w:hAnsi="Times New Roman"/>
          <w:sz w:val="22"/>
          <w:szCs w:val="22"/>
        </w:rPr>
        <w:t>14</w:t>
      </w:r>
      <w:r w:rsidRPr="00914B39">
        <w:rPr>
          <w:rFonts w:ascii="Times New Roman" w:hAnsi="Times New Roman"/>
          <w:sz w:val="22"/>
          <w:szCs w:val="22"/>
        </w:rPr>
        <w:t xml:space="preserve"> de </w:t>
      </w:r>
      <w:r w:rsidR="00DB3184" w:rsidRPr="00914B39">
        <w:rPr>
          <w:rFonts w:ascii="Times New Roman" w:hAnsi="Times New Roman"/>
          <w:sz w:val="22"/>
          <w:szCs w:val="22"/>
        </w:rPr>
        <w:t>dezembro</w:t>
      </w:r>
      <w:r w:rsidRPr="00914B39">
        <w:rPr>
          <w:rFonts w:ascii="Times New Roman" w:hAnsi="Times New Roman"/>
          <w:sz w:val="22"/>
          <w:szCs w:val="22"/>
        </w:rPr>
        <w:t xml:space="preserve"> de </w:t>
      </w:r>
      <w:r w:rsidR="00DB3184" w:rsidRPr="00914B39">
        <w:rPr>
          <w:rFonts w:ascii="Times New Roman" w:hAnsi="Times New Roman"/>
          <w:sz w:val="22"/>
          <w:szCs w:val="22"/>
        </w:rPr>
        <w:t>2017</w:t>
      </w:r>
      <w:r w:rsidRPr="00914B39">
        <w:rPr>
          <w:rFonts w:ascii="Times New Roman" w:hAnsi="Times New Roman"/>
          <w:sz w:val="22"/>
          <w:szCs w:val="22"/>
        </w:rPr>
        <w:t>; e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Considerando o § 2º do art. 19 da Lei nº 12.378, de 31 de dezembro de 2010, que dispõe sobre a possibilidade de aplicação das sanções ético-disciplinares às sociedades de prestação de serviços com atuação nos campos da Arquitetura e Urbanismo, sem prejuízo da responsabilização da pessoa natural do arquiteto e urbanista;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Considerando a necessidade de se delimitar as hipóteses em que a atuação das sociedades de prestação de serviços com atuação nos campos da Arquitetura e Urbanismo configura infração ético-disciplinar por descumprimento à Lei n° 12.378, de 31 de dezembro de 2010, e ao Código de Ética e Disciplina do CAU/BR (anexo da Resolução CAU/BR nº 52, de 6 de setembro de 2013);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Considerando o art. 122 da Resolução CAU/BR nº 143, de 23 de junho de 2017, que determina a regulamentação da aplicação de sanções ético-disciplinares às sociedades de prestação de serviços com atuação nos campos da Arquitetura e Urbanismo, nos termos do art. 19, § 2° da Lei n° 12.378, de 2010, com o estabelecimento das infrações imputáveis e d</w:t>
      </w:r>
      <w:r w:rsidR="00C7494F" w:rsidRPr="00914B39">
        <w:rPr>
          <w:rFonts w:ascii="Times New Roman" w:hAnsi="Times New Roman"/>
          <w:sz w:val="22"/>
          <w:szCs w:val="22"/>
        </w:rPr>
        <w:t>as sanções cabíveis;</w:t>
      </w:r>
    </w:p>
    <w:p w:rsidR="00B53BE5" w:rsidRPr="00914B39" w:rsidRDefault="00B53BE5" w:rsidP="00914B39">
      <w:pPr>
        <w:jc w:val="both"/>
        <w:rPr>
          <w:rFonts w:ascii="Times New Roman" w:hAnsi="Times New Roman"/>
          <w:b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1º As atividades das sociedades de prestação de serviços com atuação nos campos da Arquitetura e Urbanismo que infringirem o art. 18 da Lei n 12.378</w:t>
      </w:r>
      <w:r w:rsidR="00FA56E5" w:rsidRPr="00914B39">
        <w:rPr>
          <w:rFonts w:ascii="Times New Roman" w:hAnsi="Times New Roman"/>
          <w:sz w:val="22"/>
          <w:szCs w:val="22"/>
        </w:rPr>
        <w:t>, de 31 de dezembro de 2010,</w:t>
      </w:r>
      <w:r w:rsidRPr="00914B39">
        <w:rPr>
          <w:rFonts w:ascii="Times New Roman" w:hAnsi="Times New Roman"/>
          <w:sz w:val="22"/>
          <w:szCs w:val="22"/>
        </w:rPr>
        <w:t xml:space="preserve"> e o Código de Ética e Disciplina do CAU/BR (anexo da Resolução CAU/BR nº 52, de 6 de setembro de 2013), referentes a prejuízos ao meio ambiente natural ou construído, ao patrimônio cultural, material ou imaterial, ou violarem os limites da publicidade, sujeitarão essas pessoas jurídicas à sanção de multa prevista no inciso IV do art. 19 da Lei nº 12.378, de 31 de dezembro de 2010, no intervalo de 1 (uma) a 10 (dez) </w:t>
      </w:r>
      <w:r w:rsidR="00C7494F" w:rsidRPr="00914B39">
        <w:rPr>
          <w:rFonts w:ascii="Times New Roman" w:hAnsi="Times New Roman"/>
          <w:sz w:val="22"/>
          <w:szCs w:val="22"/>
        </w:rPr>
        <w:t xml:space="preserve">vezes o valor das </w:t>
      </w:r>
      <w:r w:rsidRPr="00914B39">
        <w:rPr>
          <w:rFonts w:ascii="Times New Roman" w:hAnsi="Times New Roman"/>
          <w:sz w:val="22"/>
          <w:szCs w:val="22"/>
        </w:rPr>
        <w:t>anuidades.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 xml:space="preserve">Parágrafo único. As pessoas naturais dos arquitetos e urbanistas que tenham vínculo societário ou </w:t>
      </w:r>
      <w:r w:rsidR="00C7494F" w:rsidRPr="00914B39">
        <w:rPr>
          <w:rFonts w:ascii="Times New Roman" w:hAnsi="Times New Roman"/>
          <w:sz w:val="22"/>
          <w:szCs w:val="22"/>
        </w:rPr>
        <w:t>responsabilidade técnica direta</w:t>
      </w:r>
      <w:r w:rsidR="00FA56E5" w:rsidRPr="00914B39">
        <w:rPr>
          <w:rFonts w:ascii="Times New Roman" w:hAnsi="Times New Roman"/>
          <w:sz w:val="22"/>
          <w:szCs w:val="22"/>
        </w:rPr>
        <w:t xml:space="preserve"> com</w:t>
      </w:r>
      <w:r w:rsidRPr="00914B39">
        <w:rPr>
          <w:rFonts w:ascii="Times New Roman" w:hAnsi="Times New Roman"/>
          <w:sz w:val="22"/>
          <w:szCs w:val="22"/>
        </w:rPr>
        <w:t xml:space="preserve"> a atividade </w:t>
      </w:r>
      <w:r w:rsidR="00C7494F" w:rsidRPr="00914B39">
        <w:rPr>
          <w:rFonts w:ascii="Times New Roman" w:hAnsi="Times New Roman"/>
          <w:sz w:val="22"/>
          <w:szCs w:val="22"/>
        </w:rPr>
        <w:t xml:space="preserve">que incorra em </w:t>
      </w:r>
      <w:r w:rsidRPr="00914B39">
        <w:rPr>
          <w:rFonts w:ascii="Times New Roman" w:hAnsi="Times New Roman"/>
          <w:sz w:val="22"/>
          <w:szCs w:val="22"/>
        </w:rPr>
        <w:t xml:space="preserve">indícios de falta ética deverão ser, </w:t>
      </w:r>
      <w:r w:rsidR="00FA56E5" w:rsidRPr="00914B39">
        <w:rPr>
          <w:rFonts w:ascii="Times New Roman" w:hAnsi="Times New Roman"/>
          <w:sz w:val="22"/>
          <w:szCs w:val="22"/>
        </w:rPr>
        <w:t>juntamente com a pessoa jurídica</w:t>
      </w:r>
      <w:r w:rsidRPr="00914B39">
        <w:rPr>
          <w:rFonts w:ascii="Times New Roman" w:hAnsi="Times New Roman"/>
          <w:sz w:val="22"/>
          <w:szCs w:val="22"/>
        </w:rPr>
        <w:t>, denunciadas, processadas e julgadas em coautoria de infração ético-disciplinar.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2º Para os fins desta Resolução, são circunstâncias agravantes, nos termos do art. 72 da Resolução CAU/BR nº 143, de 23 de junho de 2017: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I - danos temporários à integridade física;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II - danos permanentes à integridade física;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lastRenderedPageBreak/>
        <w:t>III - causa mortis;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IV - dano material reversível;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V - dano material irreversível;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VI - dano reversível ao meio ambiente natural e construído;</w:t>
      </w: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VII - dano irreversível ao meio ambiente natural e construído.</w:t>
      </w:r>
    </w:p>
    <w:p w:rsidR="008A2A3D" w:rsidRPr="00914B39" w:rsidRDefault="008A2A3D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3º As recomendações constantes do Código de Ética e Disciplina do CAU/BR poderão ser utilizadas em qualquer grau de jurisdição para agravamento ou atenuação de sanção a ser aplicada em processo ético-disciplinar</w:t>
      </w:r>
      <w:r w:rsidR="00400B35" w:rsidRPr="00914B39">
        <w:rPr>
          <w:rFonts w:ascii="Times New Roman" w:hAnsi="Times New Roman"/>
          <w:sz w:val="22"/>
          <w:szCs w:val="22"/>
        </w:rPr>
        <w:t xml:space="preserve"> instaurado nos termos desta Resolução</w:t>
      </w:r>
      <w:r w:rsidRPr="00914B39">
        <w:rPr>
          <w:rFonts w:ascii="Times New Roman" w:hAnsi="Times New Roman"/>
          <w:sz w:val="22"/>
          <w:szCs w:val="22"/>
        </w:rPr>
        <w:t>.</w:t>
      </w:r>
    </w:p>
    <w:p w:rsidR="008A2A3D" w:rsidRPr="00914B39" w:rsidRDefault="008A2A3D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4º O cálculo da sanção de multa prevista no art. 1º deverá considerar, de início, o limite mínimo previsto para multa; em seguida serão consideradas as circunstâncias agravantes e atenuantes, nessa ordem, devendo os agravamentos e as atenuações serem calculados de acordo com as frações e limites ou nos intervalos previstos no Anexo desta Resolução.</w:t>
      </w:r>
    </w:p>
    <w:p w:rsidR="00A3331C" w:rsidRPr="00914B39" w:rsidRDefault="00A3331C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5º A reincidência em infrações a quaisquer regras do Código de Ética e Disciplina do CAU/BR, bem como àquelas definidas no art. 18 da Lei n° 12.378, de 2010, implicará o agravamento ao limite máximo da sanção correspondente.</w:t>
      </w:r>
    </w:p>
    <w:p w:rsidR="00A3331C" w:rsidRPr="00914B39" w:rsidRDefault="00A3331C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6º As regras de admissibilidade e instrução dos processos ético-disciplinares em face das sociedades de prestação de serviços com atuação nos campos da Arquitetura e Urbanismo, bem como a aplicação e a execução das sanções seguirão, no que couber, os procedimentos definidos para apuração da infração ético-disciplinar cometida pelas pessoas naturais dos arquitetos e urbanistas nos termos da Resolução CAU/BR nº 143, de 23 de junho de 2017.</w:t>
      </w:r>
    </w:p>
    <w:p w:rsidR="00A3331C" w:rsidRPr="00914B39" w:rsidRDefault="00A3331C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Art. 7º Esta Resolução entra em vigor na data de sua publicação.</w:t>
      </w:r>
    </w:p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 xml:space="preserve">Brasília, </w:t>
      </w:r>
      <w:r w:rsidR="0034068E" w:rsidRPr="00914B39">
        <w:rPr>
          <w:rFonts w:ascii="Times New Roman" w:hAnsi="Times New Roman"/>
          <w:sz w:val="22"/>
          <w:szCs w:val="22"/>
        </w:rPr>
        <w:t>14</w:t>
      </w:r>
      <w:r w:rsidRPr="00914B39">
        <w:rPr>
          <w:rFonts w:ascii="Times New Roman" w:hAnsi="Times New Roman"/>
          <w:sz w:val="22"/>
          <w:szCs w:val="22"/>
        </w:rPr>
        <w:t xml:space="preserve"> de </w:t>
      </w:r>
      <w:r w:rsidR="0034068E" w:rsidRPr="00914B39">
        <w:rPr>
          <w:rFonts w:ascii="Times New Roman" w:hAnsi="Times New Roman"/>
          <w:sz w:val="22"/>
          <w:szCs w:val="22"/>
        </w:rPr>
        <w:t>dezembro</w:t>
      </w:r>
      <w:r w:rsidRPr="00914B39">
        <w:rPr>
          <w:rFonts w:ascii="Times New Roman" w:hAnsi="Times New Roman"/>
          <w:sz w:val="22"/>
          <w:szCs w:val="22"/>
        </w:rPr>
        <w:t xml:space="preserve"> de 2017.</w:t>
      </w:r>
    </w:p>
    <w:p w:rsidR="00B53BE5" w:rsidRPr="00914B39" w:rsidRDefault="00B53BE5" w:rsidP="00914B39">
      <w:pPr>
        <w:jc w:val="both"/>
        <w:rPr>
          <w:rFonts w:ascii="Times New Roman" w:hAnsi="Times New Roman"/>
          <w:sz w:val="22"/>
          <w:szCs w:val="22"/>
        </w:rPr>
      </w:pP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EF500E" w:rsidRPr="00914B39" w:rsidRDefault="00EF500E" w:rsidP="00914B39">
      <w:pPr>
        <w:jc w:val="both"/>
        <w:rPr>
          <w:rFonts w:ascii="Times New Roman" w:hAnsi="Times New Roman"/>
          <w:sz w:val="22"/>
          <w:szCs w:val="22"/>
        </w:rPr>
      </w:pPr>
    </w:p>
    <w:p w:rsidR="00B53BE5" w:rsidRPr="00914B39" w:rsidRDefault="00D213CF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t>Presidente do CAU/BR</w:t>
      </w: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914B39" w:rsidRDefault="00914B39" w:rsidP="00914B39">
      <w:pPr>
        <w:pStyle w:val="Default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914B39" w:rsidRPr="005E2D92" w:rsidRDefault="00914B39" w:rsidP="00914B3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sz w:val="22"/>
          <w:szCs w:val="22"/>
        </w:rPr>
        <w:br w:type="page"/>
      </w:r>
      <w:r w:rsidRPr="00914B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14B39">
        <w:rPr>
          <w:rFonts w:ascii="Times New Roman" w:hAnsi="Times New Roman"/>
          <w:b/>
          <w:sz w:val="22"/>
          <w:szCs w:val="22"/>
        </w:rPr>
        <w:t xml:space="preserve">RESOLUÇÃO N° </w:t>
      </w:r>
      <w:r w:rsidR="005D5761" w:rsidRPr="00914B39">
        <w:rPr>
          <w:rFonts w:ascii="Times New Roman" w:hAnsi="Times New Roman"/>
          <w:b/>
          <w:sz w:val="22"/>
          <w:szCs w:val="22"/>
        </w:rPr>
        <w:t>154</w:t>
      </w:r>
      <w:r w:rsidRPr="00914B39">
        <w:rPr>
          <w:rFonts w:ascii="Times New Roman" w:hAnsi="Times New Roman"/>
          <w:b/>
          <w:sz w:val="22"/>
          <w:szCs w:val="22"/>
        </w:rPr>
        <w:t xml:space="preserve">, DE </w:t>
      </w:r>
      <w:r w:rsidR="005D5761" w:rsidRPr="00914B39">
        <w:rPr>
          <w:rFonts w:ascii="Times New Roman" w:hAnsi="Times New Roman"/>
          <w:b/>
          <w:sz w:val="22"/>
          <w:szCs w:val="22"/>
        </w:rPr>
        <w:t>14</w:t>
      </w:r>
      <w:r w:rsidRPr="00914B39">
        <w:rPr>
          <w:rFonts w:ascii="Times New Roman" w:hAnsi="Times New Roman"/>
          <w:b/>
          <w:sz w:val="22"/>
          <w:szCs w:val="22"/>
        </w:rPr>
        <w:t xml:space="preserve"> DE </w:t>
      </w:r>
      <w:r w:rsidR="005D5761" w:rsidRPr="00914B39">
        <w:rPr>
          <w:rFonts w:ascii="Times New Roman" w:hAnsi="Times New Roman"/>
          <w:b/>
          <w:sz w:val="22"/>
          <w:szCs w:val="22"/>
        </w:rPr>
        <w:t>DEZEMBRO</w:t>
      </w:r>
      <w:r w:rsidRPr="00914B39">
        <w:rPr>
          <w:rFonts w:ascii="Times New Roman" w:hAnsi="Times New Roman"/>
          <w:b/>
          <w:sz w:val="22"/>
          <w:szCs w:val="22"/>
        </w:rPr>
        <w:t xml:space="preserve"> DE 2017</w:t>
      </w:r>
    </w:p>
    <w:p w:rsidR="00B53BE5" w:rsidRPr="00914B39" w:rsidRDefault="00EF500E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ANEXO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INTERVALOS, FRAÇÕES E LIMITES DAS CIRCUNSTÂNCIAS AGRAVANTES E ATENUANTES</w:t>
      </w:r>
    </w:p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CAPÍTULO I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FRAÇÕES E INTERVALOS DOS AGRAVANTES E ATENUANTES PREVISTOS NO CÓDIGO DE ÉTICA E DISCIPLINA DO CAU/BR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(ANEXO DA RESOLUÇÃO CAU/BR N° 52, DE 6 DE SETEMBRO DE 2013)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53BE5" w:rsidRPr="00914B39" w:rsidRDefault="00B53BE5" w:rsidP="00914B39">
      <w:pPr>
        <w:jc w:val="both"/>
        <w:rPr>
          <w:rFonts w:ascii="Times New Roman" w:hAnsi="Times New Roman"/>
          <w:strike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8"/>
        <w:gridCol w:w="20"/>
        <w:gridCol w:w="5476"/>
      </w:tblGrid>
      <w:tr w:rsidR="00EF500E" w:rsidRPr="00914B39" w:rsidTr="000771EE">
        <w:trPr>
          <w:trHeight w:val="524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53BE5" w:rsidRPr="00914B39" w:rsidRDefault="00B53BE5" w:rsidP="00914B39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1. OBRIGAÇÕES GERAIS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 Recomendações: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1.3.5.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525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2. OBRIGAÇÕES PARA COM O INTERESSE PÚBLICO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 Recomendações: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3738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2.3.6.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596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3. OBRIGAÇÕES PARA COM O CONTRATANTE</w:t>
            </w:r>
          </w:p>
        </w:tc>
      </w:tr>
      <w:tr w:rsidR="00EF500E" w:rsidRPr="00914B39" w:rsidTr="000771EE">
        <w:trPr>
          <w:trHeight w:val="278"/>
        </w:trPr>
        <w:tc>
          <w:tcPr>
            <w:tcW w:w="3718" w:type="dxa"/>
            <w:gridSpan w:val="2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3.3. Recomendação:</w:t>
            </w:r>
          </w:p>
        </w:tc>
        <w:tc>
          <w:tcPr>
            <w:tcW w:w="5496" w:type="dxa"/>
            <w:gridSpan w:val="2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rPr>
          <w:trHeight w:val="278"/>
        </w:trPr>
        <w:tc>
          <w:tcPr>
            <w:tcW w:w="3718" w:type="dxa"/>
            <w:gridSpan w:val="2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3.3.1.</w:t>
            </w:r>
          </w:p>
        </w:tc>
        <w:tc>
          <w:tcPr>
            <w:tcW w:w="5496" w:type="dxa"/>
            <w:gridSpan w:val="2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62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4. OBRIGAÇÕES PARA COM A PROFISSÃO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 Recomendações: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4.3.1.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4.3.2.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4.3.3.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4.3.4.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4.3.5.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4.3.6.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4.3.7.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4.3.8.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4.3.9.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(1/6 a 1/3)</w:t>
            </w:r>
          </w:p>
        </w:tc>
      </w:tr>
      <w:tr w:rsidR="00EF500E" w:rsidRPr="00914B39" w:rsidTr="000771EE">
        <w:trPr>
          <w:trHeight w:val="474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5. OBRIGAÇÕES PARA COM OS COLEGAS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5.3. Recomendações: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rPr>
          <w:trHeight w:val="531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4B39">
              <w:rPr>
                <w:rFonts w:ascii="Times New Roman" w:hAnsi="Times New Roman"/>
                <w:b/>
                <w:sz w:val="22"/>
                <w:szCs w:val="22"/>
              </w:rPr>
              <w:t>6. OBRIGAÇÕES PARA COM O CONSELHO DE ARQUITETURA E URBANISMO - CAU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6.3. Recomendações: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Intervalo</w:t>
            </w:r>
          </w:p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(atenuante ou agravante)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6.3.1.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</w:tr>
      <w:tr w:rsidR="00EF500E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6.3.2.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B53BE5" w:rsidRPr="00914B39" w:rsidTr="000771EE">
        <w:trPr>
          <w:trHeight w:val="276"/>
        </w:trPr>
        <w:tc>
          <w:tcPr>
            <w:tcW w:w="3690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6.3.3.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</w:tbl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>CAPÍTULO II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 xml:space="preserve">FRAÇÕES E LIMITES DAS CIRCUNSTÂNCIAS AGRAVANTES DOS 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  <w:r w:rsidRPr="00914B39">
        <w:rPr>
          <w:rFonts w:ascii="Times New Roman" w:hAnsi="Times New Roman"/>
          <w:b/>
          <w:sz w:val="22"/>
          <w:szCs w:val="22"/>
        </w:rPr>
        <w:t xml:space="preserve">INCISOS I A VII DO ART. 2º DA RESOLUÇÃO CAU/BR N° </w:t>
      </w:r>
      <w:r w:rsidR="00416956" w:rsidRPr="00914B39">
        <w:rPr>
          <w:rFonts w:ascii="Times New Roman" w:hAnsi="Times New Roman"/>
          <w:b/>
          <w:sz w:val="22"/>
          <w:szCs w:val="22"/>
        </w:rPr>
        <w:t>154</w:t>
      </w:r>
      <w:r w:rsidRPr="00914B39">
        <w:rPr>
          <w:rFonts w:ascii="Times New Roman" w:hAnsi="Times New Roman"/>
          <w:b/>
          <w:sz w:val="22"/>
          <w:szCs w:val="22"/>
        </w:rPr>
        <w:t>, DE 2017</w:t>
      </w:r>
    </w:p>
    <w:p w:rsidR="00B53BE5" w:rsidRPr="00914B39" w:rsidRDefault="00B53BE5" w:rsidP="00914B3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</w:tblGrid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Incisos: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Fração ou Limite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Limite máximo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Limite máximo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</w:tr>
      <w:tr w:rsidR="00EF500E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1/6</w:t>
            </w:r>
          </w:p>
        </w:tc>
      </w:tr>
      <w:tr w:rsidR="00B53BE5" w:rsidRPr="00914B39" w:rsidTr="000771EE">
        <w:tc>
          <w:tcPr>
            <w:tcW w:w="14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3BE5" w:rsidRPr="00914B39" w:rsidRDefault="00B53BE5" w:rsidP="00914B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B39">
              <w:rPr>
                <w:rFonts w:ascii="Times New Roman" w:hAnsi="Times New Roman"/>
                <w:sz w:val="22"/>
                <w:szCs w:val="22"/>
              </w:rPr>
              <w:t>Limite máximo</w:t>
            </w:r>
          </w:p>
        </w:tc>
      </w:tr>
    </w:tbl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rPr>
          <w:rFonts w:ascii="Times New Roman" w:hAnsi="Times New Roman"/>
          <w:sz w:val="22"/>
          <w:szCs w:val="22"/>
        </w:rPr>
      </w:pPr>
    </w:p>
    <w:p w:rsidR="00B53BE5" w:rsidRPr="00914B39" w:rsidRDefault="00B53BE5" w:rsidP="00914B39">
      <w:pPr>
        <w:jc w:val="center"/>
        <w:rPr>
          <w:rFonts w:ascii="Times New Roman" w:hAnsi="Times New Roman"/>
          <w:sz w:val="22"/>
          <w:szCs w:val="22"/>
        </w:rPr>
      </w:pPr>
    </w:p>
    <w:sectPr w:rsidR="00B53BE5" w:rsidRPr="00914B39" w:rsidSect="00914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D" w:rsidRDefault="00EE203D">
      <w:r>
        <w:separator/>
      </w:r>
    </w:p>
  </w:endnote>
  <w:endnote w:type="continuationSeparator" w:id="0">
    <w:p w:rsidR="00EE203D" w:rsidRDefault="00EE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E" w:rsidRDefault="00237E72" w:rsidP="00077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1EE" w:rsidRPr="00771D16" w:rsidRDefault="00237E72" w:rsidP="000771EE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771EE" w:rsidRPr="005C4CB6" w:rsidRDefault="00237E72" w:rsidP="000771EE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E" w:rsidRPr="00760340" w:rsidRDefault="00237E72" w:rsidP="000771EE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A92FF6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0771EE" w:rsidRDefault="00A92FF6" w:rsidP="000771EE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D" w:rsidRDefault="00EE203D">
      <w:r>
        <w:separator/>
      </w:r>
    </w:p>
  </w:footnote>
  <w:footnote w:type="continuationSeparator" w:id="0">
    <w:p w:rsidR="00EE203D" w:rsidRDefault="00EE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E" w:rsidRPr="009E4E5A" w:rsidRDefault="00A92FF6" w:rsidP="000771EE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E72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EE" w:rsidRPr="009E4E5A" w:rsidRDefault="00A92FF6" w:rsidP="000771EE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5DB3"/>
    <w:multiLevelType w:val="hybridMultilevel"/>
    <w:tmpl w:val="8D8810B6"/>
    <w:lvl w:ilvl="0" w:tplc="DF7C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2"/>
    <w:rsid w:val="0001602F"/>
    <w:rsid w:val="0002185C"/>
    <w:rsid w:val="00044F79"/>
    <w:rsid w:val="000771EE"/>
    <w:rsid w:val="000C358A"/>
    <w:rsid w:val="000C7C48"/>
    <w:rsid w:val="00185639"/>
    <w:rsid w:val="001C4E0B"/>
    <w:rsid w:val="00237B5C"/>
    <w:rsid w:val="00237E72"/>
    <w:rsid w:val="0025121A"/>
    <w:rsid w:val="00284FA4"/>
    <w:rsid w:val="00287062"/>
    <w:rsid w:val="002B0408"/>
    <w:rsid w:val="002D26B7"/>
    <w:rsid w:val="002E377B"/>
    <w:rsid w:val="0034068E"/>
    <w:rsid w:val="00376825"/>
    <w:rsid w:val="003853B6"/>
    <w:rsid w:val="003943A4"/>
    <w:rsid w:val="003C4DE2"/>
    <w:rsid w:val="003C6EA2"/>
    <w:rsid w:val="00400B35"/>
    <w:rsid w:val="00416956"/>
    <w:rsid w:val="0042542F"/>
    <w:rsid w:val="004502D7"/>
    <w:rsid w:val="004510A8"/>
    <w:rsid w:val="004518F0"/>
    <w:rsid w:val="004C6930"/>
    <w:rsid w:val="004E1F6F"/>
    <w:rsid w:val="00571048"/>
    <w:rsid w:val="005C3DF2"/>
    <w:rsid w:val="005D5761"/>
    <w:rsid w:val="006438BB"/>
    <w:rsid w:val="00726E52"/>
    <w:rsid w:val="007526EA"/>
    <w:rsid w:val="007860F8"/>
    <w:rsid w:val="00800EAF"/>
    <w:rsid w:val="0087040C"/>
    <w:rsid w:val="008A2A3D"/>
    <w:rsid w:val="009125DD"/>
    <w:rsid w:val="00914B39"/>
    <w:rsid w:val="00923BA9"/>
    <w:rsid w:val="00983F63"/>
    <w:rsid w:val="00987987"/>
    <w:rsid w:val="009E7D1F"/>
    <w:rsid w:val="00A12895"/>
    <w:rsid w:val="00A3331C"/>
    <w:rsid w:val="00A35BAA"/>
    <w:rsid w:val="00A61A5F"/>
    <w:rsid w:val="00A92FF6"/>
    <w:rsid w:val="00AB56BA"/>
    <w:rsid w:val="00B10B58"/>
    <w:rsid w:val="00B5394C"/>
    <w:rsid w:val="00B53BE5"/>
    <w:rsid w:val="00B57F50"/>
    <w:rsid w:val="00B7134C"/>
    <w:rsid w:val="00BA2AB3"/>
    <w:rsid w:val="00BB278E"/>
    <w:rsid w:val="00C37037"/>
    <w:rsid w:val="00C7494F"/>
    <w:rsid w:val="00CD4F02"/>
    <w:rsid w:val="00CF60CA"/>
    <w:rsid w:val="00D213CF"/>
    <w:rsid w:val="00D40DF1"/>
    <w:rsid w:val="00D85D02"/>
    <w:rsid w:val="00DB3184"/>
    <w:rsid w:val="00DD2331"/>
    <w:rsid w:val="00DD4CA1"/>
    <w:rsid w:val="00DE35CF"/>
    <w:rsid w:val="00DF5185"/>
    <w:rsid w:val="00E67E58"/>
    <w:rsid w:val="00EC1191"/>
    <w:rsid w:val="00EE203D"/>
    <w:rsid w:val="00EF500E"/>
    <w:rsid w:val="00F1650C"/>
    <w:rsid w:val="00F64CEC"/>
    <w:rsid w:val="00FA56E5"/>
    <w:rsid w:val="00FB699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237E72"/>
  </w:style>
  <w:style w:type="paragraph" w:styleId="ListParagraph">
    <w:name w:val="List Paragraph"/>
    <w:basedOn w:val="Normal"/>
    <w:qFormat/>
    <w:rsid w:val="00237E72"/>
    <w:pPr>
      <w:ind w:left="708"/>
    </w:pPr>
  </w:style>
  <w:style w:type="paragraph" w:customStyle="1" w:styleId="Default">
    <w:name w:val="Default"/>
    <w:rsid w:val="00914B39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237E72"/>
  </w:style>
  <w:style w:type="paragraph" w:styleId="ListParagraph">
    <w:name w:val="List Paragraph"/>
    <w:basedOn w:val="Normal"/>
    <w:qFormat/>
    <w:rsid w:val="00237E72"/>
    <w:pPr>
      <w:ind w:left="708"/>
    </w:pPr>
  </w:style>
  <w:style w:type="paragraph" w:customStyle="1" w:styleId="Default">
    <w:name w:val="Default"/>
    <w:rsid w:val="00914B39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Alessandra Farias</cp:lastModifiedBy>
  <cp:revision>2</cp:revision>
  <cp:lastPrinted>2017-12-26T18:33:00Z</cp:lastPrinted>
  <dcterms:created xsi:type="dcterms:W3CDTF">2020-06-26T11:07:00Z</dcterms:created>
  <dcterms:modified xsi:type="dcterms:W3CDTF">2020-06-26T11:07:00Z</dcterms:modified>
</cp:coreProperties>
</file>