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0936" cy="80895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36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exact" w:before="0"/>
        <w:ind w:left="842" w:right="854"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SERVIÇO PÚBLICO FEDERAL</w:t>
      </w:r>
    </w:p>
    <w:p>
      <w:pPr>
        <w:spacing w:line="243" w:lineRule="exact" w:before="0"/>
        <w:ind w:left="1056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CONSELHO DE ARQUITETURA E URBANISMO DO BRASIL - CAU/BR</w:t>
      </w:r>
    </w:p>
    <w:p>
      <w:pPr>
        <w:pStyle w:val="BodyText"/>
        <w:spacing w:before="9"/>
        <w:rPr>
          <w:rFonts w:ascii="Verdana"/>
          <w:b/>
          <w:sz w:val="19"/>
        </w:rPr>
      </w:pPr>
    </w:p>
    <w:p>
      <w:pPr>
        <w:pStyle w:val="Heading1"/>
        <w:ind w:left="2607"/>
      </w:pPr>
      <w:r>
        <w:rPr/>
        <w:t>RESOLUÇÃO Nº 13, DE 3 DE FEVEREIRO DE 2012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4354" w:right="107"/>
        <w:jc w:val="both"/>
      </w:pPr>
      <w:r>
        <w:rPr/>
        <w:t>Dispõe sobre a numeração dos registros  profissionais das pessoas jurídicas com atividades na área de Arquitetura e Urbanismo no Conselho de Arquitetura e Urbanismo e dá outras</w:t>
      </w:r>
      <w:r>
        <w:rPr>
          <w:spacing w:val="-3"/>
        </w:rPr>
        <w:t> </w:t>
      </w:r>
      <w:r>
        <w:rPr/>
        <w:t>providências.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06"/>
        <w:jc w:val="both"/>
      </w:pPr>
      <w:r>
        <w:rPr/>
        <w:t>O Conselho de Arquitetura e Urbanismo do Brasil (CAU/BR), no exercício das competências e prerrogativas de que tratam o art. 28, inciso III da Lei n° 12.378, de 31 de dezembro de 2010, e os  artigos 15 e 29, inciso III do Regimento Geral Provisório, com vistas a dar cumprimento às disposições dos artigos 10, 14, inciso II e 34, inciso V da mesma Lei e de acordo com a deliberação adotada na  Sessão Plenária Ordinária n° 3, realizada nos dias 2 e 3 de fevereiro de</w:t>
      </w:r>
      <w:r>
        <w:rPr>
          <w:spacing w:val="-13"/>
        </w:rPr>
        <w:t> </w:t>
      </w:r>
      <w:r>
        <w:rPr/>
        <w:t>2012;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RESOLVE: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01" w:right="108"/>
        <w:jc w:val="both"/>
      </w:pPr>
      <w:r>
        <w:rPr>
          <w:b/>
        </w:rPr>
        <w:t>Art. 1° </w:t>
      </w:r>
      <w:r>
        <w:rPr/>
        <w:t>As pessoas jurídicas que tenham por objeto social o exercício de atividades profissionais privativas de arquitetos e urbanistas ou de atividades de arquitetos e urbanistas em áreas de atuação compartilhada com outras áreas profissionais ficam sujeitas, para o exercício das atividades compreendidas no objeto social, ao registro no Conselho de Arquitetura e</w:t>
      </w:r>
      <w:r>
        <w:rPr>
          <w:spacing w:val="-8"/>
        </w:rPr>
        <w:t> </w:t>
      </w:r>
      <w:r>
        <w:rPr/>
        <w:t>Urbanismo.</w:t>
      </w:r>
    </w:p>
    <w:p>
      <w:pPr>
        <w:pStyle w:val="BodyText"/>
      </w:pPr>
    </w:p>
    <w:p>
      <w:pPr>
        <w:pStyle w:val="BodyText"/>
        <w:ind w:left="101" w:right="107" w:hanging="1"/>
        <w:jc w:val="both"/>
      </w:pPr>
      <w:r>
        <w:rPr>
          <w:b/>
        </w:rPr>
        <w:t>Parágrafo único. </w:t>
      </w:r>
      <w:r>
        <w:rPr/>
        <w:t>As pessoas jurídicas que tenham por objeto social o exercício de atividades profissionais privativas de arquitetos e urbanistas ou de atividades de arquitetos e urbanistas em áreas de atuação compartilhada com outras áreas profissionais, que tenham tido registro nos Conselhos Regionais de Engenharia, Arquitetura e Agronomia dos Estados e do Distrito Federal (CREA) até a entrada em vigor da Lei n° 12.378, de 31 de dezembro de 2010, ficam automaticamente registradas </w:t>
      </w:r>
      <w:r>
        <w:rPr>
          <w:spacing w:val="-4"/>
        </w:rPr>
        <w:t>no </w:t>
      </w:r>
      <w:r>
        <w:rPr/>
        <w:t>Conselho de Arquitetura e</w:t>
      </w:r>
      <w:r>
        <w:rPr>
          <w:spacing w:val="-3"/>
        </w:rPr>
        <w:t> </w:t>
      </w:r>
      <w:r>
        <w:rPr/>
        <w:t>Urbanismo.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01" w:right="107"/>
        <w:jc w:val="both"/>
      </w:pPr>
      <w:r>
        <w:rPr>
          <w:b/>
        </w:rPr>
        <w:t>Art. 2° </w:t>
      </w:r>
      <w:r>
        <w:rPr/>
        <w:t>Para a numeração dos registros profissionais das pessoas jurídicas no Conselho de Arquitetura e Urbanismo serão adotados, nessa ordem, os seguintes critérios: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40" w:lineRule="auto" w:before="0" w:after="0"/>
        <w:ind w:left="101" w:right="106" w:firstLine="0"/>
        <w:jc w:val="both"/>
        <w:rPr>
          <w:sz w:val="22"/>
        </w:rPr>
      </w:pPr>
      <w:r>
        <w:rPr>
          <w:sz w:val="22"/>
        </w:rPr>
        <w:t>– serão atribuídos, a partir do número 1 (um), números de registro às pessoas jurídicas egressas </w:t>
      </w:r>
      <w:r>
        <w:rPr>
          <w:spacing w:val="-2"/>
          <w:sz w:val="22"/>
        </w:rPr>
        <w:t>dos </w:t>
      </w:r>
      <w:r>
        <w:rPr>
          <w:sz w:val="22"/>
        </w:rPr>
        <w:t>Conselhos Regionais de Engenharia, Arquitetura e Agronomia dos Estados e do Distrito Federal (CREA), respeitando a antiguidade de registro que detinham nesses</w:t>
      </w:r>
      <w:r>
        <w:rPr>
          <w:spacing w:val="-7"/>
          <w:sz w:val="22"/>
        </w:rPr>
        <w:t> </w:t>
      </w:r>
      <w:r>
        <w:rPr>
          <w:sz w:val="22"/>
        </w:rPr>
        <w:t>Conselhos;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91" w:val="left" w:leader="none"/>
        </w:tabs>
        <w:spacing w:line="240" w:lineRule="auto" w:before="0" w:after="0"/>
        <w:ind w:left="101" w:right="106" w:firstLine="0"/>
        <w:jc w:val="both"/>
        <w:rPr>
          <w:sz w:val="22"/>
        </w:rPr>
      </w:pPr>
      <w:r>
        <w:rPr>
          <w:sz w:val="22"/>
        </w:rPr>
        <w:t>– havendo empate no tempo de antiguidade a que se refere o item I, será atribuída a numeração menor à pessoa jurídica com mais antiguidade perante o órgão do registro do comércio ou perante os órgãos registradores competentes, considerados aquele e estes</w:t>
      </w:r>
      <w:r>
        <w:rPr>
          <w:spacing w:val="-8"/>
          <w:sz w:val="22"/>
        </w:rPr>
        <w:t> </w:t>
      </w:r>
      <w:r>
        <w:rPr>
          <w:sz w:val="22"/>
        </w:rPr>
        <w:t>indistintamente;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00" w:right="108" w:firstLine="1"/>
        <w:jc w:val="both"/>
        <w:rPr>
          <w:sz w:val="22"/>
        </w:rPr>
      </w:pPr>
      <w:r>
        <w:rPr>
          <w:sz w:val="22"/>
        </w:rPr>
        <w:t>– persistindo empate após a aplicação dos critérios do item II, observar-se-á, na atribuição da numeração menor, a ordem alfabética do nome da pessoa jurídica, seguindo-se as regras gramaticais adotadas no</w:t>
      </w:r>
      <w:r>
        <w:rPr>
          <w:spacing w:val="-2"/>
          <w:sz w:val="22"/>
        </w:rPr>
        <w:t> </w:t>
      </w:r>
      <w:r>
        <w:rPr>
          <w:sz w:val="22"/>
        </w:rPr>
        <w:t>País;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0" w:right="108" w:firstLine="0"/>
        <w:jc w:val="both"/>
        <w:rPr>
          <w:sz w:val="22"/>
        </w:rPr>
      </w:pPr>
      <w:r>
        <w:rPr>
          <w:sz w:val="22"/>
        </w:rPr>
        <w:t>– encerrada a numeração dos registros das pessoas jurídicas egressas dos Conselhos Regionais de Engenharia, Arquitetura e Agronomia dos Estados e do Distrito Federal (CREA), proceder-se-á à numeração dos registros pela ordem de</w:t>
      </w:r>
      <w:r>
        <w:rPr>
          <w:spacing w:val="-1"/>
          <w:sz w:val="22"/>
        </w:rPr>
        <w:t> </w:t>
      </w:r>
      <w:r>
        <w:rPr>
          <w:sz w:val="22"/>
        </w:rPr>
        <w:t>deferimento.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08"/>
        <w:jc w:val="both"/>
      </w:pPr>
      <w:r>
        <w:rPr>
          <w:b/>
        </w:rPr>
        <w:t>Parágrafo único. </w:t>
      </w:r>
      <w:r>
        <w:rPr/>
        <w:t>Compreender-se-á por ordem de deferimento o momento em que a pessoa jurídica requerente do registro atender a todas as exigências para o registro no Conselho de Arquitetura e Urbanismo.</w:t>
      </w:r>
    </w:p>
    <w:p>
      <w:pPr>
        <w:spacing w:after="0"/>
        <w:jc w:val="both"/>
        <w:sectPr>
          <w:type w:val="continuous"/>
          <w:pgSz w:w="11910" w:h="16840"/>
          <w:pgMar w:top="700" w:bottom="280" w:left="1600" w:right="740"/>
        </w:sectPr>
      </w:pPr>
    </w:p>
    <w:p>
      <w:pPr>
        <w:pStyle w:val="BodyText"/>
        <w:spacing w:before="37"/>
        <w:ind w:left="101"/>
      </w:pPr>
      <w:r>
        <w:rPr>
          <w:b/>
        </w:rPr>
        <w:t>Art. 3° </w:t>
      </w:r>
      <w:r>
        <w:rPr/>
        <w:t>O número do registro da pessoa jurídica será antecedido das letras PJ.</w:t>
      </w:r>
    </w:p>
    <w:p>
      <w:pPr>
        <w:pStyle w:val="BodyText"/>
      </w:pPr>
    </w:p>
    <w:p>
      <w:pPr>
        <w:pStyle w:val="BodyText"/>
        <w:ind w:left="101" w:right="106"/>
      </w:pPr>
      <w:r>
        <w:rPr>
          <w:b/>
        </w:rPr>
        <w:t>Art. 4° </w:t>
      </w:r>
      <w:r>
        <w:rPr/>
        <w:t>O operador do Sistema de Informação e Comunicação dos Conselhos de Arquitetura e Urbanismo (SICCAU) disporá acerca dos aspectos operacionais da numeração.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>
          <w:b/>
        </w:rPr>
        <w:t>Art. 5° </w:t>
      </w:r>
      <w:r>
        <w:rPr/>
        <w:t>Esta Resolução entra em vigor na data de sua publicação.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42" w:right="851"/>
        <w:jc w:val="center"/>
      </w:pPr>
      <w:r>
        <w:rPr/>
        <w:t>Brasília, 3 de fevereiro de 2012.</w:t>
      </w:r>
    </w:p>
    <w:p>
      <w:pPr>
        <w:pStyle w:val="BodyText"/>
      </w:pPr>
    </w:p>
    <w:p>
      <w:pPr>
        <w:pStyle w:val="Heading1"/>
        <w:ind w:left="842" w:right="852"/>
        <w:jc w:val="center"/>
      </w:pPr>
      <w:r>
        <w:rPr/>
        <w:t>HAROLDO PINHEIRO VILLAR DE QUEIROZ</w:t>
      </w:r>
    </w:p>
    <w:p>
      <w:pPr>
        <w:pStyle w:val="BodyText"/>
        <w:ind w:left="842" w:right="849"/>
        <w:jc w:val="center"/>
      </w:pPr>
      <w:r>
        <w:rPr/>
        <w:t>Presidente do CAU/BR</w:t>
      </w:r>
    </w:p>
    <w:p>
      <w:pPr>
        <w:pStyle w:val="BodyText"/>
        <w:spacing w:before="1"/>
      </w:pPr>
    </w:p>
    <w:p>
      <w:pPr>
        <w:pStyle w:val="BodyText"/>
        <w:ind w:left="842" w:right="854"/>
        <w:jc w:val="center"/>
      </w:pPr>
      <w:r>
        <w:rPr/>
        <w:t>(Publicada no Diário Oficial da União, Edição n° 33, Seção 1, de 15 de fevereiro de 2012)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00"/>
        <w:ind w:left="0" w:right="384" w:firstLine="0"/>
        <w:jc w:val="right"/>
        <w:rPr>
          <w:rFonts w:ascii="Verdana"/>
          <w:sz w:val="12"/>
        </w:rPr>
      </w:pPr>
      <w:r>
        <w:rPr>
          <w:rFonts w:ascii="Verdana"/>
          <w:sz w:val="12"/>
        </w:rPr>
        <w:t>2 de 2</w:t>
      </w:r>
    </w:p>
    <w:sectPr>
      <w:pgSz w:w="1191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01" w:hanging="12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br" w:eastAsia="pt-br" w:bidi="pt-br"/>
      </w:rPr>
    </w:lvl>
    <w:lvl w:ilvl="1">
      <w:start w:val="0"/>
      <w:numFmt w:val="bullet"/>
      <w:lvlText w:val="•"/>
      <w:lvlJc w:val="left"/>
      <w:pPr>
        <w:ind w:left="8920" w:hanging="125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8991" w:hanging="125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9063" w:hanging="125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9135" w:hanging="125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9207" w:hanging="125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9279" w:hanging="125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9350" w:hanging="125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9422" w:hanging="125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00" w:right="106"/>
      <w:jc w:val="both"/>
    </w:pPr>
    <w:rPr>
      <w:rFonts w:ascii="Calibri" w:hAnsi="Calibri" w:eastAsia="Calibri" w:cs="Calibri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Lopes dos Santos</dc:creator>
  <dc:title>RESOLUÇÃO Nº 5, DE 15 DE DEZEMBRO DE 2011</dc:title>
  <dcterms:created xsi:type="dcterms:W3CDTF">2019-04-25T16:45:20Z</dcterms:created>
  <dcterms:modified xsi:type="dcterms:W3CDTF">2019-04-25T16:45:20Z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2012-02-16T00:00:00Z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