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  <w:ind w:left="2025"/>
      </w:pPr>
      <w:r>
        <w:rPr/>
        <w:t>RESOLUÇÃO N° 124, DE 18 DE NOVEMBRO DE 2016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4353" w:right="100"/>
        <w:jc w:val="both"/>
      </w:pPr>
      <w:r>
        <w:rPr/>
        <w:t>Altera a Resolução CAU/BR n° 30, de 2012, que dispõe sobre os atos administrativos a serem expedidos pelo CAU/BR e pelos CAU/UF, disciplina sua aplicação e dá outras</w:t>
      </w:r>
      <w:r>
        <w:rPr>
          <w:spacing w:val="-1"/>
        </w:rPr>
        <w:t> </w:t>
      </w:r>
      <w:r>
        <w:rPr/>
        <w:t>providências.</w:t>
      </w:r>
    </w:p>
    <w:p>
      <w:pPr>
        <w:pStyle w:val="BodyText"/>
      </w:pPr>
    </w:p>
    <w:p>
      <w:pPr>
        <w:pStyle w:val="BodyText"/>
        <w:spacing w:line="252" w:lineRule="exact"/>
        <w:ind w:left="100"/>
      </w:pPr>
      <w:r>
        <w:rPr/>
        <w:t>O CONSELHO DE ARQUITETURA E URBANISMO DO BRASIL (CAU/BR), no exercício das</w:t>
      </w:r>
    </w:p>
    <w:p>
      <w:pPr>
        <w:pStyle w:val="BodyText"/>
        <w:ind w:left="100" w:right="101"/>
        <w:jc w:val="both"/>
      </w:pPr>
      <w:r>
        <w:rPr/>
        <w:t>competências e prerrogativas de que tratam o art. 28 da Lei n° 12.378, de 31 de dezembro de 2010, e os artigos 2°, 3° e 9° do Regimento Geral aprovado pela Resolução CAU/BR n° 33, de 6 de setembro de 2012, e de acordo com a deliberação adotada na Reunião Plenária Ordinária n° 60, realizada nos dias 17 e 18 de novembro de 2016;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2"/>
        <w:jc w:val="both"/>
      </w:pPr>
      <w:r>
        <w:rPr/>
        <w:t>Considerando o Memorando n° 001/2016 da Comissão Temporária de Harmonização do Exercício Profissional (CTHEP-CAU/BR), que solicita a elaboração de “Procedimento de constituição de Resolução Conjunta entre Conselhos Profissionais”;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Considerando a necessidade de aprimorar a Resolução CAU/BR n° 30, de 2012; e</w:t>
      </w:r>
    </w:p>
    <w:p>
      <w:pPr>
        <w:pStyle w:val="BodyText"/>
        <w:spacing w:before="1"/>
      </w:pPr>
    </w:p>
    <w:p>
      <w:pPr>
        <w:pStyle w:val="BodyText"/>
        <w:ind w:left="100" w:right="100"/>
        <w:jc w:val="both"/>
      </w:pPr>
      <w:r>
        <w:rPr/>
        <w:t>Considerando a necessidade de regulamentar procedimentos para elaboração de resolução  conjunta entre o CAU/BR e outras entidades</w:t>
      </w:r>
      <w:r>
        <w:rPr>
          <w:spacing w:val="-6"/>
        </w:rPr>
        <w:t> </w:t>
      </w:r>
      <w:r>
        <w:rPr/>
        <w:t>públicas.</w:t>
      </w:r>
    </w:p>
    <w:p>
      <w:pPr>
        <w:pStyle w:val="BodyText"/>
        <w:spacing w:before="4"/>
      </w:pPr>
    </w:p>
    <w:p>
      <w:pPr>
        <w:pStyle w:val="Heading1"/>
      </w:pPr>
      <w:r>
        <w:rPr/>
        <w:t>RESOLVE: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 w:right="103"/>
        <w:jc w:val="both"/>
      </w:pPr>
      <w:r>
        <w:rPr/>
        <w:t>Art. 1° A Resolução CAU/BR n° 30, de 6 de julho de 2012, publicada no Diário Oficial da União, Edição n° 141, Seção 1, de 23 de julho de 2012, passa a vigorar com as seguintes alterações: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18"/>
      </w:pPr>
      <w:r>
        <w:rPr/>
        <w:t>“Art. 2° Os atos administrativos de que trata o art. 1° desta Resolução são os seguintes:</w:t>
      </w:r>
    </w:p>
    <w:p>
      <w:pPr>
        <w:pStyle w:val="BodyText"/>
        <w:spacing w:line="252" w:lineRule="exact" w:before="2"/>
        <w:ind w:left="1518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518" w:right="100"/>
        <w:jc w:val="both"/>
      </w:pPr>
      <w:r>
        <w:rPr/>
        <w:t>II-A - Resolução Conjunta - ato administrativo, de caráter normativo, elaborado em conjunto com outra entidade pública, destinado a explicitar a legislação reguladora das profissões correspondentes, para sua correta aplicação e o disciplinamento dos casos omissos;</w:t>
      </w:r>
    </w:p>
    <w:p>
      <w:pPr>
        <w:pStyle w:val="BodyText"/>
        <w:spacing w:line="252" w:lineRule="exact"/>
        <w:ind w:left="1518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518" w:right="100"/>
        <w:jc w:val="both"/>
      </w:pPr>
      <w:r>
        <w:rPr/>
        <w:t>IV - Proposta - ato administrativo de iniciativa dos presidentes dos CAU/UF e do CAU/BR, dos órgãos colegiados consultivos e de comissões temporárias do CAU/BR e dos CAU/UF, de caráter propositivo ou decisório, que devem ser utilizados para o encaminhamento de proposições ou de suas decisões à apreciação do CAU/BR ou dos CAU/UF;</w:t>
      </w:r>
    </w:p>
    <w:p>
      <w:pPr>
        <w:pStyle w:val="BodyText"/>
        <w:ind w:left="1518"/>
      </w:pPr>
      <w:r>
        <w:rPr/>
        <w:t>...........................................................................................................................................”</w:t>
      </w:r>
    </w:p>
    <w:p>
      <w:pPr>
        <w:pStyle w:val="BodyText"/>
      </w:pPr>
    </w:p>
    <w:p>
      <w:pPr>
        <w:pStyle w:val="BodyText"/>
        <w:ind w:left="1518" w:right="107"/>
        <w:jc w:val="both"/>
      </w:pPr>
      <w:r>
        <w:rPr/>
        <w:t>“Art. 3° Quanto aos atos administrativos previstos no art. 2° ficam estabelecidas as seguintes disposições:</w:t>
      </w:r>
    </w:p>
    <w:p>
      <w:pPr>
        <w:pStyle w:val="BodyText"/>
        <w:spacing w:line="252" w:lineRule="exact" w:before="1"/>
        <w:ind w:left="1518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518" w:right="106"/>
        <w:jc w:val="both"/>
      </w:pPr>
      <w:r>
        <w:rPr/>
        <w:t>III-A - as resoluções poderão ser elaboradas e assinadas conjuntamente com outras entidades públicas com personalidade jurídica de direito público, detentoras de finalidades similares às do CAU/BR, de regulamentação profissional, denominadas entidades coautoras de resolução conjunta;</w:t>
      </w:r>
    </w:p>
    <w:p>
      <w:pPr>
        <w:pStyle w:val="BodyText"/>
        <w:spacing w:line="252" w:lineRule="exact" w:before="1"/>
        <w:ind w:left="1518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518" w:right="101"/>
        <w:jc w:val="both"/>
      </w:pPr>
      <w:r>
        <w:rPr/>
        <w:t>VI - as propostas poderão ser apresentadas pelos presidentes dos CAU/UF e do CAU/BR, pelos órgãos colegiados consultivos e pelas comissões temporárias do CAU/BR e dos CAU/UF e deverão tratar de matéria afeta aos objetivos do respectivo órgão ou comissão;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00" w:bottom="1240" w:left="1460" w:right="1020"/>
          <w:pgNumType w:start="1"/>
        </w:sectPr>
      </w:pPr>
    </w:p>
    <w:p>
      <w:pPr>
        <w:pStyle w:val="BodyText"/>
        <w:spacing w:before="81"/>
        <w:ind w:left="1518"/>
      </w:pPr>
      <w:r>
        <w:rPr/>
        <w:t>...........................................................................................................................................”</w:t>
      </w:r>
    </w:p>
    <w:p>
      <w:pPr>
        <w:pStyle w:val="BodyText"/>
      </w:pPr>
    </w:p>
    <w:p>
      <w:pPr>
        <w:pStyle w:val="BodyText"/>
        <w:spacing w:before="1"/>
        <w:ind w:left="1518"/>
      </w:pPr>
      <w:r>
        <w:rPr/>
        <w:t>“Art. 4° A edição dos atos administrativos normativos de que trata esta Resolução dependerá de iniciativa:</w:t>
      </w:r>
    </w:p>
    <w:p>
      <w:pPr>
        <w:pStyle w:val="BodyText"/>
        <w:spacing w:line="252" w:lineRule="exact"/>
        <w:ind w:left="1518"/>
      </w:pPr>
      <w:r>
        <w:rPr/>
        <w:t>.............................................................................................................................................</w:t>
      </w:r>
    </w:p>
    <w:p>
      <w:pPr>
        <w:pStyle w:val="BodyText"/>
        <w:ind w:left="1518" w:right="148"/>
      </w:pPr>
      <w:r>
        <w:rPr/>
        <w:t>V - proposta: do presidente do CAU/UF ou do CAU/BR, do coordenador ou responsável do órgão colegiado consultivo ou da comissão</w:t>
      </w:r>
      <w:r>
        <w:rPr>
          <w:spacing w:val="-9"/>
        </w:rPr>
        <w:t> </w:t>
      </w:r>
      <w:r>
        <w:rPr/>
        <w:t>temporária.”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/>
      </w:pPr>
      <w:r>
        <w:rPr/>
        <w:t>Art. 2° Esta Resolução entra em vigor na data de sua publicação.</w:t>
      </w:r>
    </w:p>
    <w:p>
      <w:pPr>
        <w:pStyle w:val="BodyText"/>
        <w:spacing w:before="1"/>
      </w:pPr>
    </w:p>
    <w:p>
      <w:pPr>
        <w:pStyle w:val="BodyText"/>
        <w:ind w:left="2494" w:right="2495"/>
        <w:jc w:val="center"/>
      </w:pPr>
      <w:r>
        <w:rPr/>
        <w:t>Brasília, 18 de novembro de 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2" w:lineRule="exact" w:before="208"/>
        <w:ind w:left="2494" w:right="2497"/>
        <w:jc w:val="center"/>
      </w:pPr>
      <w:r>
        <w:rPr/>
        <w:t>HAROLDO PINHEIRO VILLAR DE QUEIROZ</w:t>
      </w:r>
    </w:p>
    <w:p>
      <w:pPr>
        <w:pStyle w:val="BodyText"/>
        <w:spacing w:line="252" w:lineRule="exact"/>
        <w:ind w:left="2494" w:right="2495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2"/>
        <w:ind w:left="100"/>
      </w:pPr>
      <w:r>
        <w:rPr/>
        <w:t>(Publicada no Diário Oficial da União, Edição n° 249, Seção 1, de 28 de dezembro de 2016)</w:t>
      </w:r>
    </w:p>
    <w:sectPr>
      <w:pgSz w:w="11900" w:h="16850"/>
      <w:pgMar w:header="568" w:footer="1055" w:top="1600" w:bottom="12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695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48511pt;width:9.050pt;height:12.1pt;mso-position-horizontal-relative:page;mso-position-vertical-relative:page;z-index:-3736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671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2019-04-23T18:27:31Z</dcterms:created>
  <dcterms:modified xsi:type="dcterms:W3CDTF">2019-04-23T18:27:31Z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