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9"/>
        </w:rPr>
      </w:pPr>
    </w:p>
    <w:p>
      <w:pPr>
        <w:pStyle w:val="Heading1"/>
        <w:ind w:left="4148"/>
      </w:pPr>
      <w:r>
        <w:rPr/>
        <w:drawing>
          <wp:anchor distT="0" distB="0" distL="0" distR="0" allowOverlap="1" layoutInCell="1" locked="0" behindDoc="0" simplePos="0" relativeHeight="1024">
            <wp:simplePos x="0" y="0"/>
            <wp:positionH relativeFrom="page">
              <wp:posOffset>84455</wp:posOffset>
            </wp:positionH>
            <wp:positionV relativeFrom="paragraph">
              <wp:posOffset>-718912</wp:posOffset>
            </wp:positionV>
            <wp:extent cx="7471537" cy="584869"/>
            <wp:effectExtent l="0" t="0" r="0" b="0"/>
            <wp:wrapNone/>
            <wp:docPr id="1" name="image1.jpe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71537" cy="5848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RESOLUÇÃO N° 117, DE 29 DE ABRIL DE 2016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6805" w:right="1129"/>
        <w:jc w:val="both"/>
      </w:pPr>
      <w:r>
        <w:rPr/>
        <w:t>Aprova a Reprogramação, em caráter extraordinário, do Plano de Ação e Orçamento do Conselho de Arquitetura e Urbanismo do Brasil (CAU/BR), e dá outras providências.</w:t>
      </w: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20"/>
        </w:rPr>
      </w:pPr>
    </w:p>
    <w:p>
      <w:pPr>
        <w:pStyle w:val="BodyText"/>
        <w:spacing w:line="257" w:lineRule="exact"/>
        <w:ind w:left="1702"/>
        <w:rPr>
          <w:rFonts w:ascii="Cambria" w:hAnsi="Cambria"/>
        </w:rPr>
      </w:pPr>
      <w:r>
        <w:rPr/>
        <w:t>O CONSELHO DE ARQUITETURA E URBANISMO DO BRASIL (CAU/BR), </w:t>
      </w:r>
      <w:r>
        <w:rPr>
          <w:rFonts w:ascii="Cambria" w:hAnsi="Cambria"/>
        </w:rPr>
        <w:t>no exercício das</w:t>
      </w:r>
    </w:p>
    <w:p>
      <w:pPr>
        <w:pStyle w:val="BodyText"/>
        <w:ind w:left="1702" w:right="1126"/>
        <w:jc w:val="both"/>
      </w:pPr>
      <w:r>
        <w:rPr>
          <w:rFonts w:ascii="Cambria" w:hAnsi="Cambria"/>
        </w:rPr>
        <w:t>competências e prerrogativas de que tratam o art. 28 da Lei n° 12.378</w:t>
      </w:r>
      <w:r>
        <w:rPr/>
        <w:t>, de 31 de dezembro de 2010, e os artigos 2°, 3° e 9° do Regimento Geral aprovado pela Resolução CAU/BR n° 33, de 6 de setembro de 2012, e de acordo com a deliberação adotada na Reunião Plenária Ordinária n° 53, realizada nos dias 28 e 29 de abril de</w:t>
      </w:r>
      <w:r>
        <w:rPr>
          <w:spacing w:val="-5"/>
        </w:rPr>
        <w:t> </w:t>
      </w:r>
      <w:r>
        <w:rPr/>
        <w:t>2016;</w:t>
      </w:r>
    </w:p>
    <w:p>
      <w:pPr>
        <w:pStyle w:val="BodyText"/>
        <w:spacing w:before="10"/>
        <w:rPr>
          <w:sz w:val="21"/>
        </w:rPr>
      </w:pPr>
    </w:p>
    <w:p>
      <w:pPr>
        <w:pStyle w:val="BodyText"/>
        <w:ind w:left="1702" w:right="1130"/>
        <w:jc w:val="both"/>
      </w:pPr>
      <w:r>
        <w:rPr/>
        <w:t>Considerando que compete ao Plenário do CAU/BR apreciar e decidir sobre o orçamento do CAU/BR, suas reformulações orçamentárias, a abertura de créditos suplementares e as transferências de recursos financeiros do CAU/BR;</w:t>
      </w:r>
    </w:p>
    <w:p>
      <w:pPr>
        <w:pStyle w:val="BodyText"/>
        <w:spacing w:before="1"/>
      </w:pPr>
    </w:p>
    <w:p>
      <w:pPr>
        <w:pStyle w:val="BodyText"/>
        <w:ind w:left="1702" w:right="1127"/>
        <w:jc w:val="both"/>
      </w:pPr>
      <w:r>
        <w:rPr/>
        <w:t>Considerando as Diretrizes para Elaboração da Reprogramação do Plano de Ação e Orçamento do CAU - Exercício 2016, aprovadas pela Deliberação Plenária DPOBR Nº 0044-02/2015;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702" w:right="1129"/>
        <w:jc w:val="both"/>
      </w:pPr>
      <w:r>
        <w:rPr/>
        <w:t>Considerando a necessidade de aporte de recursos no valor de R$ 500.000,00 (quinhentos mil reais) para realizar a contratação do serviço de datacenter virtual;</w:t>
      </w:r>
    </w:p>
    <w:p>
      <w:pPr>
        <w:pStyle w:val="BodyText"/>
        <w:spacing w:before="4"/>
      </w:pPr>
    </w:p>
    <w:p>
      <w:pPr>
        <w:pStyle w:val="Heading1"/>
        <w:ind w:left="1702"/>
      </w:pPr>
      <w:r>
        <w:rPr/>
        <w:t>RESOLVE:</w:t>
      </w:r>
    </w:p>
    <w:p>
      <w:pPr>
        <w:pStyle w:val="BodyText"/>
        <w:spacing w:before="7"/>
        <w:rPr>
          <w:b/>
          <w:sz w:val="21"/>
        </w:rPr>
      </w:pPr>
    </w:p>
    <w:p>
      <w:pPr>
        <w:pStyle w:val="BodyText"/>
        <w:spacing w:before="1"/>
        <w:ind w:left="1702" w:right="1129"/>
        <w:jc w:val="both"/>
      </w:pPr>
      <w:r>
        <w:rPr/>
        <w:t>Art. 1° Aprovar a Reprogramação, em caráter extraordinário, do Plano de Ação e Orçamento do Conselho de Arquitetura e Urbanismo do Brasil, Exercício 2016, visando à contratação do serviço de datacenter virtual na forma do resumo abaixo: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after="6"/>
        <w:ind w:left="1702"/>
        <w:jc w:val="both"/>
      </w:pPr>
      <w:r>
        <w:rPr/>
        <w:t>CAU/BR – ORÇAMENTO 2016</w:t>
      </w:r>
    </w:p>
    <w:tbl>
      <w:tblPr>
        <w:tblW w:w="0" w:type="auto"/>
        <w:jc w:val="left"/>
        <w:tblInd w:w="16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28"/>
        <w:gridCol w:w="2319"/>
        <w:gridCol w:w="2322"/>
        <w:gridCol w:w="2206"/>
      </w:tblGrid>
      <w:tr>
        <w:trPr>
          <w:trHeight w:val="275" w:hRule="atLeast"/>
        </w:trPr>
        <w:tc>
          <w:tcPr>
            <w:tcW w:w="2228" w:type="dxa"/>
          </w:tcPr>
          <w:p>
            <w:pPr>
              <w:pStyle w:val="TableParagraph"/>
              <w:spacing w:line="256" w:lineRule="exact"/>
              <w:ind w:left="501"/>
              <w:rPr>
                <w:sz w:val="24"/>
              </w:rPr>
            </w:pPr>
            <w:r>
              <w:rPr>
                <w:sz w:val="24"/>
              </w:rPr>
              <w:t>RECEITAS</w:t>
            </w:r>
          </w:p>
        </w:tc>
        <w:tc>
          <w:tcPr>
            <w:tcW w:w="2319" w:type="dxa"/>
          </w:tcPr>
          <w:p>
            <w:pPr>
              <w:pStyle w:val="TableParagraph"/>
              <w:spacing w:line="256" w:lineRule="exact"/>
              <w:ind w:left="469" w:right="532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  <w:tc>
          <w:tcPr>
            <w:tcW w:w="2322" w:type="dxa"/>
          </w:tcPr>
          <w:p>
            <w:pPr>
              <w:pStyle w:val="TableParagraph"/>
              <w:spacing w:line="256" w:lineRule="exact"/>
              <w:ind w:left="534"/>
              <w:rPr>
                <w:sz w:val="24"/>
              </w:rPr>
            </w:pPr>
            <w:r>
              <w:rPr>
                <w:sz w:val="24"/>
              </w:rPr>
              <w:t>DESPESAS</w:t>
            </w:r>
          </w:p>
        </w:tc>
        <w:tc>
          <w:tcPr>
            <w:tcW w:w="2206" w:type="dxa"/>
          </w:tcPr>
          <w:p>
            <w:pPr>
              <w:pStyle w:val="TableParagraph"/>
              <w:spacing w:line="256" w:lineRule="exact"/>
              <w:ind w:left="411" w:right="478"/>
              <w:jc w:val="center"/>
              <w:rPr>
                <w:sz w:val="24"/>
              </w:rPr>
            </w:pPr>
            <w:r>
              <w:rPr>
                <w:sz w:val="24"/>
              </w:rPr>
              <w:t>R$</w:t>
            </w:r>
          </w:p>
        </w:tc>
      </w:tr>
      <w:tr>
        <w:trPr>
          <w:trHeight w:val="254" w:hRule="atLeast"/>
        </w:trPr>
        <w:tc>
          <w:tcPr>
            <w:tcW w:w="222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Receita Corrente:</w:t>
            </w:r>
          </w:p>
        </w:tc>
        <w:tc>
          <w:tcPr>
            <w:tcW w:w="2319" w:type="dxa"/>
          </w:tcPr>
          <w:p>
            <w:pPr>
              <w:pStyle w:val="TableParagraph"/>
              <w:spacing w:line="234" w:lineRule="exact"/>
              <w:ind w:left="471" w:right="532"/>
              <w:jc w:val="center"/>
              <w:rPr>
                <w:sz w:val="22"/>
              </w:rPr>
            </w:pPr>
            <w:r>
              <w:rPr>
                <w:sz w:val="22"/>
              </w:rPr>
              <w:t>38.599.643,00</w:t>
            </w:r>
          </w:p>
        </w:tc>
        <w:tc>
          <w:tcPr>
            <w:tcW w:w="232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Despesa Corrente: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413" w:right="478"/>
              <w:jc w:val="center"/>
              <w:rPr>
                <w:sz w:val="22"/>
              </w:rPr>
            </w:pPr>
            <w:r>
              <w:rPr>
                <w:sz w:val="22"/>
              </w:rPr>
              <w:t>37.487.543,00</w:t>
            </w:r>
          </w:p>
        </w:tc>
      </w:tr>
      <w:tr>
        <w:trPr>
          <w:trHeight w:val="251" w:hRule="atLeast"/>
        </w:trPr>
        <w:tc>
          <w:tcPr>
            <w:tcW w:w="2228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Receita Capital:</w:t>
            </w:r>
          </w:p>
        </w:tc>
        <w:tc>
          <w:tcPr>
            <w:tcW w:w="2319" w:type="dxa"/>
          </w:tcPr>
          <w:p>
            <w:pPr>
              <w:pStyle w:val="TableParagraph"/>
              <w:ind w:left="471" w:right="532"/>
              <w:jc w:val="center"/>
              <w:rPr>
                <w:sz w:val="22"/>
              </w:rPr>
            </w:pPr>
            <w:r>
              <w:rPr>
                <w:sz w:val="22"/>
              </w:rPr>
              <w:t>2.907.507,00</w:t>
            </w:r>
          </w:p>
        </w:tc>
        <w:tc>
          <w:tcPr>
            <w:tcW w:w="2322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Despesa Capital:</w:t>
            </w:r>
          </w:p>
        </w:tc>
        <w:tc>
          <w:tcPr>
            <w:tcW w:w="2206" w:type="dxa"/>
          </w:tcPr>
          <w:p>
            <w:pPr>
              <w:pStyle w:val="TableParagraph"/>
              <w:ind w:left="413" w:right="478"/>
              <w:jc w:val="center"/>
              <w:rPr>
                <w:sz w:val="22"/>
              </w:rPr>
            </w:pPr>
            <w:r>
              <w:rPr>
                <w:sz w:val="22"/>
              </w:rPr>
              <w:t>4.019.607,00</w:t>
            </w:r>
          </w:p>
        </w:tc>
      </w:tr>
      <w:tr>
        <w:trPr>
          <w:trHeight w:val="253" w:hRule="atLeast"/>
        </w:trPr>
        <w:tc>
          <w:tcPr>
            <w:tcW w:w="2228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2319" w:type="dxa"/>
          </w:tcPr>
          <w:p>
            <w:pPr>
              <w:pStyle w:val="TableParagraph"/>
              <w:spacing w:line="234" w:lineRule="exact"/>
              <w:ind w:left="471" w:right="532"/>
              <w:jc w:val="center"/>
              <w:rPr>
                <w:sz w:val="22"/>
              </w:rPr>
            </w:pPr>
            <w:r>
              <w:rPr>
                <w:sz w:val="22"/>
              </w:rPr>
              <w:t>41.507.150,00</w:t>
            </w:r>
          </w:p>
        </w:tc>
        <w:tc>
          <w:tcPr>
            <w:tcW w:w="2322" w:type="dxa"/>
          </w:tcPr>
          <w:p>
            <w:pPr>
              <w:pStyle w:val="TableParagraph"/>
              <w:spacing w:line="234" w:lineRule="exact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2206" w:type="dxa"/>
          </w:tcPr>
          <w:p>
            <w:pPr>
              <w:pStyle w:val="TableParagraph"/>
              <w:spacing w:line="234" w:lineRule="exact"/>
              <w:ind w:left="413" w:right="478"/>
              <w:jc w:val="center"/>
              <w:rPr>
                <w:sz w:val="22"/>
              </w:rPr>
            </w:pPr>
            <w:r>
              <w:rPr>
                <w:sz w:val="22"/>
              </w:rPr>
              <w:t>41.507.150,00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spacing w:after="6"/>
        <w:ind w:left="1702"/>
        <w:jc w:val="both"/>
      </w:pPr>
      <w:r>
        <w:rPr/>
        <w:t>CAU/BR – REPROGRAMAÇÃO EXTRAORDINÁRIA DO PLANO DE AÇÃO 2016</w:t>
      </w:r>
    </w:p>
    <w:tbl>
      <w:tblPr>
        <w:tblW w:w="0" w:type="auto"/>
        <w:jc w:val="left"/>
        <w:tblInd w:w="17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211"/>
        <w:gridCol w:w="2321"/>
        <w:gridCol w:w="2319"/>
        <w:gridCol w:w="2222"/>
      </w:tblGrid>
      <w:tr>
        <w:trPr>
          <w:trHeight w:val="253" w:hRule="atLeast"/>
        </w:trPr>
        <w:tc>
          <w:tcPr>
            <w:tcW w:w="2211" w:type="dxa"/>
          </w:tcPr>
          <w:p>
            <w:pPr>
              <w:pStyle w:val="TableParagraph"/>
              <w:spacing w:line="234" w:lineRule="exact"/>
              <w:ind w:left="542"/>
              <w:rPr>
                <w:sz w:val="22"/>
              </w:rPr>
            </w:pPr>
            <w:r>
              <w:rPr>
                <w:sz w:val="22"/>
              </w:rPr>
              <w:t>RECEITAS</w:t>
            </w:r>
          </w:p>
        </w:tc>
        <w:tc>
          <w:tcPr>
            <w:tcW w:w="2321" w:type="dxa"/>
          </w:tcPr>
          <w:p>
            <w:pPr>
              <w:pStyle w:val="TableParagraph"/>
              <w:spacing w:line="234" w:lineRule="exact"/>
              <w:ind w:left="471" w:right="532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  <w:tc>
          <w:tcPr>
            <w:tcW w:w="2319" w:type="dxa"/>
          </w:tcPr>
          <w:p>
            <w:pPr>
              <w:pStyle w:val="TableParagraph"/>
              <w:spacing w:line="234" w:lineRule="exact"/>
              <w:ind w:left="583"/>
              <w:rPr>
                <w:sz w:val="22"/>
              </w:rPr>
            </w:pPr>
            <w:r>
              <w:rPr>
                <w:sz w:val="22"/>
              </w:rPr>
              <w:t>DESPESAS</w:t>
            </w:r>
          </w:p>
        </w:tc>
        <w:tc>
          <w:tcPr>
            <w:tcW w:w="2222" w:type="dxa"/>
          </w:tcPr>
          <w:p>
            <w:pPr>
              <w:pStyle w:val="TableParagraph"/>
              <w:spacing w:line="234" w:lineRule="exact"/>
              <w:ind w:left="926" w:right="989"/>
              <w:jc w:val="center"/>
              <w:rPr>
                <w:sz w:val="22"/>
              </w:rPr>
            </w:pPr>
            <w:r>
              <w:rPr>
                <w:sz w:val="22"/>
              </w:rPr>
              <w:t>R$</w:t>
            </w:r>
          </w:p>
        </w:tc>
      </w:tr>
      <w:tr>
        <w:trPr>
          <w:trHeight w:val="251" w:hRule="atLeast"/>
        </w:trPr>
        <w:tc>
          <w:tcPr>
            <w:tcW w:w="2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Receita Corrente:</w:t>
            </w:r>
          </w:p>
        </w:tc>
        <w:tc>
          <w:tcPr>
            <w:tcW w:w="2321" w:type="dxa"/>
          </w:tcPr>
          <w:p>
            <w:pPr>
              <w:pStyle w:val="TableParagraph"/>
              <w:ind w:left="474" w:right="532"/>
              <w:jc w:val="center"/>
              <w:rPr>
                <w:sz w:val="22"/>
              </w:rPr>
            </w:pPr>
            <w:r>
              <w:rPr>
                <w:sz w:val="22"/>
              </w:rPr>
              <w:t>38.599.643,00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Despesa Corrente:</w:t>
            </w:r>
          </w:p>
        </w:tc>
        <w:tc>
          <w:tcPr>
            <w:tcW w:w="2222" w:type="dxa"/>
          </w:tcPr>
          <w:p>
            <w:pPr>
              <w:pStyle w:val="TableParagraph"/>
              <w:ind w:left="0" w:right="501"/>
              <w:jc w:val="right"/>
              <w:rPr>
                <w:sz w:val="22"/>
              </w:rPr>
            </w:pPr>
            <w:r>
              <w:rPr>
                <w:sz w:val="22"/>
              </w:rPr>
              <w:t>37.987.543,00</w:t>
            </w:r>
          </w:p>
        </w:tc>
      </w:tr>
      <w:tr>
        <w:trPr>
          <w:trHeight w:val="254" w:hRule="atLeast"/>
        </w:trPr>
        <w:tc>
          <w:tcPr>
            <w:tcW w:w="2211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Receita Capital:</w:t>
            </w:r>
          </w:p>
        </w:tc>
        <w:tc>
          <w:tcPr>
            <w:tcW w:w="2321" w:type="dxa"/>
          </w:tcPr>
          <w:p>
            <w:pPr>
              <w:pStyle w:val="TableParagraph"/>
              <w:spacing w:line="235" w:lineRule="exact"/>
              <w:ind w:left="474" w:right="532"/>
              <w:jc w:val="center"/>
              <w:rPr>
                <w:sz w:val="22"/>
              </w:rPr>
            </w:pPr>
            <w:r>
              <w:rPr>
                <w:sz w:val="22"/>
              </w:rPr>
              <w:t>3.407.507,00</w:t>
            </w:r>
          </w:p>
        </w:tc>
        <w:tc>
          <w:tcPr>
            <w:tcW w:w="2319" w:type="dxa"/>
          </w:tcPr>
          <w:p>
            <w:pPr>
              <w:pStyle w:val="TableParagraph"/>
              <w:spacing w:line="235" w:lineRule="exact"/>
              <w:rPr>
                <w:sz w:val="22"/>
              </w:rPr>
            </w:pPr>
            <w:r>
              <w:rPr>
                <w:sz w:val="22"/>
              </w:rPr>
              <w:t>Despesa Capital:</w:t>
            </w:r>
          </w:p>
        </w:tc>
        <w:tc>
          <w:tcPr>
            <w:tcW w:w="2222" w:type="dxa"/>
          </w:tcPr>
          <w:p>
            <w:pPr>
              <w:pStyle w:val="TableParagraph"/>
              <w:spacing w:line="235" w:lineRule="exact"/>
              <w:ind w:left="0" w:right="556"/>
              <w:jc w:val="right"/>
              <w:rPr>
                <w:sz w:val="22"/>
              </w:rPr>
            </w:pPr>
            <w:r>
              <w:rPr>
                <w:sz w:val="22"/>
              </w:rPr>
              <w:t>4.019.607,00</w:t>
            </w:r>
          </w:p>
        </w:tc>
      </w:tr>
      <w:tr>
        <w:trPr>
          <w:trHeight w:val="251" w:hRule="atLeast"/>
        </w:trPr>
        <w:tc>
          <w:tcPr>
            <w:tcW w:w="2211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2321" w:type="dxa"/>
          </w:tcPr>
          <w:p>
            <w:pPr>
              <w:pStyle w:val="TableParagraph"/>
              <w:ind w:left="474" w:right="532"/>
              <w:jc w:val="center"/>
              <w:rPr>
                <w:sz w:val="22"/>
              </w:rPr>
            </w:pPr>
            <w:r>
              <w:rPr>
                <w:sz w:val="22"/>
              </w:rPr>
              <w:t>42.007.150,00</w:t>
            </w:r>
          </w:p>
        </w:tc>
        <w:tc>
          <w:tcPr>
            <w:tcW w:w="2319" w:type="dxa"/>
          </w:tcPr>
          <w:p>
            <w:pPr>
              <w:pStyle w:val="TableParagraph"/>
              <w:rPr>
                <w:sz w:val="22"/>
              </w:rPr>
            </w:pPr>
            <w:r>
              <w:rPr>
                <w:sz w:val="22"/>
              </w:rPr>
              <w:t>TOTAL:</w:t>
            </w:r>
          </w:p>
        </w:tc>
        <w:tc>
          <w:tcPr>
            <w:tcW w:w="2222" w:type="dxa"/>
          </w:tcPr>
          <w:p>
            <w:pPr>
              <w:pStyle w:val="TableParagraph"/>
              <w:ind w:left="0" w:right="501"/>
              <w:jc w:val="right"/>
              <w:rPr>
                <w:sz w:val="22"/>
              </w:rPr>
            </w:pPr>
            <w:r>
              <w:rPr>
                <w:sz w:val="22"/>
              </w:rPr>
              <w:t>42.007.150,00</w:t>
            </w:r>
          </w:p>
        </w:tc>
      </w:tr>
    </w:tbl>
    <w:p>
      <w:pPr>
        <w:pStyle w:val="BodyText"/>
        <w:spacing w:before="6"/>
        <w:rPr>
          <w:sz w:val="21"/>
        </w:rPr>
      </w:pPr>
    </w:p>
    <w:p>
      <w:pPr>
        <w:pStyle w:val="BodyText"/>
        <w:ind w:left="1702"/>
        <w:jc w:val="both"/>
      </w:pPr>
      <w:r>
        <w:rPr/>
        <w:t>Art. 2° Esta Resolução entra em vigor na data de sua publicação.</w:t>
      </w:r>
    </w:p>
    <w:p>
      <w:pPr>
        <w:pStyle w:val="BodyText"/>
        <w:spacing w:before="1"/>
      </w:pPr>
    </w:p>
    <w:p>
      <w:pPr>
        <w:pStyle w:val="BodyText"/>
        <w:ind w:left="2945" w:right="2374"/>
        <w:jc w:val="center"/>
      </w:pPr>
      <w:r>
        <w:rPr/>
        <w:t>Brasília, 29 de abril de 2016.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before="210"/>
        <w:ind w:right="2379"/>
        <w:jc w:val="center"/>
      </w:pPr>
      <w:r>
        <w:rPr/>
        <w:t>HAROLDO PINHEIRO VILLAR DE QUEIROZ</w:t>
      </w:r>
    </w:p>
    <w:p>
      <w:pPr>
        <w:spacing w:before="1"/>
        <w:ind w:left="2945" w:right="2498" w:firstLine="0"/>
        <w:jc w:val="center"/>
        <w:rPr>
          <w:b/>
          <w:sz w:val="22"/>
        </w:rPr>
      </w:pPr>
      <w:r>
        <w:rPr>
          <w:b/>
          <w:sz w:val="22"/>
        </w:rPr>
        <w:t>Presidente do CAU/BR</w:t>
      </w:r>
    </w:p>
    <w:p>
      <w:pPr>
        <w:spacing w:before="209"/>
        <w:ind w:left="2945" w:right="2511" w:firstLine="0"/>
        <w:jc w:val="center"/>
        <w:rPr>
          <w:rFonts w:ascii="Cambria" w:hAnsi="Cambria"/>
          <w:sz w:val="18"/>
        </w:rPr>
      </w:pPr>
      <w:r>
        <w:rPr/>
        <w:pict>
          <v:group style="position:absolute;margin-left:5.5pt;margin-top:24.418558pt;width:589.5pt;height:34.65pt;mso-position-horizontal-relative:page;mso-position-vertical-relative:paragraph;z-index:1072" coordorigin="110,488" coordsize="11790,693">
            <v:shape style="position:absolute;left:110;top:488;width:11790;height:693" type="#_x0000_t75" stroked="false">
              <v:imagedata r:id="rId6" o:title="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11287;top:649;width:121;height:202" type="#_x0000_t202" filled="false" stroked="false">
              <v:textbox inset="0,0,0,0">
                <w:txbxContent>
                  <w:p>
                    <w:pPr>
                      <w:spacing w:line="201" w:lineRule="exact" w:before="0"/>
                      <w:ind w:left="0" w:right="0" w:firstLine="0"/>
                      <w:jc w:val="left"/>
                      <w:rPr>
                        <w:rFonts w:ascii="Arial"/>
                        <w:sz w:val="18"/>
                      </w:rPr>
                    </w:pPr>
                    <w:r>
                      <w:rPr>
                        <w:rFonts w:ascii="Arial"/>
                        <w:color w:val="296C79"/>
                        <w:w w:val="99"/>
                        <w:sz w:val="18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Cambria" w:hAnsi="Cambria"/>
          <w:sz w:val="18"/>
        </w:rPr>
        <w:t>(Publicada no Diário Oficial da União, Edição n° 96, Seção 1, de 20 de maio de 2016)</w:t>
      </w:r>
    </w:p>
    <w:sectPr>
      <w:type w:val="continuous"/>
      <w:pgSz w:w="11900" w:h="16850"/>
      <w:pgMar w:top="560" w:bottom="28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mbria">
    <w:altName w:val="Cambria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2945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>
      <w:spacing w:line="232" w:lineRule="exact"/>
      <w:ind w:left="107"/>
    </w:pPr>
    <w:rPr>
      <w:rFonts w:ascii="Times New Roman" w:hAnsi="Times New Roman" w:eastAsia="Times New Roman" w:cs="Times New Roman"/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</dc:creator>
  <dcterms:created xsi:type="dcterms:W3CDTF">2019-04-23T18:31:05Z</dcterms:created>
  <dcterms:modified xsi:type="dcterms:W3CDTF">2019-04-23T18:31:05Z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2016-09-30T00:00:00Z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2019-04-23T00:00:00Z</vt:filetime>
  </property>
</Properties>
</file>