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sz w:val="20"/>
        </w:rPr>
      </w:pPr>
    </w:p>
    <w:p>
      <w:pPr>
        <w:pStyle w:val="Heading1"/>
        <w:spacing w:before="92"/>
        <w:ind w:left="2044"/>
      </w:pPr>
      <w:r>
        <w:rPr/>
        <w:t>RESOLUÇÃO N° 111, DE 15 DE DEZEMBRO DE 2015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BodyText"/>
        <w:ind w:left="100"/>
      </w:pPr>
      <w:r>
        <w:rPr>
          <w:color w:val="365F91"/>
        </w:rPr>
        <w:t>Revogada pela Resolução CAU/BR n° 139, de 28 de abril de 2017</w:t>
      </w: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4353" w:right="103"/>
        <w:jc w:val="both"/>
      </w:pPr>
      <w:r>
        <w:rPr>
          <w:strike/>
        </w:rPr>
        <w:t>Altera o Regimento Geral do Conselho de Arquitetura e</w:t>
      </w:r>
      <w:r>
        <w:rPr>
          <w:strike w:val="0"/>
        </w:rPr>
        <w:t> </w:t>
      </w:r>
      <w:r>
        <w:rPr>
          <w:strike/>
        </w:rPr>
        <w:t>Urbanismo do Brasil (CAU/BR), aprovado pela</w:t>
      </w:r>
      <w:r>
        <w:rPr>
          <w:strike w:val="0"/>
        </w:rPr>
        <w:t> </w:t>
      </w:r>
      <w:r>
        <w:rPr>
          <w:strike/>
        </w:rPr>
        <w:t>Resolução CAU/BR n° 33, de 2012, publicada no</w:t>
      </w:r>
      <w:r>
        <w:rPr>
          <w:strike w:val="0"/>
        </w:rPr>
        <w:t> </w:t>
      </w:r>
      <w:r>
        <w:rPr>
          <w:strike/>
        </w:rPr>
        <w:t>Diário Oficial da União, Edição n° 186, Seção 1, de 25</w:t>
      </w:r>
      <w:r>
        <w:rPr>
          <w:strike w:val="0"/>
        </w:rPr>
        <w:t> </w:t>
      </w:r>
      <w:r>
        <w:rPr>
          <w:strike/>
        </w:rPr>
        <w:t>de setembro de 2012, quanto à composição das</w:t>
      </w:r>
      <w:r>
        <w:rPr>
          <w:strike w:val="0"/>
        </w:rPr>
        <w:t> </w:t>
      </w:r>
      <w:r>
        <w:rPr>
          <w:strike/>
        </w:rPr>
        <w:t>comissões</w:t>
      </w:r>
      <w:r>
        <w:rPr>
          <w:strike/>
          <w:spacing w:val="-1"/>
        </w:rPr>
        <w:t> </w:t>
      </w:r>
      <w:r>
        <w:rPr>
          <w:strike/>
        </w:rPr>
        <w:t>ordinárias.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spacing w:before="92"/>
        <w:ind w:left="100"/>
      </w:pPr>
      <w:r>
        <w:rPr>
          <w:strike/>
        </w:rPr>
        <w:t>O CONSELHO DE ARQUITETURA E URBANISMO DO BRASIL (CAU/BR), no exercício das</w:t>
      </w:r>
    </w:p>
    <w:p>
      <w:pPr>
        <w:pStyle w:val="BodyText"/>
        <w:spacing w:before="2"/>
        <w:ind w:left="100" w:right="103"/>
        <w:jc w:val="both"/>
      </w:pPr>
      <w:r>
        <w:rPr>
          <w:strike/>
        </w:rPr>
        <w:t>competências e prerrogativas de que tratam os artigos 27 e 28 da Lei n° 12.378, de 31 de dezembro de</w:t>
      </w:r>
      <w:r>
        <w:rPr>
          <w:strike w:val="0"/>
        </w:rPr>
        <w:t> </w:t>
      </w:r>
      <w:r>
        <w:rPr>
          <w:strike/>
        </w:rPr>
        <w:t>2010, e os artigos 2°, 3° e 9° do Regimento Geral aprovado pela Resolução CAU/BR n° 33, de 6 de</w:t>
      </w:r>
      <w:r>
        <w:rPr>
          <w:strike w:val="0"/>
        </w:rPr>
        <w:t> </w:t>
      </w:r>
      <w:r>
        <w:rPr>
          <w:strike/>
        </w:rPr>
        <w:t>setembro de 2012, e de acordo com a deliberação adotada na Reunião Plenária Ordinária n° 49,</w:t>
      </w:r>
      <w:r>
        <w:rPr>
          <w:strike w:val="0"/>
        </w:rPr>
        <w:t> </w:t>
      </w:r>
      <w:r>
        <w:rPr>
          <w:strike/>
        </w:rPr>
        <w:t>realizada no dia 14 de dezembro de 2015;</w:t>
      </w:r>
      <w:r>
        <w:rPr>
          <w:strike/>
          <w:spacing w:val="-3"/>
        </w:rPr>
        <w:t> </w:t>
      </w:r>
      <w:r>
        <w:rPr>
          <w:strike/>
        </w:rPr>
        <w:t>e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 w:right="104"/>
        <w:jc w:val="both"/>
      </w:pPr>
      <w:r>
        <w:rPr>
          <w:strike/>
        </w:rPr>
        <w:t>Considerando que o Plenário do CAU/BR é constituído por 27 (vinte e sete) conselheiros federais</w:t>
      </w:r>
      <w:r>
        <w:rPr>
          <w:strike w:val="0"/>
        </w:rPr>
        <w:t> </w:t>
      </w:r>
      <w:r>
        <w:rPr>
          <w:strike/>
        </w:rPr>
        <w:t>representantes das Unidades da Federação e um conselheiro representante das instituições de ensino de</w:t>
      </w:r>
      <w:r>
        <w:rPr>
          <w:strike w:val="0"/>
        </w:rPr>
        <w:t> </w:t>
      </w:r>
      <w:r>
        <w:rPr>
          <w:strike/>
        </w:rPr>
        <w:t>arquitetura e urbanismo, totalizando 27 (vinte e sete) membros participantes de comissões, com exceção</w:t>
      </w:r>
      <w:r>
        <w:rPr>
          <w:strike w:val="0"/>
        </w:rPr>
        <w:t> </w:t>
      </w:r>
      <w:r>
        <w:rPr>
          <w:strike/>
        </w:rPr>
        <w:t>do presidente eleito;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 w:right="106"/>
        <w:jc w:val="both"/>
      </w:pPr>
      <w:r>
        <w:rPr>
          <w:strike/>
        </w:rPr>
        <w:t>Considerando que no Regimento Geral do CAU/BR a estrutura organizacional é composta de 5 (cinco)</w:t>
      </w:r>
      <w:r>
        <w:rPr>
          <w:strike w:val="0"/>
        </w:rPr>
        <w:t> </w:t>
      </w:r>
      <w:r>
        <w:rPr>
          <w:strike/>
        </w:rPr>
        <w:t>comissões ordinárias, constituídas por 5 (cinco) conselheiros cada, totalizando um quórum máximo de</w:t>
      </w:r>
      <w:r>
        <w:rPr>
          <w:strike w:val="0"/>
        </w:rPr>
        <w:t> </w:t>
      </w:r>
      <w:r>
        <w:rPr>
          <w:strike/>
        </w:rPr>
        <w:t>25 (vinte e cinco) conselheiros por dia de reunião, sempre restando 2 (dois) conselheiros titulares</w:t>
      </w:r>
      <w:r>
        <w:rPr>
          <w:strike w:val="0"/>
        </w:rPr>
        <w:t> </w:t>
      </w:r>
      <w:r>
        <w:rPr>
          <w:strike/>
        </w:rPr>
        <w:t>impedidos de participar de comissões ordinárias como membros efetivos;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00"/>
      </w:pPr>
      <w:r>
        <w:rPr>
          <w:strike/>
        </w:rPr>
        <w:t>Considerando a possibilidade de participação de conselheiros titulares como convidados temporários em</w:t>
      </w:r>
      <w:r>
        <w:rPr>
          <w:strike w:val="0"/>
        </w:rPr>
        <w:t> </w:t>
      </w:r>
      <w:r>
        <w:rPr>
          <w:strike/>
        </w:rPr>
        <w:t>reuniões das comissões ordinárias, sem direito a voto ou a suplência;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Considerando a elevada demanda de análise de processos pelas Comissões de Ética e Disciplina e de</w:t>
      </w:r>
      <w:r>
        <w:rPr>
          <w:strike w:val="0"/>
        </w:rPr>
        <w:t> </w:t>
      </w:r>
      <w:r>
        <w:rPr>
          <w:strike/>
        </w:rPr>
        <w:t>Ensino e Formação do CAU/BR; e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2"/>
        <w:ind w:left="100" w:right="101"/>
        <w:jc w:val="both"/>
      </w:pPr>
      <w:r>
        <w:rPr>
          <w:strike/>
        </w:rPr>
        <w:t>Considerando a necessidade da participação do conselheiro representante das instituições de ensino de</w:t>
      </w:r>
      <w:r>
        <w:rPr>
          <w:strike w:val="0"/>
        </w:rPr>
        <w:t> </w:t>
      </w:r>
      <w:r>
        <w:rPr>
          <w:strike/>
        </w:rPr>
        <w:t>arquitetura e urbanismo na Comissão Ensino e Formação do CAU/BR (CEF-CAU/BR) para que seja</w:t>
      </w:r>
      <w:r>
        <w:rPr>
          <w:strike w:val="0"/>
        </w:rPr>
        <w:t> </w:t>
      </w:r>
      <w:r>
        <w:rPr>
          <w:strike/>
        </w:rPr>
        <w:t>realizada a articulação entre essa Comissão e as Comissões de Ensino e Formação estaduais e distrital,</w:t>
      </w:r>
      <w:r>
        <w:rPr>
          <w:strike w:val="0"/>
        </w:rPr>
        <w:t> </w:t>
      </w:r>
      <w:r>
        <w:rPr>
          <w:strike/>
        </w:rPr>
        <w:t>conforme previsto no art. 61 da Lei n° 12.378, de 2010;</w:t>
      </w:r>
    </w:p>
    <w:p>
      <w:pPr>
        <w:pStyle w:val="BodyText"/>
        <w:spacing w:before="5"/>
        <w:rPr>
          <w:sz w:val="14"/>
        </w:rPr>
      </w:pPr>
    </w:p>
    <w:p>
      <w:pPr>
        <w:pStyle w:val="Heading1"/>
      </w:pPr>
      <w:r>
        <w:rPr>
          <w:strike/>
        </w:rPr>
        <w:t>RESOLVE:</w:t>
      </w:r>
    </w:p>
    <w:p>
      <w:pPr>
        <w:pStyle w:val="BodyText"/>
        <w:spacing w:before="8"/>
        <w:rPr>
          <w:b/>
          <w:sz w:val="13"/>
        </w:rPr>
      </w:pPr>
    </w:p>
    <w:p>
      <w:pPr>
        <w:pStyle w:val="BodyText"/>
        <w:spacing w:before="92"/>
        <w:ind w:left="100" w:right="100"/>
        <w:jc w:val="both"/>
      </w:pPr>
      <w:r>
        <w:rPr>
          <w:strike/>
        </w:rPr>
        <w:t>Art. 1° No Regimento Geral do Conselho de Arquitetura e Urbanismo do Brasil (CAU/BR), aprovado</w:t>
      </w:r>
      <w:r>
        <w:rPr>
          <w:strike w:val="0"/>
        </w:rPr>
        <w:t> </w:t>
      </w:r>
      <w:r>
        <w:rPr>
          <w:strike/>
        </w:rPr>
        <w:t>pela Resolução CAU/BR n° 33, de 6 de setembro de 2012, publicada no Diário Oficial da União, Edição</w:t>
      </w:r>
      <w:r>
        <w:rPr>
          <w:strike w:val="0"/>
        </w:rPr>
        <w:t> </w:t>
      </w:r>
      <w:r>
        <w:rPr>
          <w:strike/>
        </w:rPr>
        <w:t>n° 186, Seção 1, de 25 de setembro de 2012, é revogado o § 3° do art. 27.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00" w:right="101"/>
        <w:jc w:val="both"/>
      </w:pPr>
      <w:r>
        <w:rPr>
          <w:strike/>
        </w:rPr>
        <w:t>Art. 2° O Regimento Geral do Conselho de Arquitetura e Urbanismo do Brasil (CAU/BR), aprovado</w:t>
      </w:r>
      <w:r>
        <w:rPr>
          <w:strike w:val="0"/>
        </w:rPr>
        <w:t> </w:t>
      </w:r>
      <w:r>
        <w:rPr>
          <w:strike/>
        </w:rPr>
        <w:t>pela Resolução CAU/BR n° 33, de 6 de setembro de 2012, publicada no Diário Oficial da União, Edição</w:t>
      </w:r>
      <w:r>
        <w:rPr>
          <w:strike w:val="0"/>
        </w:rPr>
        <w:t> </w:t>
      </w:r>
      <w:r>
        <w:rPr>
          <w:strike/>
        </w:rPr>
        <w:t>n° 186, Seção 1, de 25 de setembro de 2012, passa a vigorar com as seguintes alterações e acréscimos:</w:t>
      </w: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92"/>
        <w:ind w:left="1802" w:right="101"/>
        <w:jc w:val="both"/>
      </w:pPr>
      <w:r>
        <w:rPr>
          <w:strike/>
          <w:spacing w:val="-56"/>
          <w:w w:val="100"/>
        </w:rPr>
        <w:t> </w:t>
      </w:r>
      <w:r>
        <w:rPr>
          <w:strike/>
        </w:rPr>
        <w:t>“Art. 27. As comissões ordinárias serão constituídas por no mínimo 5 (cinco) e no</w:t>
      </w:r>
      <w:r>
        <w:rPr>
          <w:strike w:val="0"/>
        </w:rPr>
        <w:t> </w:t>
      </w:r>
      <w:r>
        <w:rPr>
          <w:strike/>
        </w:rPr>
        <w:t>máximo 6 (seis) conselheiros federais titulares, eleitos pelo Plenário na primeira</w:t>
      </w:r>
      <w:r>
        <w:rPr>
          <w:strike w:val="0"/>
        </w:rPr>
        <w:t> </w:t>
      </w:r>
      <w:r>
        <w:rPr>
          <w:strike/>
        </w:rPr>
        <w:t>reunião do ano.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50"/>
          <w:pgMar w:header="568" w:footer="1055" w:top="1660" w:bottom="1240" w:left="1460" w:right="1020"/>
          <w:pgNumType w:start="1"/>
        </w:sect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92"/>
        <w:ind w:left="1802"/>
      </w:pPr>
      <w:r>
        <w:rPr>
          <w:strike/>
          <w:spacing w:val="-56"/>
          <w:w w:val="100"/>
        </w:rPr>
        <w:t> </w:t>
      </w:r>
      <w:r>
        <w:rPr>
          <w:strike/>
        </w:rPr>
        <w:t>…………………………………………………………………………………………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1"/>
        <w:ind w:left="1802" w:right="107"/>
      </w:pPr>
      <w:r>
        <w:rPr>
          <w:strike/>
        </w:rPr>
        <w:t>§ 5° O conselheiro representante das instituições de ensino de arquitetura e</w:t>
      </w:r>
      <w:r>
        <w:rPr>
          <w:strike w:val="0"/>
        </w:rPr>
        <w:t> </w:t>
      </w:r>
      <w:r>
        <w:rPr>
          <w:strike/>
        </w:rPr>
        <w:t>urbanismo é membro nato da Comissão de Ensino e Formação do CAU/BR.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1802" w:right="107"/>
      </w:pPr>
      <w:r>
        <w:rPr>
          <w:strike/>
        </w:rPr>
        <w:t>§ 6° Apenas as Comissões de Ética e Disciplina e de Ensino e Formação terão em</w:t>
      </w:r>
      <w:r>
        <w:rPr>
          <w:strike w:val="0"/>
        </w:rPr>
        <w:t> </w:t>
      </w:r>
      <w:r>
        <w:rPr>
          <w:strike/>
        </w:rPr>
        <w:t>suas composições 6 (seis) conselheiros federais.</w:t>
      </w:r>
    </w:p>
    <w:p>
      <w:pPr>
        <w:pStyle w:val="BodyText"/>
        <w:rPr>
          <w:sz w:val="14"/>
        </w:rPr>
      </w:pPr>
    </w:p>
    <w:p>
      <w:pPr>
        <w:pStyle w:val="BodyText"/>
        <w:spacing w:before="91"/>
        <w:ind w:left="1802"/>
      </w:pPr>
      <w:r>
        <w:rPr>
          <w:strike/>
          <w:spacing w:val="-56"/>
          <w:w w:val="100"/>
        </w:rPr>
        <w:t> </w:t>
      </w:r>
      <w:r>
        <w:rPr>
          <w:strike/>
        </w:rPr>
        <w:t>………………………………………………………………………………………”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before="92"/>
        <w:ind w:left="100"/>
      </w:pPr>
      <w:r>
        <w:rPr>
          <w:strike/>
        </w:rPr>
        <w:t>Art. 3° Esta Resolução entra em vigor na data de sua publicação, com efeitos a partir de 1° de janeiro de</w:t>
      </w:r>
      <w:r>
        <w:rPr>
          <w:strike w:val="0"/>
        </w:rPr>
        <w:t> </w:t>
      </w:r>
      <w:r>
        <w:rPr>
          <w:strike/>
        </w:rPr>
        <w:t>2016.</w:t>
      </w:r>
    </w:p>
    <w:p>
      <w:pPr>
        <w:pStyle w:val="BodyText"/>
        <w:rPr>
          <w:sz w:val="14"/>
        </w:rPr>
      </w:pPr>
    </w:p>
    <w:p>
      <w:pPr>
        <w:pStyle w:val="BodyText"/>
        <w:spacing w:before="92"/>
        <w:ind w:left="2352" w:right="2352"/>
        <w:jc w:val="center"/>
      </w:pPr>
      <w:r>
        <w:rPr>
          <w:strike/>
        </w:rPr>
        <w:t>Brasília, 15 de dezembro de 2015.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Heading1"/>
        <w:spacing w:line="250" w:lineRule="exact"/>
        <w:ind w:left="2352" w:right="2357"/>
        <w:jc w:val="center"/>
      </w:pPr>
      <w:r>
        <w:rPr>
          <w:strike/>
        </w:rPr>
        <w:t>HAROLDO PINHEIRO VILLAR DE QUEIROZ</w:t>
      </w:r>
    </w:p>
    <w:p>
      <w:pPr>
        <w:pStyle w:val="BodyText"/>
        <w:spacing w:line="250" w:lineRule="exact"/>
        <w:ind w:left="2352" w:right="2353"/>
        <w:jc w:val="center"/>
      </w:pPr>
      <w:r>
        <w:rPr>
          <w:strike/>
        </w:rPr>
        <w:t>Presidente do CAU/BR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92"/>
        <w:ind w:left="645"/>
      </w:pPr>
      <w:r>
        <w:rPr>
          <w:strike/>
        </w:rPr>
        <w:t>(Publicada no Diário Oficial da União, Edição n° 250, Seção 1, de 31 de dezembro de 2015)</w:t>
      </w:r>
    </w:p>
    <w:sectPr>
      <w:pgSz w:w="11900" w:h="16850"/>
      <w:pgMar w:header="568" w:footer="1055" w:top="1660" w:bottom="1240" w:left="146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1599">
          <wp:simplePos x="0" y="0"/>
          <wp:positionH relativeFrom="page">
            <wp:posOffset>0</wp:posOffset>
          </wp:positionH>
          <wp:positionV relativeFrom="page">
            <wp:posOffset>9846472</wp:posOffset>
          </wp:positionV>
          <wp:extent cx="7555992" cy="439749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397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359985pt;margin-top:782.348511pt;width:9.050pt;height:12.1pt;mso-position-horizontal-relative:page;mso-position-vertical-relative:page;z-index:-3832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1575">
          <wp:simplePos x="0" y="0"/>
          <wp:positionH relativeFrom="page">
            <wp:posOffset>0</wp:posOffset>
          </wp:positionH>
          <wp:positionV relativeFrom="page">
            <wp:posOffset>360974</wp:posOffset>
          </wp:positionV>
          <wp:extent cx="7555992" cy="5848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spacing w:before="91"/>
      <w:ind w:left="100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2019-04-23T19:27:31Z</dcterms:created>
  <dcterms:modified xsi:type="dcterms:W3CDTF">2019-04-23T19:27:31Z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