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3485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0</wp:posOffset>
            </wp:positionH>
            <wp:positionV relativeFrom="paragraph">
              <wp:posOffset>-718912</wp:posOffset>
            </wp:positionV>
            <wp:extent cx="7555992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109, DE 20 DE NOVEMBRO DE 2015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813" w:right="1121"/>
        <w:jc w:val="both"/>
      </w:pPr>
      <w:r>
        <w:rPr/>
        <w:t>Altera o valor da multa por falta à eleição, previsto no Regulamento Eleitoral aprovado pela Resolução CAU/BR n° 81, de 2014, e dá outras providências.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1560"/>
      </w:pPr>
      <w:r>
        <w:rPr/>
        <w:t>O CONSELHO DE ARQUITETURA E URBANISMO DO BRASIL (CAU/BR),</w:t>
      </w:r>
      <w:r>
        <w:rPr>
          <w:spacing w:val="54"/>
        </w:rPr>
        <w:t> </w:t>
      </w:r>
      <w:r>
        <w:rPr/>
        <w:t>no exercício das</w:t>
      </w:r>
    </w:p>
    <w:p>
      <w:pPr>
        <w:pStyle w:val="BodyText"/>
        <w:ind w:left="1560" w:right="1126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Ordinária n° 48, realizada nos dias 19 e 20 de novembro de 2015;</w:t>
      </w:r>
    </w:p>
    <w:p>
      <w:pPr>
        <w:pStyle w:val="BodyText"/>
        <w:spacing w:before="4"/>
      </w:pPr>
    </w:p>
    <w:p>
      <w:pPr>
        <w:pStyle w:val="Heading1"/>
      </w:pPr>
      <w:r>
        <w:rPr/>
        <w:t>RESOLVE: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560" w:right="1123"/>
        <w:jc w:val="both"/>
      </w:pPr>
      <w:r>
        <w:rPr/>
        <w:t>Art. 1° O Regulamento Eleitoral aprovado pela Resolução CAU/BR n° 81, de 6 de junho de 2014, passa a vigorar com as seguintes alterações: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978" w:right="1124"/>
        <w:jc w:val="both"/>
      </w:pPr>
      <w:r>
        <w:rPr/>
        <w:t>“Art. 49. O arquiteto e urbanista eleitor que deixar de votar deverá justificar a falta à votação por meio do Sistema de Informação e Comunicação dos Conselhos de Arquitetura e Urbanismo (SICCAU).</w:t>
      </w:r>
    </w:p>
    <w:p>
      <w:pPr>
        <w:pStyle w:val="BodyText"/>
        <w:spacing w:before="1"/>
      </w:pPr>
    </w:p>
    <w:p>
      <w:pPr>
        <w:pStyle w:val="BodyText"/>
        <w:ind w:left="2978" w:right="1119"/>
        <w:jc w:val="both"/>
      </w:pPr>
      <w:r>
        <w:rPr/>
        <w:t>§ 1° A justificativa da falta à votação deverá ser feita até o último dia do exercício em que ocorrer a eleição.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978" w:right="1127"/>
        <w:jc w:val="both"/>
      </w:pPr>
      <w:r>
        <w:rPr/>
        <w:t>§ 2° Não havendo a justificativa no prazo fixado neste artigo, o arquiteto e urbanista eleitor passa a ser devedor da multa equivalente a 5% (cinco por cento) do valor da anuidade prevista no art. 19, inciso IV da Lei n° 12.378, de 2010.</w:t>
      </w:r>
    </w:p>
    <w:p>
      <w:pPr>
        <w:pStyle w:val="BodyText"/>
        <w:spacing w:before="1"/>
      </w:pPr>
    </w:p>
    <w:p>
      <w:pPr>
        <w:pStyle w:val="BodyText"/>
        <w:ind w:left="2978" w:right="1128"/>
        <w:jc w:val="both"/>
      </w:pPr>
      <w:r>
        <w:rPr/>
        <w:t>§ 3° A base de cálculo do valor da multa será o valor da anuidade vigente no exercício da sua quitação.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978" w:right="1123"/>
        <w:jc w:val="both"/>
      </w:pPr>
      <w:r>
        <w:rPr/>
        <w:t>§ 4° A multa de que tratam os §§ 2° e 3° antecedentes será cobrada em documento de cobrança bancária específico, e deverá ser recolhida no mesmo prazo do vencimento da primeira parcela da anuidade correspondente ao ano subsequente ao da realização das eleições.”</w:t>
      </w:r>
    </w:p>
    <w:p>
      <w:pPr>
        <w:pStyle w:val="BodyText"/>
      </w:pPr>
    </w:p>
    <w:p>
      <w:pPr>
        <w:pStyle w:val="BodyText"/>
        <w:ind w:left="1560" w:right="1131"/>
        <w:jc w:val="both"/>
      </w:pPr>
      <w:r>
        <w:rPr/>
        <w:t>Art. 2° O valor da multa fixado nesta Resolução será aplicável às faltas à eleição verificadas no ano de 2014.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60" w:right="1122"/>
        <w:jc w:val="both"/>
      </w:pPr>
      <w:r>
        <w:rPr/>
        <w:t>Parágrafo único. Aos arquitetos e urbanistas eleitores que tiverem recolhido a multa por falta à eleição nos valores vigentes antes da publicação desta Resolução, deferir-lhes-á a restituição da diferença de valor, respeitados os termos e condições a serem regulados em portaria normativa do Presidente do CAU/BR.</w:t>
      </w:r>
    </w:p>
    <w:p>
      <w:pPr>
        <w:pStyle w:val="BodyText"/>
      </w:pPr>
    </w:p>
    <w:p>
      <w:pPr>
        <w:pStyle w:val="BodyText"/>
        <w:spacing w:before="1"/>
        <w:ind w:left="1560"/>
        <w:jc w:val="both"/>
      </w:pPr>
      <w:r>
        <w:rPr/>
        <w:t>Art. 3° Esta Resolução entrará em vigor em 31 de dezembro de</w:t>
      </w:r>
      <w:r>
        <w:rPr>
          <w:spacing w:val="-15"/>
        </w:rPr>
        <w:t> </w:t>
      </w:r>
      <w:r>
        <w:rPr/>
        <w:t>2015.</w:t>
      </w:r>
    </w:p>
    <w:p>
      <w:pPr>
        <w:pStyle w:val="BodyText"/>
      </w:pPr>
    </w:p>
    <w:p>
      <w:pPr>
        <w:pStyle w:val="BodyText"/>
        <w:ind w:left="3953" w:right="3516"/>
        <w:jc w:val="center"/>
      </w:pPr>
      <w:r>
        <w:rPr/>
        <w:t>Brasília, 20 de novembro de</w:t>
      </w:r>
      <w:r>
        <w:rPr>
          <w:spacing w:val="-6"/>
        </w:rPr>
        <w:t> </w:t>
      </w:r>
      <w:r>
        <w:rPr/>
        <w:t>2015.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2" w:lineRule="exact" w:before="208"/>
        <w:ind w:left="3953" w:right="3519"/>
        <w:jc w:val="center"/>
      </w:pPr>
      <w:r>
        <w:rPr/>
        <w:t>HAROLDO PINHEIRO VILLAR DE QUEIROZ</w:t>
      </w:r>
    </w:p>
    <w:p>
      <w:pPr>
        <w:pStyle w:val="BodyText"/>
        <w:spacing w:line="252" w:lineRule="exact"/>
        <w:ind w:left="3953" w:right="3517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  <w:ind w:left="1560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0</wp:posOffset>
            </wp:positionH>
            <wp:positionV relativeFrom="paragraph">
              <wp:posOffset>254081</wp:posOffset>
            </wp:positionV>
            <wp:extent cx="7555992" cy="43974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43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(Publicada no Diário Oficial da União, Edição n° 226, Seção 1, de 26 de novembro de 2015).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56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2019-04-23T19:27:07Z</dcterms:created>
  <dcterms:modified xsi:type="dcterms:W3CDTF">2019-04-23T19:27:07Z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