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1"/>
        <w:ind w:left="3865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-583403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102, DE 23 DE ABRIL DE 2015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55" w:right="1124"/>
        <w:jc w:val="both"/>
      </w:pPr>
      <w:r>
        <w:rPr/>
        <w:t>Altera a Resolução CAU/BR n° 25, de 6 de junho de 2012, que dispõe sobre a instrução e julgamento de processos relacionados a faltas ético-disciplinares cometidas antes da vigência da Lei n° 12.378, de 2010, e sobre a instauração de processos de denúncia após essa data, para acrescentar hipóteses de competência para julgamento de processos ético- disciplinares em casos de impedimento de conselheiros e dá 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ind w:left="1702" w:right="1132"/>
        <w:jc w:val="both"/>
      </w:pPr>
      <w:r>
        <w:rPr/>
        <w:t>O Conselho de Arquitetura e Urbanismo do Brasil (CAU/BR), no exercício das 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41, realizada no dia 23 de abril de 2014;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1702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702" w:right="926"/>
      </w:pPr>
      <w:r>
        <w:rPr/>
        <w:t>Art. 1° A Resolução CAU/BR n° 25, de 6 de junho de 2012, publicada no Diário Oficial da União, Edição n° 119, Seção 1, de 21 de junho de 2012, passa a vigorar acrescida do seguinte artigo:</w:t>
      </w:r>
    </w:p>
    <w:p>
      <w:pPr>
        <w:pStyle w:val="BodyText"/>
        <w:spacing w:before="2"/>
      </w:pPr>
    </w:p>
    <w:p>
      <w:pPr>
        <w:pStyle w:val="BodyText"/>
        <w:ind w:left="3403" w:right="1126"/>
        <w:jc w:val="both"/>
      </w:pPr>
      <w:r>
        <w:rPr/>
        <w:t>“Art. 7º-A. Nos processos éticos disciplinares em que a comissão de ética e disciplina do CAU/UF constatar que mais da metade dos conselheiros estaduais esteja impedida de atuar, deverá solicitar ao CAU/BR que, em decisão plenária, indique outro CAU/UF para fazer a instrução e julgamento do processo, em primeira instância de deliberação.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403" w:right="1128"/>
        <w:jc w:val="both"/>
      </w:pPr>
      <w:r>
        <w:rPr/>
        <w:t>§ 1º Na indicação do CAU/UF para instrução e julgamento do processo, o Plenário do CAU/BR deverá considerar o menor custo com deslocamento de pessoal, realização de oitivas e coleta de depoimentos.</w:t>
      </w:r>
    </w:p>
    <w:p>
      <w:pPr>
        <w:pStyle w:val="BodyText"/>
      </w:pPr>
    </w:p>
    <w:p>
      <w:pPr>
        <w:pStyle w:val="BodyText"/>
        <w:spacing w:before="1"/>
        <w:ind w:left="3403" w:right="1126"/>
        <w:jc w:val="both"/>
      </w:pPr>
      <w:r>
        <w:rPr/>
        <w:t>§ 2º As custas processuais tais como cópias, porte e remessa e notificações, dentre outros, na hipótese do </w:t>
      </w:r>
      <w:r>
        <w:rPr>
          <w:i/>
        </w:rPr>
        <w:t>caput </w:t>
      </w:r>
      <w:r>
        <w:rPr/>
        <w:t>deste artigo, correrão por conta do CAU/UF indicado, excetuando-se destas as diárias e passagens, que serão encargo do CAU/UF de origem da denúncia.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403" w:right="1126"/>
        <w:jc w:val="both"/>
      </w:pPr>
      <w:r>
        <w:rPr/>
        <w:t>§ 3º Transitada em julgado a decisão, o processo será remetido ao CAU/UF de origem, para sua execução, nos termos do art. 42 da Resolução CAU/BR nº 34, de 6 de setembro de</w:t>
      </w:r>
      <w:r>
        <w:rPr>
          <w:spacing w:val="-1"/>
        </w:rPr>
        <w:t> </w:t>
      </w:r>
      <w:r>
        <w:rPr/>
        <w:t>2012.”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702"/>
        <w:jc w:val="both"/>
      </w:pPr>
      <w:r>
        <w:rPr/>
        <w:t>Art. 2º Esta Resolução entra em vigor na data de sua publicação.</w:t>
      </w:r>
    </w:p>
    <w:p>
      <w:pPr>
        <w:pStyle w:val="BodyText"/>
      </w:pPr>
    </w:p>
    <w:p>
      <w:pPr>
        <w:pStyle w:val="BodyText"/>
        <w:ind w:left="3951" w:right="3384"/>
        <w:jc w:val="center"/>
      </w:pPr>
      <w:r>
        <w:rPr/>
        <w:t>Brasília, 23 de abril de 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13"/>
        <w:ind w:right="3384"/>
        <w:jc w:val="center"/>
      </w:pPr>
      <w:r>
        <w:rPr/>
        <w:t>HAROLDO PINHEIRO VILAR DE QUEIROZ</w:t>
      </w:r>
    </w:p>
    <w:p>
      <w:pPr>
        <w:spacing w:line="252" w:lineRule="exact" w:before="0"/>
        <w:ind w:left="3953" w:right="3383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702"/>
        <w:jc w:val="both"/>
      </w:pPr>
      <w:r>
        <w:rPr/>
        <w:pict>
          <v:group style="position:absolute;margin-left:5.5pt;margin-top:13.526382pt;width:589.5pt;height:34.65pt;mso-position-horizontal-relative:page;mso-position-vertical-relative:paragraph;z-index:1072" coordorigin="110,271" coordsize="11790,693">
            <v:shape style="position:absolute;left:110;top:270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431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87, Seção 1, de 11 de maio de 2015)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95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2019-04-23T19:26:32Z</dcterms:created>
  <dcterms:modified xsi:type="dcterms:W3CDTF">2019-04-23T19:26:32Z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