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ind w:right="75"/>
        <w:jc w:val="center"/>
      </w:pPr>
      <w:r>
        <w:rPr/>
        <w:t>RESOLUÇÃO Nº 4, DE 15 DE DEZEMBRO DE 2011</w:t>
      </w:r>
    </w:p>
    <w:p>
      <w:pPr>
        <w:pStyle w:val="BodyText"/>
        <w:spacing w:before="165"/>
        <w:ind w:left="73" w:right="77"/>
        <w:jc w:val="center"/>
      </w:pPr>
      <w:r>
        <w:rPr>
          <w:color w:val="16365D"/>
        </w:rPr>
        <w:t>Revogada pela Resolução n° 61, de 7 de novembro de 2013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0"/>
        <w:ind w:left="3505" w:right="111"/>
        <w:jc w:val="both"/>
      </w:pPr>
      <w:r>
        <w:rPr>
          <w:strike/>
        </w:rPr>
        <w:t>Dispõe sobre a cobrança dos valores de anuidades devidas</w:t>
      </w:r>
      <w:r>
        <w:rPr>
          <w:strike w:val="0"/>
        </w:rPr>
        <w:t> </w:t>
      </w:r>
      <w:r>
        <w:rPr>
          <w:strike/>
        </w:rPr>
        <w:t>aos Conselhos de Arquitetura e Urbanismo dos Estados e do</w:t>
      </w:r>
      <w:r>
        <w:rPr>
          <w:strike w:val="0"/>
        </w:rPr>
        <w:t> </w:t>
      </w:r>
      <w:r>
        <w:rPr>
          <w:strike/>
        </w:rPr>
        <w:t>Distrito Federal (CAU/UF) e dá outras providências.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54"/>
        <w:ind w:left="102" w:right="109"/>
        <w:jc w:val="both"/>
      </w:pPr>
      <w:r>
        <w:rPr>
          <w:strike/>
        </w:rPr>
        <w:t>O Conselho de Arquitetura e Urbanismo do Brasil (CAU/BR), no uso das atribuições que lhe</w:t>
      </w:r>
      <w:r>
        <w:rPr>
          <w:strike w:val="0"/>
        </w:rPr>
        <w:t> </w:t>
      </w:r>
      <w:r>
        <w:rPr>
          <w:strike/>
        </w:rPr>
        <w:t>conferem os artigos 28, incisos III e XI, 42, 43 e 44 da Lei n° 12.378, de 31 de dezembro de 2010,</w:t>
      </w:r>
      <w:r>
        <w:rPr>
          <w:strike w:val="0"/>
        </w:rPr>
        <w:t> </w:t>
      </w:r>
      <w:r>
        <w:rPr>
          <w:strike/>
        </w:rPr>
        <w:t>e os artigos 84 e 85 da Resolução nº 1, de 14 de novembro de 2011, e de acordo com a</w:t>
      </w:r>
      <w:r>
        <w:rPr>
          <w:strike w:val="0"/>
        </w:rPr>
        <w:t> </w:t>
      </w:r>
      <w:r>
        <w:rPr>
          <w:strike/>
        </w:rPr>
        <w:t>deliberação adotada na Sessão Plenária Ordinária n° 2, realizada nos dias 14 e 15 de dezembro</w:t>
      </w:r>
      <w:r>
        <w:rPr>
          <w:strike w:val="0"/>
        </w:rPr>
        <w:t> </w:t>
      </w:r>
      <w:r>
        <w:rPr>
          <w:strike/>
        </w:rPr>
        <w:t>de 2011;</w:t>
      </w:r>
    </w:p>
    <w:p>
      <w:pPr>
        <w:pStyle w:val="BodyText"/>
        <w:rPr>
          <w:sz w:val="18"/>
        </w:rPr>
      </w:pPr>
    </w:p>
    <w:p>
      <w:pPr>
        <w:pStyle w:val="Heading2"/>
        <w:spacing w:before="54"/>
        <w:ind w:left="102"/>
      </w:pPr>
      <w:r>
        <w:rPr>
          <w:strike/>
        </w:rPr>
        <w:t>RESOLVE: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before="54"/>
        <w:ind w:left="102" w:right="112"/>
        <w:jc w:val="both"/>
      </w:pPr>
      <w:r>
        <w:rPr>
          <w:strike/>
        </w:rPr>
        <w:t>Art. 1° Os profissionais e as pessoas jurídicas inscritas nos Conselhos de Arquitetura e Urbanismo</w:t>
      </w:r>
      <w:r>
        <w:rPr>
          <w:strike w:val="0"/>
        </w:rPr>
        <w:t> </w:t>
      </w:r>
      <w:r>
        <w:rPr>
          <w:strike/>
        </w:rPr>
        <w:t>dos Estados e do Distrito Federal (CAU/UF) pagarão, anualmente, ao CAU/UF em que estejam</w:t>
      </w:r>
      <w:r>
        <w:rPr>
          <w:strike w:val="0"/>
        </w:rPr>
        <w:t> </w:t>
      </w:r>
      <w:r>
        <w:rPr>
          <w:strike/>
        </w:rPr>
        <w:t>registrados, anuidade no valor fixado pelo Conselho de Arquitetura e Urbanismo do Brasil</w:t>
      </w:r>
      <w:r>
        <w:rPr>
          <w:strike w:val="0"/>
        </w:rPr>
        <w:t> </w:t>
      </w:r>
      <w:r>
        <w:rPr>
          <w:strike/>
        </w:rPr>
        <w:t>(CAU/BR), respeitados os limites determinados pela Lei n° 12.378, de 31 de dezembro de 2010.</w:t>
      </w:r>
    </w:p>
    <w:p>
      <w:pPr>
        <w:pStyle w:val="BodyText"/>
        <w:rPr>
          <w:sz w:val="18"/>
        </w:rPr>
      </w:pPr>
    </w:p>
    <w:p>
      <w:pPr>
        <w:pStyle w:val="BodyText"/>
        <w:spacing w:before="54"/>
        <w:ind w:left="102" w:right="107"/>
        <w:jc w:val="both"/>
      </w:pPr>
      <w:r>
        <w:rPr>
          <w:strike/>
        </w:rPr>
        <w:t>Parágrafo único. Para a efetivação do pagamento previsto neste artigo o profissional ou o agente</w:t>
      </w:r>
      <w:r>
        <w:rPr>
          <w:strike w:val="0"/>
        </w:rPr>
        <w:t> </w:t>
      </w:r>
      <w:r>
        <w:rPr>
          <w:strike/>
        </w:rPr>
        <w:t>da pessoa jurídica deverá acessar o Sistema de Informação e Comunicação dos Conselhos de</w:t>
      </w:r>
      <w:r>
        <w:rPr>
          <w:strike w:val="0"/>
        </w:rPr>
        <w:t> </w:t>
      </w:r>
      <w:r>
        <w:rPr>
          <w:strike/>
        </w:rPr>
        <w:t>Arquitetura e Urbanismo (SICCAU) e gerar o documento bancário para o recolhimento dos</w:t>
      </w:r>
      <w:r>
        <w:rPr>
          <w:strike w:val="0"/>
        </w:rPr>
        <w:t> </w:t>
      </w:r>
      <w:r>
        <w:rPr>
          <w:strike/>
        </w:rPr>
        <w:t>respectivos valores na rede bancária.</w:t>
      </w:r>
    </w:p>
    <w:p>
      <w:pPr>
        <w:pStyle w:val="BodyText"/>
        <w:rPr>
          <w:sz w:val="18"/>
        </w:rPr>
      </w:pPr>
    </w:p>
    <w:p>
      <w:pPr>
        <w:pStyle w:val="BodyText"/>
        <w:spacing w:before="54"/>
        <w:ind w:left="102"/>
      </w:pPr>
      <w:r>
        <w:rPr>
          <w:strike/>
        </w:rPr>
        <w:t>Art. 2° Na fixação dos valores de anuidades observar-se-ão as seguintes regras: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54" w:after="0"/>
        <w:ind w:left="102" w:right="112" w:firstLine="0"/>
        <w:jc w:val="left"/>
        <w:rPr>
          <w:sz w:val="23"/>
        </w:rPr>
      </w:pPr>
      <w:r>
        <w:rPr>
          <w:strike/>
          <w:sz w:val="23"/>
        </w:rPr>
        <w:t>a anuidade, pelo seu valor integral, será devida quando a inscrição do profissional ou da pessoa jurídica estiver ativa no exercício imediatamente</w:t>
      </w:r>
      <w:r>
        <w:rPr>
          <w:strike/>
          <w:spacing w:val="-1"/>
          <w:sz w:val="23"/>
        </w:rPr>
        <w:t> </w:t>
      </w:r>
      <w:r>
        <w:rPr>
          <w:strike/>
          <w:sz w:val="23"/>
        </w:rPr>
        <w:t>anterior;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54" w:after="0"/>
        <w:ind w:left="102" w:right="113" w:firstLine="0"/>
        <w:jc w:val="both"/>
        <w:rPr>
          <w:sz w:val="23"/>
        </w:rPr>
      </w:pPr>
      <w:r>
        <w:rPr>
          <w:strike/>
          <w:sz w:val="23"/>
        </w:rPr>
        <w:t>no exercício da inscrição do profissional ou da pessoa jurídica a anuidade será fixada em valor proporcional aos duodécimos correspondentes aos meses restantes do exercício, contados a partir do mês, inclusive, do deferimento da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inscrição;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54" w:after="0"/>
        <w:ind w:left="397" w:right="0" w:hanging="296"/>
        <w:jc w:val="left"/>
        <w:rPr>
          <w:sz w:val="23"/>
        </w:rPr>
      </w:pPr>
      <w:r>
        <w:rPr>
          <w:strike/>
          <w:sz w:val="23"/>
        </w:rPr>
        <w:t>a anuidade, com redução de 50% (cinqüenta por cento), será devida pelos</w:t>
      </w:r>
      <w:r>
        <w:rPr>
          <w:strike/>
          <w:spacing w:val="-19"/>
          <w:sz w:val="23"/>
        </w:rPr>
        <w:t> </w:t>
      </w:r>
      <w:r>
        <w:rPr>
          <w:strike/>
          <w:sz w:val="23"/>
        </w:rPr>
        <w:t>profissionais: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335" w:val="left" w:leader="none"/>
        </w:tabs>
        <w:spacing w:line="240" w:lineRule="auto" w:before="54" w:after="0"/>
        <w:ind w:left="334" w:right="0" w:hanging="233"/>
        <w:jc w:val="left"/>
        <w:rPr>
          <w:sz w:val="23"/>
        </w:rPr>
      </w:pPr>
      <w:r>
        <w:rPr>
          <w:strike/>
          <w:sz w:val="23"/>
        </w:rPr>
        <w:t>formados há menos de 2 (dois)</w:t>
      </w:r>
      <w:r>
        <w:rPr>
          <w:strike/>
          <w:spacing w:val="-7"/>
          <w:sz w:val="23"/>
        </w:rPr>
        <w:t> </w:t>
      </w:r>
      <w:r>
        <w:rPr>
          <w:strike/>
          <w:sz w:val="23"/>
        </w:rPr>
        <w:t>anos;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344" w:val="left" w:leader="none"/>
        </w:tabs>
        <w:spacing w:line="240" w:lineRule="auto" w:before="54" w:after="0"/>
        <w:ind w:left="344" w:right="0" w:hanging="242"/>
        <w:jc w:val="left"/>
        <w:rPr>
          <w:sz w:val="23"/>
        </w:rPr>
      </w:pPr>
      <w:r>
        <w:rPr>
          <w:strike/>
          <w:sz w:val="23"/>
        </w:rPr>
        <w:t>que tenham completado 30 (trinta) anos de</w:t>
      </w:r>
      <w:r>
        <w:rPr>
          <w:strike/>
          <w:spacing w:val="1"/>
          <w:sz w:val="23"/>
        </w:rPr>
        <w:t> </w:t>
      </w:r>
      <w:r>
        <w:rPr>
          <w:strike/>
          <w:sz w:val="23"/>
        </w:rPr>
        <w:t>formado;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0" w:lineRule="auto" w:before="54" w:after="0"/>
        <w:ind w:left="102" w:right="111" w:firstLine="0"/>
        <w:jc w:val="both"/>
        <w:rPr>
          <w:sz w:val="23"/>
        </w:rPr>
      </w:pPr>
      <w:r>
        <w:rPr>
          <w:strike/>
          <w:sz w:val="23"/>
        </w:rPr>
        <w:t>a anuidade, com redução de 90% (noventa por cento), será devida pelos profissionais que tenham completado 35 (trinta e cinco) anos de contribuição na data da publicação da Lei nº 12.378, de</w:t>
      </w:r>
      <w:r>
        <w:rPr>
          <w:strike/>
          <w:spacing w:val="-3"/>
          <w:sz w:val="23"/>
        </w:rPr>
        <w:t> </w:t>
      </w:r>
      <w:r>
        <w:rPr>
          <w:strike/>
          <w:sz w:val="23"/>
        </w:rPr>
        <w:t>2010;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54" w:after="0"/>
        <w:ind w:left="102" w:right="106" w:firstLine="0"/>
        <w:jc w:val="left"/>
        <w:rPr>
          <w:sz w:val="23"/>
        </w:rPr>
      </w:pPr>
      <w:r>
        <w:rPr>
          <w:strike/>
          <w:sz w:val="23"/>
        </w:rPr>
        <w:t>ficarão isentos do pagamento da anuidade os profissionais que tenham completado 40 (quarenta) anos de</w:t>
      </w:r>
      <w:r>
        <w:rPr>
          <w:strike/>
          <w:spacing w:val="1"/>
          <w:sz w:val="23"/>
        </w:rPr>
        <w:t> </w:t>
      </w:r>
      <w:r>
        <w:rPr>
          <w:strike/>
          <w:sz w:val="23"/>
        </w:rPr>
        <w:t>contribuição.</w:t>
      </w:r>
    </w:p>
    <w:p>
      <w:pPr>
        <w:spacing w:after="0" w:line="240" w:lineRule="auto"/>
        <w:jc w:val="left"/>
        <w:rPr>
          <w:sz w:val="23"/>
        </w:rPr>
        <w:sectPr>
          <w:headerReference w:type="default" r:id="rId5"/>
          <w:footerReference w:type="default" r:id="rId6"/>
          <w:type w:val="continuous"/>
          <w:pgSz w:w="11900" w:h="16850"/>
          <w:pgMar w:header="708" w:footer="1175" w:top="1500" w:bottom="1360" w:left="1600" w:right="1020"/>
        </w:sectPr>
      </w:pPr>
    </w:p>
    <w:p>
      <w:pPr>
        <w:pStyle w:val="BodyText"/>
        <w:spacing w:before="46"/>
        <w:ind w:left="102" w:right="111"/>
      </w:pPr>
      <w:r>
        <w:rPr>
          <w:strike/>
        </w:rPr>
        <w:t>Parágrafo único. Contar-se-ão para os fins deste artigo o tempo de registro e de contribuições</w:t>
      </w:r>
      <w:r>
        <w:rPr>
          <w:strike w:val="0"/>
        </w:rPr>
        <w:t> </w:t>
      </w:r>
      <w:r>
        <w:rPr>
          <w:strike/>
        </w:rPr>
        <w:t>aos Conselhos Regionais de Engenharia, Arquitetura e Agronomia.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2"/>
      </w:pPr>
      <w:r>
        <w:rPr>
          <w:strike/>
        </w:rPr>
        <w:t>Art. 3° Assegurados os benefícios previstos no art. 2°, as anuidades poderão ser pagas nos</w:t>
      </w:r>
      <w:r>
        <w:rPr>
          <w:strike w:val="0"/>
        </w:rPr>
        <w:t> </w:t>
      </w:r>
      <w:r>
        <w:rPr>
          <w:strike/>
        </w:rPr>
        <w:t>seguintes prazos e condições: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54" w:after="0"/>
        <w:ind w:left="102" w:right="115" w:firstLine="0"/>
        <w:jc w:val="left"/>
        <w:rPr>
          <w:sz w:val="23"/>
        </w:rPr>
      </w:pPr>
      <w:r>
        <w:rPr>
          <w:strike/>
          <w:sz w:val="23"/>
        </w:rPr>
        <w:t>de forma integral, com desconto de 10% (dez por cento), até 31 de janeiro do respectivo exercício;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62" w:val="left" w:leader="none"/>
        </w:tabs>
        <w:spacing w:line="240" w:lineRule="auto" w:before="54" w:after="0"/>
        <w:ind w:left="102" w:right="105" w:firstLine="0"/>
        <w:jc w:val="left"/>
        <w:rPr>
          <w:sz w:val="23"/>
        </w:rPr>
      </w:pPr>
      <w:r>
        <w:rPr>
          <w:strike/>
          <w:sz w:val="23"/>
        </w:rPr>
        <w:t>em três parcelas, iguais e sucessivas, com vencimentos no último dia dos meses de janeiro, fevereiro e março do respectivo</w:t>
      </w:r>
      <w:r>
        <w:rPr>
          <w:strike/>
          <w:spacing w:val="2"/>
          <w:sz w:val="23"/>
        </w:rPr>
        <w:t> </w:t>
      </w:r>
      <w:r>
        <w:rPr>
          <w:strike/>
          <w:sz w:val="23"/>
        </w:rPr>
        <w:t>exercício.</w:t>
      </w:r>
    </w:p>
    <w:p>
      <w:pPr>
        <w:pStyle w:val="BodyText"/>
        <w:rPr>
          <w:sz w:val="18"/>
        </w:rPr>
      </w:pPr>
    </w:p>
    <w:p>
      <w:pPr>
        <w:pStyle w:val="BodyText"/>
        <w:spacing w:before="54"/>
        <w:ind w:left="102" w:right="111"/>
        <w:jc w:val="both"/>
      </w:pPr>
      <w:r>
        <w:rPr>
          <w:strike/>
        </w:rPr>
        <w:t>Parágrafo único. Coincidindo o último dia para pagamento integral ou parcelado da anuidade em</w:t>
      </w:r>
      <w:r>
        <w:rPr>
          <w:strike w:val="0"/>
        </w:rPr>
        <w:t> </w:t>
      </w:r>
      <w:r>
        <w:rPr>
          <w:strike/>
        </w:rPr>
        <w:t>dia sem expediente bancário, o pagamento poderá ser feito, sem acréscimos, no primeiro dia</w:t>
      </w:r>
      <w:r>
        <w:rPr>
          <w:strike w:val="0"/>
        </w:rPr>
        <w:t> </w:t>
      </w:r>
      <w:r>
        <w:rPr>
          <w:strike/>
        </w:rPr>
        <w:t>útil</w:t>
      </w:r>
      <w:r>
        <w:rPr>
          <w:strike/>
          <w:spacing w:val="-2"/>
        </w:rPr>
        <w:t> </w:t>
      </w:r>
      <w:r>
        <w:rPr>
          <w:strike/>
        </w:rPr>
        <w:t>subsequente.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2" w:right="111"/>
      </w:pPr>
      <w:r>
        <w:rPr>
          <w:strike/>
        </w:rPr>
        <w:t>Art. 4° As anuidades devidas pelos profissionais e pelas pessoas jurídicas que não forem pagas</w:t>
      </w:r>
      <w:r>
        <w:rPr>
          <w:strike w:val="0"/>
        </w:rPr>
        <w:t> </w:t>
      </w:r>
      <w:r>
        <w:rPr>
          <w:strike/>
        </w:rPr>
        <w:t>nas datas dos respectivos vencimentos serão acrescidas dos seguintes encargos: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11" w:val="left" w:leader="none"/>
        </w:tabs>
        <w:spacing w:line="240" w:lineRule="auto" w:before="54" w:after="0"/>
        <w:ind w:left="102" w:right="106" w:firstLine="0"/>
        <w:jc w:val="left"/>
        <w:rPr>
          <w:sz w:val="23"/>
        </w:rPr>
      </w:pPr>
      <w:r>
        <w:rPr>
          <w:strike/>
          <w:sz w:val="23"/>
        </w:rPr>
        <w:t>correção com base na variação da Taxa Referencial do Sistema Especial de Liquidação e de Custódia (SELIC), calculada desde o primeiro dia de atraso até o efetivo</w:t>
      </w:r>
      <w:r>
        <w:rPr>
          <w:strike/>
          <w:spacing w:val="-13"/>
          <w:sz w:val="23"/>
        </w:rPr>
        <w:t> </w:t>
      </w:r>
      <w:r>
        <w:rPr>
          <w:strike/>
          <w:sz w:val="23"/>
        </w:rPr>
        <w:t>pagamento;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40" w:lineRule="auto" w:before="54" w:after="0"/>
        <w:ind w:left="102" w:right="115" w:firstLine="0"/>
        <w:jc w:val="left"/>
        <w:rPr>
          <w:sz w:val="23"/>
        </w:rPr>
      </w:pPr>
      <w:r>
        <w:rPr>
          <w:strike/>
          <w:sz w:val="23"/>
        </w:rPr>
        <w:t>multa de mora equivalente aos seguintes percentuais calculados sobre o valor do débito, devidamente corrigido: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54" w:after="0"/>
        <w:ind w:left="334" w:right="0" w:hanging="233"/>
        <w:jc w:val="left"/>
        <w:rPr>
          <w:sz w:val="23"/>
        </w:rPr>
      </w:pPr>
      <w:r>
        <w:rPr>
          <w:strike/>
          <w:sz w:val="23"/>
        </w:rPr>
        <w:t>2% (dois por cento): até o último dia útil do primeiro mês subsequente ao do</w:t>
      </w:r>
      <w:r>
        <w:rPr>
          <w:strike/>
          <w:spacing w:val="-17"/>
          <w:sz w:val="23"/>
        </w:rPr>
        <w:t> </w:t>
      </w:r>
      <w:r>
        <w:rPr>
          <w:strike/>
          <w:sz w:val="23"/>
        </w:rPr>
        <w:t>vencimento;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240" w:lineRule="auto" w:before="54" w:after="0"/>
        <w:ind w:left="344" w:right="0" w:hanging="242"/>
        <w:jc w:val="left"/>
        <w:rPr>
          <w:sz w:val="23"/>
        </w:rPr>
      </w:pPr>
      <w:r>
        <w:rPr>
          <w:strike/>
          <w:sz w:val="23"/>
        </w:rPr>
        <w:t>5% (cinco por cento): até o último dia útil do segundo mês subsequente ao do</w:t>
      </w:r>
      <w:r>
        <w:rPr>
          <w:strike/>
          <w:spacing w:val="-14"/>
          <w:sz w:val="23"/>
        </w:rPr>
        <w:t> </w:t>
      </w:r>
      <w:r>
        <w:rPr>
          <w:strike/>
          <w:sz w:val="23"/>
        </w:rPr>
        <w:t>vencimento;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323" w:val="left" w:leader="none"/>
        </w:tabs>
        <w:spacing w:line="240" w:lineRule="auto" w:before="54" w:after="0"/>
        <w:ind w:left="322" w:right="0" w:hanging="221"/>
        <w:jc w:val="left"/>
        <w:rPr>
          <w:sz w:val="23"/>
        </w:rPr>
      </w:pPr>
      <w:r>
        <w:rPr>
          <w:strike/>
          <w:sz w:val="23"/>
        </w:rPr>
        <w:t>8% (oito por cento): até o último dia útil do terceiro mês subsequente ao do</w:t>
      </w:r>
      <w:r>
        <w:rPr>
          <w:strike/>
          <w:spacing w:val="-24"/>
          <w:sz w:val="23"/>
        </w:rPr>
        <w:t> </w:t>
      </w:r>
      <w:r>
        <w:rPr>
          <w:strike/>
          <w:sz w:val="23"/>
        </w:rPr>
        <w:t>vencimento;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240" w:lineRule="auto" w:before="54" w:after="0"/>
        <w:ind w:left="344" w:right="0" w:hanging="242"/>
        <w:jc w:val="left"/>
        <w:rPr>
          <w:sz w:val="23"/>
        </w:rPr>
      </w:pPr>
      <w:r>
        <w:rPr>
          <w:strike/>
          <w:sz w:val="23"/>
        </w:rPr>
        <w:t>10% (dez por cento): até o último dia útil do quarto mês subsequente ao do</w:t>
      </w:r>
      <w:r>
        <w:rPr>
          <w:strike/>
          <w:spacing w:val="-23"/>
          <w:sz w:val="23"/>
        </w:rPr>
        <w:t> </w:t>
      </w:r>
      <w:r>
        <w:rPr>
          <w:strike/>
          <w:sz w:val="23"/>
        </w:rPr>
        <w:t>vencimento;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340" w:val="left" w:leader="none"/>
        </w:tabs>
        <w:spacing w:line="240" w:lineRule="auto" w:before="54" w:after="0"/>
        <w:ind w:left="339" w:right="0" w:hanging="238"/>
        <w:jc w:val="left"/>
        <w:rPr>
          <w:sz w:val="23"/>
        </w:rPr>
      </w:pPr>
      <w:r>
        <w:rPr>
          <w:strike/>
          <w:sz w:val="23"/>
        </w:rPr>
        <w:t>20% (vinte por cento): depois do quarto mês subsequente ao do</w:t>
      </w:r>
      <w:r>
        <w:rPr>
          <w:strike/>
          <w:spacing w:val="-8"/>
          <w:sz w:val="23"/>
        </w:rPr>
        <w:t> </w:t>
      </w:r>
      <w:r>
        <w:rPr>
          <w:strike/>
          <w:sz w:val="23"/>
        </w:rPr>
        <w:t>vencimento.</w:t>
      </w:r>
    </w:p>
    <w:p>
      <w:pPr>
        <w:pStyle w:val="BodyText"/>
        <w:rPr>
          <w:sz w:val="18"/>
        </w:rPr>
      </w:pPr>
    </w:p>
    <w:p>
      <w:pPr>
        <w:pStyle w:val="BodyText"/>
        <w:spacing w:before="54"/>
        <w:ind w:left="102"/>
      </w:pPr>
      <w:r>
        <w:rPr>
          <w:strike/>
        </w:rPr>
        <w:t>Art. 5° Esta Resolução entra em vigor nesta data.</w:t>
      </w:r>
    </w:p>
    <w:p>
      <w:pPr>
        <w:pStyle w:val="BodyText"/>
        <w:spacing w:before="0"/>
        <w:rPr>
          <w:sz w:val="20"/>
        </w:rPr>
      </w:pPr>
    </w:p>
    <w:p>
      <w:pPr>
        <w:pStyle w:val="Heading1"/>
        <w:spacing w:before="197"/>
        <w:ind w:right="397"/>
      </w:pPr>
      <w:r>
        <w:rPr/>
        <w:t>Brasília, 15 de dezembro de 2011.</w:t>
      </w: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0"/>
        <w:rPr>
          <w:sz w:val="22"/>
        </w:rPr>
      </w:pPr>
    </w:p>
    <w:p>
      <w:pPr>
        <w:spacing w:line="289" w:lineRule="exact" w:before="0"/>
        <w:ind w:left="73" w:right="398" w:firstLine="0"/>
        <w:jc w:val="center"/>
        <w:rPr>
          <w:b/>
          <w:sz w:val="24"/>
        </w:rPr>
      </w:pPr>
      <w:r>
        <w:rPr>
          <w:b/>
          <w:sz w:val="24"/>
        </w:rPr>
        <w:t>HAROLDO PINHEIRO VILLAR DE QUEIROZ</w:t>
      </w:r>
    </w:p>
    <w:p>
      <w:pPr>
        <w:pStyle w:val="Heading1"/>
        <w:spacing w:line="289" w:lineRule="exact"/>
      </w:pPr>
      <w:r>
        <w:rPr/>
        <w:t>Presidente do CAU/BR</w:t>
      </w: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73" w:right="400" w:firstLine="0"/>
        <w:jc w:val="center"/>
        <w:rPr>
          <w:sz w:val="24"/>
        </w:rPr>
      </w:pPr>
      <w:r>
        <w:rPr>
          <w:sz w:val="24"/>
        </w:rPr>
        <w:t>(Publicada no Diário Oficial da União, Edição n° 249, Seção 1, de 28 de dezembro de 2011)</w:t>
      </w:r>
    </w:p>
    <w:sectPr>
      <w:pgSz w:w="11900" w:h="16850"/>
      <w:pgMar w:header="708" w:footer="1175" w:top="1500" w:bottom="13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line style="position:absolute;mso-position-horizontal-relative:page;mso-position-vertical-relative:page;z-index:-251773952" from="62.304001pt,770.015991pt" to="550.894001pt,770.015991pt" stroked="true" strokeweight="1.4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580002pt;margin-top:775.777588pt;width:378.1pt;height:22.05pt;mso-position-horizontal-relative:page;mso-position-vertical-relative:page;z-index:-251772928" type="#_x0000_t202" filled="false" stroked="false">
          <v:textbox inset="0,0,0,0">
            <w:txbxContent>
              <w:p>
                <w:pPr>
                  <w:spacing w:line="288" w:lineRule="auto" w:before="15"/>
                  <w:ind w:left="2084" w:right="1" w:hanging="2065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SCS Quadra 2, Bloco E, Edifício Serra Dourada, Salas 401/409 | CEP 70302-000 Brasília, Distrito Federal </w:t>
                </w:r>
                <w:hyperlink r:id="rId1">
                  <w:r>
                    <w:rPr>
                      <w:rFonts w:ascii="Arial" w:hAnsi="Arial"/>
                      <w:color w:val="003333"/>
                      <w:sz w:val="16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003333"/>
                    <w:sz w:val="16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003333"/>
                      <w:sz w:val="16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51541504">
          <wp:simplePos x="0" y="0"/>
          <wp:positionH relativeFrom="page">
            <wp:posOffset>1080769</wp:posOffset>
          </wp:positionH>
          <wp:positionV relativeFrom="page">
            <wp:posOffset>449579</wp:posOffset>
          </wp:positionV>
          <wp:extent cx="3337559" cy="38862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7559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 w:ascii="Calibri" w:hAnsi="Calibri" w:eastAsia="Calibri" w:cs="Calibri"/>
        <w:strike/>
        <w:w w:val="100"/>
        <w:sz w:val="23"/>
        <w:szCs w:val="23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33" w:hanging="23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27" w:hanging="23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21" w:hanging="23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15" w:hanging="23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09" w:hanging="23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03" w:hanging="23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97" w:hanging="23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91" w:hanging="233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upperRoman"/>
      <w:lvlText w:val="%1)"/>
      <w:lvlJc w:val="left"/>
      <w:pPr>
        <w:ind w:left="102" w:hanging="209"/>
        <w:jc w:val="left"/>
      </w:pPr>
      <w:rPr>
        <w:rFonts w:hint="default" w:ascii="Calibri" w:hAnsi="Calibri" w:eastAsia="Calibri" w:cs="Calibri"/>
        <w:strike/>
        <w:w w:val="100"/>
        <w:sz w:val="23"/>
        <w:szCs w:val="23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209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209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209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209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209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209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209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209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)"/>
      <w:lvlJc w:val="left"/>
      <w:pPr>
        <w:ind w:left="102" w:hanging="219"/>
        <w:jc w:val="left"/>
      </w:pPr>
      <w:rPr>
        <w:rFonts w:hint="default" w:ascii="Calibri" w:hAnsi="Calibri" w:eastAsia="Calibri" w:cs="Calibri"/>
        <w:strike/>
        <w:w w:val="100"/>
        <w:sz w:val="23"/>
        <w:szCs w:val="23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219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219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219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219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219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219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219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219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)"/>
      <w:lvlJc w:val="left"/>
      <w:pPr>
        <w:ind w:left="102" w:hanging="226"/>
        <w:jc w:val="left"/>
      </w:pPr>
      <w:rPr>
        <w:rFonts w:hint="default" w:ascii="Calibri" w:hAnsi="Calibri" w:eastAsia="Calibri" w:cs="Calibri"/>
        <w:strike/>
        <w:w w:val="100"/>
        <w:sz w:val="23"/>
        <w:szCs w:val="23"/>
        <w:lang w:val="pt-br" w:eastAsia="pt-br" w:bidi="pt-br"/>
      </w:rPr>
    </w:lvl>
    <w:lvl w:ilvl="1">
      <w:start w:val="1"/>
      <w:numFmt w:val="lowerLetter"/>
      <w:lvlText w:val="%2)"/>
      <w:lvlJc w:val="left"/>
      <w:pPr>
        <w:ind w:left="334" w:hanging="233"/>
        <w:jc w:val="left"/>
      </w:pPr>
      <w:rPr>
        <w:rFonts w:hint="default" w:ascii="Calibri" w:hAnsi="Calibri" w:eastAsia="Calibri" w:cs="Calibri"/>
        <w:strike/>
        <w:w w:val="100"/>
        <w:sz w:val="23"/>
        <w:szCs w:val="23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333" w:hanging="23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326" w:hanging="23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319" w:hanging="23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312" w:hanging="23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306" w:hanging="23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299" w:hanging="23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292" w:hanging="233"/>
      </w:pPr>
      <w:rPr>
        <w:rFonts w:hint="default"/>
        <w:lang w:val="pt-br" w:eastAsia="pt-br" w:bidi="pt-br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23"/>
      <w:szCs w:val="23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73" w:right="395"/>
      <w:jc w:val="center"/>
      <w:outlineLvl w:val="1"/>
    </w:pPr>
    <w:rPr>
      <w:rFonts w:ascii="Calibri" w:hAnsi="Calibri" w:eastAsia="Calibri" w:cs="Calibri"/>
      <w:sz w:val="24"/>
      <w:szCs w:val="24"/>
      <w:lang w:val="pt-br" w:eastAsia="pt-br" w:bidi="pt-br"/>
    </w:rPr>
  </w:style>
  <w:style w:styleId="Heading2" w:type="paragraph">
    <w:name w:val="Heading 2"/>
    <w:basedOn w:val="Normal"/>
    <w:uiPriority w:val="1"/>
    <w:qFormat/>
    <w:pPr>
      <w:spacing w:before="44"/>
      <w:ind w:left="73"/>
      <w:outlineLvl w:val="2"/>
    </w:pPr>
    <w:rPr>
      <w:rFonts w:ascii="Calibri" w:hAnsi="Calibri" w:eastAsia="Calibri" w:cs="Calibri"/>
      <w:b/>
      <w:bCs/>
      <w:sz w:val="23"/>
      <w:szCs w:val="23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54"/>
      <w:ind w:left="102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2020-06-26T11:25:07Z</dcterms:created>
  <dcterms:modified xsi:type="dcterms:W3CDTF">2020-06-26T11:25:07Z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2020-06-26T00:00:00Z</vt:filetime>
  </property>
</Properties>
</file>