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FD98" w14:textId="11A63285" w:rsidR="007A55E4" w:rsidRPr="002B686D" w:rsidRDefault="00976EC9" w:rsidP="003C403C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Relatório Técnico de Monitoramento e Avaliação</w:t>
      </w:r>
    </w:p>
    <w:p w14:paraId="5AB3CB8D" w14:textId="77777777" w:rsidR="002B686D" w:rsidRDefault="002B686D" w:rsidP="00976EC9">
      <w:pPr>
        <w:tabs>
          <w:tab w:val="left" w:pos="5112"/>
        </w:tabs>
        <w:rPr>
          <w:rFonts w:ascii="Times New Roman" w:eastAsia="Times New Roman" w:hAnsi="Times New Roman" w:cs="Times New Roman"/>
          <w:b/>
          <w:lang w:eastAsia="pt-BR"/>
        </w:rPr>
      </w:pPr>
    </w:p>
    <w:p w14:paraId="3A7F1DF4" w14:textId="55904DD8" w:rsidR="00976EC9" w:rsidRPr="002B686D" w:rsidRDefault="00976EC9" w:rsidP="00976EC9">
      <w:pPr>
        <w:tabs>
          <w:tab w:val="left" w:pos="5112"/>
        </w:tabs>
        <w:rPr>
          <w:rFonts w:ascii="Times New Roman" w:eastAsia="Times New Roman" w:hAnsi="Times New Roman" w:cs="Times New Roman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>Termo de Fomento nº</w:t>
      </w:r>
      <w:r w:rsidR="002B686D" w:rsidRPr="002B686D">
        <w:rPr>
          <w:rFonts w:ascii="Times New Roman" w:eastAsia="Times New Roman" w:hAnsi="Times New Roman" w:cs="Times New Roman"/>
          <w:lang w:eastAsia="pt-BR"/>
        </w:rPr>
        <w:t>: 00</w:t>
      </w:r>
      <w:r w:rsidR="00FD7870">
        <w:rPr>
          <w:rFonts w:ascii="Times New Roman" w:eastAsia="Times New Roman" w:hAnsi="Times New Roman" w:cs="Times New Roman"/>
          <w:lang w:eastAsia="pt-BR"/>
        </w:rPr>
        <w:t>5</w:t>
      </w:r>
      <w:r w:rsidR="002B686D" w:rsidRPr="002B686D">
        <w:rPr>
          <w:rFonts w:ascii="Times New Roman" w:eastAsia="Times New Roman" w:hAnsi="Times New Roman" w:cs="Times New Roman"/>
          <w:lang w:eastAsia="pt-BR"/>
        </w:rPr>
        <w:t xml:space="preserve">/2021          </w:t>
      </w:r>
      <w:r w:rsidRPr="002B686D">
        <w:rPr>
          <w:rFonts w:ascii="Times New Roman" w:eastAsia="Times New Roman" w:hAnsi="Times New Roman" w:cs="Times New Roman"/>
          <w:b/>
          <w:lang w:eastAsia="pt-BR"/>
        </w:rPr>
        <w:t>Edital nº:</w:t>
      </w:r>
      <w:r w:rsidR="00FD7870">
        <w:rPr>
          <w:rFonts w:ascii="Times New Roman" w:eastAsia="Times New Roman" w:hAnsi="Times New Roman" w:cs="Times New Roman"/>
          <w:lang w:eastAsia="pt-BR"/>
        </w:rPr>
        <w:t xml:space="preserve"> 06</w:t>
      </w:r>
      <w:r w:rsidRPr="002B686D">
        <w:rPr>
          <w:rFonts w:ascii="Times New Roman" w:eastAsia="Times New Roman" w:hAnsi="Times New Roman" w:cs="Times New Roman"/>
          <w:lang w:eastAsia="pt-BR"/>
        </w:rPr>
        <w:t>/2021</w:t>
      </w:r>
    </w:p>
    <w:p w14:paraId="1653F46C" w14:textId="512FB4FA" w:rsidR="00976EC9" w:rsidRPr="00FD7870" w:rsidRDefault="00976EC9" w:rsidP="002B686D">
      <w:pPr>
        <w:rPr>
          <w:rFonts w:ascii="Segoe UI" w:eastAsia="Times New Roman" w:hAnsi="Segoe UI" w:cs="Segoe UI"/>
          <w:color w:val="auto"/>
          <w:sz w:val="21"/>
          <w:szCs w:val="21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 xml:space="preserve">Projeto/Evento: </w:t>
      </w:r>
      <w:r w:rsidR="00FD7870" w:rsidRPr="00FD7870">
        <w:rPr>
          <w:rFonts w:ascii="Times New Roman" w:eastAsia="Times New Roman" w:hAnsi="Times New Roman" w:cs="Times New Roman"/>
          <w:color w:val="auto"/>
          <w:lang w:eastAsia="pt-BR"/>
        </w:rPr>
        <w:t>Cidade e Pandemia</w:t>
      </w:r>
    </w:p>
    <w:p w14:paraId="792AA11F" w14:textId="6206259B" w:rsidR="002B686D" w:rsidRPr="002B686D" w:rsidRDefault="00976EC9" w:rsidP="002B686D">
      <w:pPr>
        <w:rPr>
          <w:rFonts w:ascii="Times New Roman" w:eastAsia="Times New Roman" w:hAnsi="Times New Roman" w:cs="Times New Roman"/>
          <w:color w:val="auto"/>
          <w:sz w:val="21"/>
          <w:szCs w:val="21"/>
          <w:lang w:eastAsia="pt-BR"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 xml:space="preserve">Entidade: </w:t>
      </w:r>
      <w:r w:rsidR="00FD7870" w:rsidRPr="00FD7870">
        <w:rPr>
          <w:rFonts w:ascii="Times New Roman" w:eastAsia="Times New Roman" w:hAnsi="Times New Roman" w:cs="Times New Roman"/>
          <w:color w:val="auto"/>
          <w:lang w:eastAsia="pt-BR"/>
        </w:rPr>
        <w:t>Pólis Instituto de Estudos, Formação e Assessoria em Políticas Sociais</w:t>
      </w:r>
    </w:p>
    <w:p w14:paraId="53FF2B1D" w14:textId="377E08F9" w:rsidR="00976EC9" w:rsidRPr="002B686D" w:rsidRDefault="00976EC9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  <w:r w:rsidRPr="002B686D">
        <w:rPr>
          <w:rFonts w:ascii="Times New Roman" w:eastAsia="Times New Roman" w:hAnsi="Times New Roman" w:cs="Times New Roman"/>
          <w:b/>
          <w:lang w:eastAsia="pt-BR"/>
        </w:rPr>
        <w:t>Referências:</w:t>
      </w:r>
      <w:r w:rsidR="0093183E" w:rsidRPr="002B686D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3183E" w:rsidRPr="002B686D">
        <w:rPr>
          <w:rFonts w:ascii="Times New Roman" w:hAnsi="Times New Roman" w:cs="Times New Roman"/>
        </w:rPr>
        <w:t>Lei 13.019/2014; Lei 13.204/2015; Decreto 8.726/2016; Resolução CAU/BR 94/2014</w:t>
      </w:r>
    </w:p>
    <w:p w14:paraId="68C0E7D0" w14:textId="77777777" w:rsidR="002B686D" w:rsidRPr="002B686D" w:rsidRDefault="002B686D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</w:p>
    <w:p w14:paraId="4BBD62ED" w14:textId="1FC52248" w:rsidR="00976EC9" w:rsidRPr="0093183E" w:rsidRDefault="00976EC9" w:rsidP="00976EC9">
      <w:pPr>
        <w:tabs>
          <w:tab w:val="left" w:pos="5112"/>
        </w:tabs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 - Descrição sumária das atividades e metas estabelecidas (informações retiradas do Plano de Trabalho elaborado pela Entidade Proponente);</w:t>
      </w:r>
    </w:p>
    <w:p w14:paraId="6EAEA52F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As atividades foram divididas conforme as etapas de trabalho e as atividades previstas em cada etapa.</w:t>
      </w:r>
    </w:p>
    <w:p w14:paraId="5979C993" w14:textId="2F52A02E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Na Etapa 1, estão previstas 5 ações/atividades que são voltadas à revisão, atualização e avanço dos estudos sobre Covid-19, desenvolvidos pelo Instituto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Pólis, em conjunto com o mapeamento e articulação com grupos de pesquisa sobre Covid-19 e território.</w:t>
      </w:r>
    </w:p>
    <w:p w14:paraId="70659361" w14:textId="1C2E9E6A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As atividades de revisão e aprofundamento da pesquisa de São Paulo utilizará metodologia de mapeamento por meio de ArcGis com dados públicos sobre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covid colhidos juntos aos órgãos de governo (municipal, estadual, federal). Os mapeamentos serão realizados a partir dos dados brutos, acima citados, que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passaram por tratamentos estatísticos próprios da epidemiologia. As leituras críticas dos mapeamentos serão realizadas por uma equipe técnica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multidisciplinar composta por urbanistas, médico sanitárias, médica epidemiologista, cientista social por meio de leituras individuais e debates coletivos.</w:t>
      </w:r>
    </w:p>
    <w:p w14:paraId="03D3F145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As atividades previstas nesta etapa ocorrerão de janeiro de 2022 a maio de 2022.</w:t>
      </w:r>
    </w:p>
    <w:p w14:paraId="74DB8F72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5F634D">
        <w:rPr>
          <w:rFonts w:ascii="Times New Roman" w:hAnsi="Times New Roman" w:cs="Times New Roman"/>
          <w:b/>
          <w:bCs/>
        </w:rPr>
        <w:t>Estão previstas as seguintes atividades/ações na Etapa 1:</w:t>
      </w:r>
    </w:p>
    <w:p w14:paraId="77207BF7" w14:textId="5236A4AD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1. Avanço da pesquisa sobre Covid-19 no Município de São Paulo, para ter estudos revisados e atualizados, com dados de 2022. O índice temático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 xml:space="preserve">provisório com as temáticas </w:t>
      </w:r>
      <w:r w:rsidR="00C947F9" w:rsidRPr="005F634D">
        <w:rPr>
          <w:rFonts w:ascii="Times New Roman" w:hAnsi="Times New Roman" w:cs="Times New Roman"/>
        </w:rPr>
        <w:t>dos estudos</w:t>
      </w:r>
      <w:r w:rsidRPr="005F634D">
        <w:rPr>
          <w:rFonts w:ascii="Times New Roman" w:hAnsi="Times New Roman" w:cs="Times New Roman"/>
        </w:rPr>
        <w:t xml:space="preserve"> está estruturado a partir dos seguintes temas:</w:t>
      </w:r>
    </w:p>
    <w:p w14:paraId="3440B329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a. Raça e gênero</w:t>
      </w:r>
    </w:p>
    <w:p w14:paraId="3125EC42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b. Trabalho e Covid-19</w:t>
      </w:r>
    </w:p>
    <w:p w14:paraId="16E57AF1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c. Territórios e escalas</w:t>
      </w:r>
    </w:p>
    <w:p w14:paraId="7CAA36A8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d. Políticas públicas e incidências</w:t>
      </w:r>
    </w:p>
    <w:p w14:paraId="28FFB355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e. Produção da cidade</w:t>
      </w:r>
    </w:p>
    <w:p w14:paraId="748F97B9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f. Conclusão</w:t>
      </w:r>
    </w:p>
    <w:p w14:paraId="5446408A" w14:textId="347B28B9" w:rsidR="002858DE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2. Mapeamento de grupos de pesquisa sobre Covid-19 e território. Realizar um levantamento de grupos, pesquisadores e pesquisadoras individuais que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trabalham com o espaço urbano e pandemia, em cidades de diversas regiões do país.</w:t>
      </w:r>
    </w:p>
    <w:p w14:paraId="5D544F04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3. Articulação com os grupos de pesquisa mapeados, para mobilização da rede.</w:t>
      </w:r>
    </w:p>
    <w:p w14:paraId="69492699" w14:textId="6E2A2420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lastRenderedPageBreak/>
        <w:t>Na Etapa 2 serão realizadas as ações/atividades voltadas à oficina de trabalho e à estruturação da publicação, em conjunto com a rede de pesquisa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mobilizada. As atividades previstas nesta etapa ocorrerão de junho de 2022 a agosto de 2022.</w:t>
      </w:r>
    </w:p>
    <w:p w14:paraId="365AB6D7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5F634D">
        <w:rPr>
          <w:rFonts w:ascii="Times New Roman" w:hAnsi="Times New Roman" w:cs="Times New Roman"/>
          <w:b/>
          <w:bCs/>
        </w:rPr>
        <w:t>Estão previstas as seguintes atividades/ações:</w:t>
      </w:r>
    </w:p>
    <w:p w14:paraId="5125283A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1. Planejamento da oficina de trabalho, pensar na estrutura metodológica, pactuada com a rede de pesquisa mobilizada.</w:t>
      </w:r>
    </w:p>
    <w:p w14:paraId="198515E9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2. Realização da oficina de trabalho para a troca de experiências, metodologias e análises e pactuação da estrutura da publicação.</w:t>
      </w:r>
    </w:p>
    <w:p w14:paraId="21A64125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3. Sistematização dos resultados da oficina de trabalho.</w:t>
      </w:r>
    </w:p>
    <w:p w14:paraId="021DF672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4. Elaboração dos textos que irão compor a publicação, estudos feitos pelo Instituto Pólis e pela rede de pesquisa mobilizada.</w:t>
      </w:r>
    </w:p>
    <w:p w14:paraId="0ACA1DFA" w14:textId="62ED3328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 Etapa 3 é voltada à produção da publicação. A partir dos textos prontos, nessa etapa do projeto, realizaremos o trabalho de editoração, revisão final dos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textos, projeto gráfico da publicação, diagramação, finalização, lançamento e divulgação. As atividades previstas nesta etapa ocorrerão de setembro de 2022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a novembro de 2022.</w:t>
      </w:r>
    </w:p>
    <w:p w14:paraId="06ECAF7B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  <w:b/>
          <w:bCs/>
        </w:rPr>
      </w:pPr>
      <w:r w:rsidRPr="005F634D">
        <w:rPr>
          <w:rFonts w:ascii="Times New Roman" w:hAnsi="Times New Roman" w:cs="Times New Roman"/>
          <w:b/>
          <w:bCs/>
        </w:rPr>
        <w:t>Estão previstas as seguintes atividades/ações:</w:t>
      </w:r>
    </w:p>
    <w:p w14:paraId="4114A2E1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1. Edição dos textos produzidos pela equipe do Instituto Pólis e pela rede de pesquisa.</w:t>
      </w:r>
    </w:p>
    <w:p w14:paraId="4FB9571F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2. Revisão final dos textos que farão parte da publicação.</w:t>
      </w:r>
    </w:p>
    <w:p w14:paraId="145021BF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3. Diagramação da publicação, que prevê desde a elaboração do projeto gráfico até a finalização do produto.</w:t>
      </w:r>
    </w:p>
    <w:p w14:paraId="57726E22" w14:textId="1523EE78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4. Lançamento a publicação, com realização de um evento, que poderá ser presencial ou online, a depender das condições sanitárias do momento. O</w:t>
      </w:r>
      <w:r>
        <w:rPr>
          <w:rFonts w:ascii="Times New Roman" w:hAnsi="Times New Roman" w:cs="Times New Roman"/>
        </w:rPr>
        <w:t xml:space="preserve"> </w:t>
      </w:r>
      <w:r w:rsidRPr="005F634D">
        <w:rPr>
          <w:rFonts w:ascii="Times New Roman" w:hAnsi="Times New Roman" w:cs="Times New Roman"/>
        </w:rPr>
        <w:t>evento contará com a tradução simultânea de libras.</w:t>
      </w:r>
    </w:p>
    <w:p w14:paraId="5BF802CA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5. Divulgação da publicação, que envolverá a execução de estratégias de comunicação para divulgar o conteúdo da forma mais ampla possível.</w:t>
      </w:r>
    </w:p>
    <w:p w14:paraId="548FE390" w14:textId="77777777" w:rsidR="005F634D" w:rsidRPr="005F634D" w:rsidRDefault="005F634D" w:rsidP="005F634D">
      <w:p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5F634D">
        <w:rPr>
          <w:rFonts w:ascii="Times New Roman" w:hAnsi="Times New Roman" w:cs="Times New Roman"/>
        </w:rPr>
        <w:t>As ações de pesquisa e elaboração das análises, ao longo do projeto, consistem em:</w:t>
      </w:r>
    </w:p>
    <w:p w14:paraId="2F19DF89" w14:textId="3950E4B7" w:rsidR="005F634D" w:rsidRPr="008D7140" w:rsidRDefault="005F634D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Consulta, download e tabulação dos bancos de dados públicos disponíveis em plataformas de transparência e dados abertos;</w:t>
      </w:r>
    </w:p>
    <w:p w14:paraId="0EA1448B" w14:textId="464380FD" w:rsidR="005F634D" w:rsidRPr="008D7140" w:rsidRDefault="005F634D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Solicitação, download e tabulação dos bancos de dados públicos que precisam ser requisitados via Lei de Acesso à Informação;</w:t>
      </w:r>
    </w:p>
    <w:p w14:paraId="5BCF3DB2" w14:textId="07426075" w:rsidR="005F634D" w:rsidRPr="008D7140" w:rsidRDefault="005F634D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Sistematização das bases de dados e organização das variáveis em softwares e linguagem adequados (excel, SQl, Python);</w:t>
      </w:r>
    </w:p>
    <w:p w14:paraId="3998C435" w14:textId="7EF6277E" w:rsidR="002858DE" w:rsidRDefault="005F634D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Formulação de indicadores de acordo com as análises pretendidas;</w:t>
      </w:r>
    </w:p>
    <w:p w14:paraId="57B92045" w14:textId="77777777" w:rsidR="008D7140" w:rsidRPr="008D7140" w:rsidRDefault="008D7140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Georreferenciamento e cruzamento dos dados, em programa específico (arqgis, google earth, qgis), para subsidiar leituras territoriais;</w:t>
      </w:r>
    </w:p>
    <w:p w14:paraId="7417CC68" w14:textId="7F3483B4" w:rsidR="008D7140" w:rsidRPr="008D7140" w:rsidRDefault="008D7140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Compartilhamento de metodologias, indicadores e resultados para aprimorar as leituras já realizadas e aquelas em andamento</w:t>
      </w:r>
    </w:p>
    <w:p w14:paraId="4455F6DF" w14:textId="4923ADE1" w:rsidR="008D7140" w:rsidRPr="008D7140" w:rsidRDefault="008D7140" w:rsidP="008D7140">
      <w:pPr>
        <w:pStyle w:val="PargrafodaLista"/>
        <w:numPr>
          <w:ilvl w:val="0"/>
          <w:numId w:val="7"/>
        </w:numPr>
        <w:tabs>
          <w:tab w:val="left" w:pos="5112"/>
        </w:tabs>
        <w:jc w:val="both"/>
        <w:rPr>
          <w:rFonts w:ascii="Times New Roman" w:hAnsi="Times New Roman" w:cs="Times New Roman"/>
        </w:rPr>
      </w:pPr>
      <w:r w:rsidRPr="008D7140">
        <w:rPr>
          <w:rFonts w:ascii="Times New Roman" w:hAnsi="Times New Roman" w:cs="Times New Roman"/>
        </w:rPr>
        <w:t>Elaboração e revisão das análises territoriais para reflexão conjunta com a rede de parceiros a ser formada</w:t>
      </w:r>
    </w:p>
    <w:p w14:paraId="5F57E7A6" w14:textId="77777777" w:rsidR="005F634D" w:rsidRPr="0093183E" w:rsidRDefault="005F634D" w:rsidP="005F634D">
      <w:pPr>
        <w:tabs>
          <w:tab w:val="left" w:pos="5112"/>
        </w:tabs>
        <w:rPr>
          <w:rFonts w:ascii="Times New Roman" w:hAnsi="Times New Roman" w:cs="Times New Roman"/>
        </w:rPr>
      </w:pPr>
    </w:p>
    <w:p w14:paraId="77DDC2AA" w14:textId="32540C01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lastRenderedPageBreak/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14:paraId="7987C483" w14:textId="1E1A19F2" w:rsidR="00C947F9" w:rsidRDefault="008C7427" w:rsidP="008C7427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A entidade informa, em seu relatório de atividades, que 1ª prestação de contas parcial compreende </w:t>
      </w:r>
      <w:r w:rsidR="000B7ED8" w:rsidRPr="000B7ED8">
        <w:rPr>
          <w:rFonts w:ascii="Times New Roman" w:hAnsi="Times New Roman" w:cs="Times New Roman"/>
          <w:bCs/>
        </w:rPr>
        <w:t>o período entre o dia 22 de dezembro de 2021 (data de depósito da primeira parcela e início formal do Termo de Fomento) e 22 de março do ano de 2022</w:t>
      </w:r>
      <w:r>
        <w:rPr>
          <w:rFonts w:ascii="Times New Roman" w:hAnsi="Times New Roman" w:cs="Times New Roman"/>
          <w:bCs/>
        </w:rPr>
        <w:t xml:space="preserve"> e que os trabalhos desenvolvidos nesse ínterim dizem respeito ao cumprimento parcial da Ação 1 e ao cumprimento total da Ação 2.</w:t>
      </w:r>
    </w:p>
    <w:p w14:paraId="7A745260" w14:textId="051F3D53" w:rsidR="004C1F77" w:rsidRDefault="008C7427" w:rsidP="008C7427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C1F77" w:rsidRPr="004C1F77">
        <w:rPr>
          <w:rFonts w:ascii="Times New Roman" w:hAnsi="Times New Roman" w:cs="Times New Roman"/>
          <w:bCs/>
        </w:rPr>
        <w:t>A Ação 1 “Avanço da pesquisa sobre Covid-19 no Município de São Paulo</w:t>
      </w:r>
      <w:r w:rsidR="006A20B8">
        <w:rPr>
          <w:rFonts w:ascii="Times New Roman" w:hAnsi="Times New Roman" w:cs="Times New Roman"/>
          <w:bCs/>
        </w:rPr>
        <w:t>”</w:t>
      </w:r>
      <w:r w:rsidR="004C1F77" w:rsidRPr="004C1F77">
        <w:rPr>
          <w:rFonts w:ascii="Times New Roman" w:hAnsi="Times New Roman" w:cs="Times New Roman"/>
          <w:bCs/>
        </w:rPr>
        <w:t xml:space="preserve"> </w:t>
      </w:r>
      <w:r w:rsidR="00BD28A2">
        <w:rPr>
          <w:rFonts w:ascii="Times New Roman" w:hAnsi="Times New Roman" w:cs="Times New Roman"/>
          <w:bCs/>
        </w:rPr>
        <w:t xml:space="preserve">foi parcialmente cumprida, haja vista que sua realização se estende até maio de 2022. Segundo consta </w:t>
      </w:r>
      <w:r w:rsidR="001A4101">
        <w:rPr>
          <w:rFonts w:ascii="Times New Roman" w:hAnsi="Times New Roman" w:cs="Times New Roman"/>
          <w:bCs/>
        </w:rPr>
        <w:t>no relatório com a descrição de atividades, o Instituto Pólis executou até o momento</w:t>
      </w:r>
      <w:r w:rsidR="004C1F77" w:rsidRPr="004C1F77">
        <w:rPr>
          <w:rFonts w:ascii="Times New Roman" w:hAnsi="Times New Roman" w:cs="Times New Roman"/>
          <w:bCs/>
        </w:rPr>
        <w:t xml:space="preserve">: </w:t>
      </w:r>
    </w:p>
    <w:p w14:paraId="4783F0E8" w14:textId="600C7B91" w:rsidR="004C1F77" w:rsidRPr="004C1F77" w:rsidRDefault="004C1F77" w:rsidP="004C1F77">
      <w:pPr>
        <w:pStyle w:val="PargrafodaLista"/>
        <w:numPr>
          <w:ilvl w:val="0"/>
          <w:numId w:val="8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4C1F77">
        <w:rPr>
          <w:rFonts w:ascii="Times New Roman" w:hAnsi="Times New Roman" w:cs="Times New Roman"/>
          <w:bCs/>
        </w:rPr>
        <w:t xml:space="preserve">Leitura e atualização dos dados de Covid-19, a partir da resposta do pedido de Lei de Acesso à Informação feito à Secretaria Municipal de Saúde, da Prefeitura Municipal de São Paulo. </w:t>
      </w:r>
    </w:p>
    <w:p w14:paraId="4B83B885" w14:textId="7F16ED9B" w:rsidR="000B7ED8" w:rsidRDefault="004C1F77" w:rsidP="004C1F77">
      <w:pPr>
        <w:pStyle w:val="PargrafodaLista"/>
        <w:numPr>
          <w:ilvl w:val="0"/>
          <w:numId w:val="8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4C1F77">
        <w:rPr>
          <w:rFonts w:ascii="Times New Roman" w:hAnsi="Times New Roman" w:cs="Times New Roman"/>
          <w:bCs/>
        </w:rPr>
        <w:t>Elaboração de apresentação interna para discussão entre os pesquisadores do Grupo de Trabalho “Covid, raça e território”, ação que antecede a elaboração de um estudo.</w:t>
      </w:r>
    </w:p>
    <w:p w14:paraId="113418BD" w14:textId="7CECE9F1" w:rsidR="004C1F77" w:rsidRDefault="00DE7279" w:rsidP="00AB33B4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C1F77" w:rsidRPr="004C1F77">
        <w:rPr>
          <w:rFonts w:ascii="Times New Roman" w:hAnsi="Times New Roman" w:cs="Times New Roman"/>
          <w:bCs/>
        </w:rPr>
        <w:t xml:space="preserve">A Ação 2 “Mapeamento de grupos de pesquisa sobre Covid-19 e território” foi totalmente cumprida, tendo em vista que o prazo de execução previsto era de janeiro de 2022 a março de 2022. As atividades executadas foram: </w:t>
      </w:r>
    </w:p>
    <w:p w14:paraId="28A5CB24" w14:textId="057EA94B" w:rsidR="004C1F77" w:rsidRPr="00AB33B4" w:rsidRDefault="004C1F77" w:rsidP="00AB33B4">
      <w:pPr>
        <w:pStyle w:val="PargrafodaLista"/>
        <w:numPr>
          <w:ilvl w:val="0"/>
          <w:numId w:val="9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AB33B4">
        <w:rPr>
          <w:rFonts w:ascii="Times New Roman" w:hAnsi="Times New Roman" w:cs="Times New Roman"/>
          <w:bCs/>
        </w:rPr>
        <w:t>Pesquisa de trabalhos já realizados (ou em andamento), que tenham análises territoriais da pandemia, por pesquisadores das 5 regiões do país.</w:t>
      </w:r>
    </w:p>
    <w:p w14:paraId="673157F8" w14:textId="229C64F3" w:rsidR="004C1F77" w:rsidRPr="00AB33B4" w:rsidRDefault="004C1F77" w:rsidP="00AB33B4">
      <w:pPr>
        <w:pStyle w:val="PargrafodaLista"/>
        <w:numPr>
          <w:ilvl w:val="0"/>
          <w:numId w:val="9"/>
        </w:num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  <w:r w:rsidRPr="00AB33B4">
        <w:rPr>
          <w:rFonts w:ascii="Times New Roman" w:hAnsi="Times New Roman" w:cs="Times New Roman"/>
          <w:bCs/>
        </w:rPr>
        <w:t xml:space="preserve">Planilha  controle  dos  grupos,  pesquisadores,  observatórios  levantados  para identificar:  nome  do  grupo,  observatório  ou  estudo;  Unidade  Federativa  de análise;  região  do  país  do  território  analisado;  data  de  realização  do  estudo; indicadores  utilizados  na  análise;  descrição  do  tipo  de  indicador  utilizado especificamente  para  análises  territoriais;  quais  as  principais  discussões colocadas pelo estudo; nome dos pesquisadores; contato dos pesquisadores e link para artigo, site, estudo levantado. </w:t>
      </w:r>
    </w:p>
    <w:p w14:paraId="6FD7A09B" w14:textId="794A9A76" w:rsidR="00495363" w:rsidRDefault="009374CE" w:rsidP="009374CE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Para comprovar a execução das ações</w:t>
      </w:r>
      <w:r w:rsidR="00495363">
        <w:rPr>
          <w:rFonts w:ascii="Times New Roman" w:hAnsi="Times New Roman" w:cs="Times New Roman"/>
          <w:bCs/>
        </w:rPr>
        <w:t xml:space="preserve"> supramencionadas</w:t>
      </w:r>
      <w:r>
        <w:rPr>
          <w:rFonts w:ascii="Times New Roman" w:hAnsi="Times New Roman" w:cs="Times New Roman"/>
          <w:bCs/>
        </w:rPr>
        <w:t xml:space="preserve">, </w:t>
      </w:r>
      <w:r w:rsidR="00FA1C89">
        <w:rPr>
          <w:rFonts w:ascii="Times New Roman" w:hAnsi="Times New Roman" w:cs="Times New Roman"/>
          <w:bCs/>
        </w:rPr>
        <w:t>além dos r</w:t>
      </w:r>
      <w:r w:rsidR="00FA1C89" w:rsidRPr="009374CE">
        <w:rPr>
          <w:rFonts w:ascii="Times New Roman" w:hAnsi="Times New Roman" w:cs="Times New Roman"/>
          <w:bCs/>
        </w:rPr>
        <w:t>elatório</w:t>
      </w:r>
      <w:r w:rsidR="00FA1C89">
        <w:rPr>
          <w:rFonts w:ascii="Times New Roman" w:hAnsi="Times New Roman" w:cs="Times New Roman"/>
          <w:bCs/>
        </w:rPr>
        <w:t>s</w:t>
      </w:r>
      <w:r w:rsidR="00FA1C89" w:rsidRPr="009374CE">
        <w:rPr>
          <w:rFonts w:ascii="Times New Roman" w:hAnsi="Times New Roman" w:cs="Times New Roman"/>
          <w:bCs/>
        </w:rPr>
        <w:t xml:space="preserve"> com descrição de atividades contendo os textos dos estudos atualizados e os textos (não finais) dos novos estudos</w:t>
      </w:r>
      <w:r w:rsidR="00FA1C8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 entidade apresentou evidências como</w:t>
      </w:r>
      <w:r w:rsidR="00EA6A48">
        <w:rPr>
          <w:rFonts w:ascii="Times New Roman" w:hAnsi="Times New Roman" w:cs="Times New Roman"/>
          <w:bCs/>
        </w:rPr>
        <w:t xml:space="preserve">: 1) </w:t>
      </w:r>
      <w:r w:rsidR="00495363">
        <w:rPr>
          <w:rFonts w:ascii="Times New Roman" w:hAnsi="Times New Roman" w:cs="Times New Roman"/>
          <w:bCs/>
        </w:rPr>
        <w:t>registro de solicitação de informações no Sistema Eletrônico de Informação ao Cidadão – e-SIC</w:t>
      </w:r>
      <w:r>
        <w:rPr>
          <w:rFonts w:ascii="Times New Roman" w:hAnsi="Times New Roman" w:cs="Times New Roman"/>
          <w:bCs/>
        </w:rPr>
        <w:t xml:space="preserve"> </w:t>
      </w:r>
      <w:r w:rsidR="00495363">
        <w:rPr>
          <w:rFonts w:ascii="Times New Roman" w:hAnsi="Times New Roman" w:cs="Times New Roman"/>
          <w:bCs/>
        </w:rPr>
        <w:t xml:space="preserve">sobre dados de mortalidade da COVID-19 no município de São Paulo; 2) Arquivo em PDF da </w:t>
      </w:r>
      <w:r w:rsidR="00495363" w:rsidRPr="004C1F77">
        <w:rPr>
          <w:rFonts w:ascii="Times New Roman" w:hAnsi="Times New Roman" w:cs="Times New Roman"/>
          <w:bCs/>
        </w:rPr>
        <w:t>apresentação interna para discussão entre os pesquisadores do Grupo de Trabalho “Covid, raça e território”</w:t>
      </w:r>
      <w:r w:rsidR="00495363">
        <w:rPr>
          <w:rFonts w:ascii="Times New Roman" w:hAnsi="Times New Roman" w:cs="Times New Roman"/>
          <w:bCs/>
        </w:rPr>
        <w:t>; e 3) Planilha em Excel</w:t>
      </w:r>
      <w:r w:rsidR="00FA1C89">
        <w:rPr>
          <w:rFonts w:ascii="Times New Roman" w:hAnsi="Times New Roman" w:cs="Times New Roman"/>
          <w:bCs/>
        </w:rPr>
        <w:t xml:space="preserve"> contendo dados </w:t>
      </w:r>
      <w:r w:rsidR="00FA1C89" w:rsidRPr="00AB33B4">
        <w:rPr>
          <w:rFonts w:ascii="Times New Roman" w:hAnsi="Times New Roman" w:cs="Times New Roman"/>
          <w:bCs/>
        </w:rPr>
        <w:t>dos  grupos,  pesquisadores,  observatórios  levantados</w:t>
      </w:r>
      <w:r w:rsidR="00FA1C89">
        <w:rPr>
          <w:rFonts w:ascii="Times New Roman" w:hAnsi="Times New Roman" w:cs="Times New Roman"/>
          <w:bCs/>
        </w:rPr>
        <w:t xml:space="preserve"> para mapeamento de grupos de pesquisa sobre Covid-19 e território.</w:t>
      </w:r>
    </w:p>
    <w:p w14:paraId="520F25B8" w14:textId="77777777" w:rsidR="005A5A12" w:rsidRPr="005A5A12" w:rsidRDefault="005A5A12" w:rsidP="005A5A12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5A5A12">
        <w:rPr>
          <w:rFonts w:ascii="Times New Roman" w:hAnsi="Times New Roman" w:cs="Times New Roman"/>
          <w:bCs/>
        </w:rPr>
        <w:t xml:space="preserve">Com base em todas as análises elaboradas a partir da documentação comprobatória encaminha pelo Instituto Pólis, verificou-se que as ações foram cumpridas até o presente momento. </w:t>
      </w:r>
    </w:p>
    <w:p w14:paraId="2A26D9CA" w14:textId="77777777" w:rsidR="005A5A12" w:rsidRPr="005A5A12" w:rsidRDefault="005A5A12" w:rsidP="005A5A12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5A5A12">
        <w:rPr>
          <w:rFonts w:ascii="Times New Roman" w:hAnsi="Times New Roman" w:cs="Times New Roman"/>
          <w:bCs/>
        </w:rPr>
        <w:t xml:space="preserve">Está verificada a produção de publicação dos estudos realizados na ação 1 e das articulações com os grupos de pesquisa com a realização de oficinas na ação 3. As ações 4 e 5, que se referem respectivamente a coordenação geral da pesquisa e coordenação financeira estão sendo cumpridas de forma transversal ao longo de todo o processo de elaboração das demais ações. </w:t>
      </w:r>
    </w:p>
    <w:p w14:paraId="6FDD9623" w14:textId="77777777" w:rsidR="005A5A12" w:rsidRPr="005A5A12" w:rsidRDefault="005A5A12" w:rsidP="005A5A12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5A5A12">
        <w:rPr>
          <w:rFonts w:ascii="Times New Roman" w:hAnsi="Times New Roman" w:cs="Times New Roman"/>
          <w:bCs/>
        </w:rPr>
        <w:t xml:space="preserve">Destaca-se que as comprovações da pesquisa e elaboração dos trabalhos estão comprovadas nos anexos da documentação apresentada. </w:t>
      </w:r>
    </w:p>
    <w:p w14:paraId="2CD8BFC0" w14:textId="62EB16FB" w:rsidR="00976EC9" w:rsidRPr="0093183E" w:rsidRDefault="00976EC9" w:rsidP="005A5A12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III -Valores efetivamente transferidos pela administração pública:</w:t>
      </w:r>
    </w:p>
    <w:p w14:paraId="0B526EF3" w14:textId="77777777" w:rsid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aos valores efetivamente transferidos para a Entidade Proponente cabe destacar que o Termo de Fomento estabelece a previsão dos seguintes recursos:</w:t>
      </w:r>
    </w:p>
    <w:p w14:paraId="747707FD" w14:textId="475C90F8" w:rsid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Recursos de outras parcerias firmadas pelo PATROCINADO: R$ 39.023,50; </w:t>
      </w:r>
    </w:p>
    <w:p w14:paraId="157A5918" w14:textId="228DC3C9" w:rsid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 a ser aplicado pelo CAU/BR: R$ 30.000,00;</w:t>
      </w:r>
    </w:p>
    <w:p w14:paraId="11B89BA7" w14:textId="1B83AFAD" w:rsid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 Total: R$ 69.023,50.</w:t>
      </w:r>
    </w:p>
    <w:p w14:paraId="72381667" w14:textId="77777777" w:rsid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cronograma de desembolso dos recursos alocados pelo CAU/BR ocorrerá em 3 (três) parcelas, sendo a primeira equivalente a 50% (cinquenta por cento) e as demais equivalentes a 25% (vinte e cinco por cento) do valor total.</w:t>
      </w:r>
    </w:p>
    <w:p w14:paraId="3EBB69B6" w14:textId="2D763BBE" w:rsidR="003A4311" w:rsidRDefault="00255AD5" w:rsidP="00255A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 forma, o CAU/BR realizou o repasse relativo a primeira parcela no valor de R$ 15.000,00 (quinze mil reais) no dia 30/12/2021.</w:t>
      </w:r>
    </w:p>
    <w:p w14:paraId="2BDEC04A" w14:textId="77777777" w:rsidR="00255AD5" w:rsidRPr="00255AD5" w:rsidRDefault="00255AD5" w:rsidP="00255AD5">
      <w:pPr>
        <w:ind w:firstLine="708"/>
        <w:jc w:val="both"/>
        <w:rPr>
          <w:rFonts w:ascii="Times New Roman" w:hAnsi="Times New Roman" w:cs="Times New Roman"/>
        </w:rPr>
      </w:pPr>
    </w:p>
    <w:p w14:paraId="4538B4BA" w14:textId="7ED9790B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IV - Análise dos documentos comprobatórios das despesas apresentados pela organização da sociedade civil na prestação de contas, quando não for comprovado o alcance das metas e resultados estabelecidos no respectivo termo de colaboração ou de fomento;</w:t>
      </w:r>
    </w:p>
    <w:p w14:paraId="6A2A296B" w14:textId="77777777" w:rsidR="003A4311" w:rsidRDefault="003A4311" w:rsidP="003A4311">
      <w:pPr>
        <w:rPr>
          <w:b/>
          <w:bCs/>
        </w:rPr>
      </w:pPr>
    </w:p>
    <w:p w14:paraId="6F29004F" w14:textId="0C210785" w:rsidR="003A4311" w:rsidRPr="003A4311" w:rsidRDefault="003A4311" w:rsidP="003A4311">
      <w:pPr>
        <w:rPr>
          <w:rFonts w:ascii="Times New Roman" w:hAnsi="Times New Roman" w:cs="Times New Roman"/>
          <w:b/>
          <w:bCs/>
        </w:rPr>
      </w:pPr>
      <w:r w:rsidRPr="003A4311">
        <w:rPr>
          <w:rFonts w:ascii="Times New Roman" w:hAnsi="Times New Roman" w:cs="Times New Roman"/>
          <w:b/>
          <w:bCs/>
        </w:rPr>
        <w:t>PLANO DE TRABALHO</w:t>
      </w:r>
    </w:p>
    <w:p w14:paraId="12FDD1CF" w14:textId="77777777" w:rsidR="003A4311" w:rsidRPr="003A4311" w:rsidRDefault="003A4311" w:rsidP="003A4311">
      <w:pPr>
        <w:ind w:firstLine="708"/>
        <w:rPr>
          <w:rFonts w:ascii="Times New Roman" w:hAnsi="Times New Roman" w:cs="Times New Roman"/>
        </w:rPr>
      </w:pPr>
      <w:r w:rsidRPr="003A4311">
        <w:rPr>
          <w:rFonts w:ascii="Times New Roman" w:hAnsi="Times New Roman" w:cs="Times New Roman"/>
        </w:rPr>
        <w:t>A somatória dos valores apresentados no cronograma de execução de ações diverge dos valores aprovados no Termo de Fomento nº 005/2021, conforme se demonstra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1"/>
        <w:gridCol w:w="2617"/>
        <w:gridCol w:w="2936"/>
      </w:tblGrid>
      <w:tr w:rsidR="003A4311" w:rsidRPr="003A4311" w14:paraId="7BFACD65" w14:textId="77777777" w:rsidTr="0097371F">
        <w:tc>
          <w:tcPr>
            <w:tcW w:w="2941" w:type="dxa"/>
          </w:tcPr>
          <w:p w14:paraId="2E66B676" w14:textId="77777777" w:rsidR="003A4311" w:rsidRPr="003A4311" w:rsidRDefault="003A4311" w:rsidP="009737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311">
              <w:rPr>
                <w:rFonts w:ascii="Times New Roman" w:hAnsi="Times New Roman" w:cs="Times New Roman"/>
                <w:b/>
                <w:bCs/>
              </w:rPr>
              <w:t>Valores do Projeto</w:t>
            </w:r>
          </w:p>
        </w:tc>
        <w:tc>
          <w:tcPr>
            <w:tcW w:w="2617" w:type="dxa"/>
          </w:tcPr>
          <w:p w14:paraId="3572928D" w14:textId="77777777" w:rsidR="003A4311" w:rsidRPr="003A4311" w:rsidRDefault="003A4311" w:rsidP="009737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311">
              <w:rPr>
                <w:rFonts w:ascii="Times New Roman" w:hAnsi="Times New Roman" w:cs="Times New Roman"/>
                <w:b/>
                <w:bCs/>
              </w:rPr>
              <w:t>Termo de Fomento</w:t>
            </w:r>
          </w:p>
        </w:tc>
        <w:tc>
          <w:tcPr>
            <w:tcW w:w="2936" w:type="dxa"/>
          </w:tcPr>
          <w:p w14:paraId="076D0238" w14:textId="77777777" w:rsidR="003A4311" w:rsidRPr="003A4311" w:rsidRDefault="003A4311" w:rsidP="009737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4311">
              <w:rPr>
                <w:rFonts w:ascii="Times New Roman" w:hAnsi="Times New Roman" w:cs="Times New Roman"/>
                <w:b/>
                <w:bCs/>
              </w:rPr>
              <w:t>Plano de Trabalho</w:t>
            </w:r>
          </w:p>
        </w:tc>
      </w:tr>
      <w:tr w:rsidR="003A4311" w:rsidRPr="003A4311" w14:paraId="7CF9E042" w14:textId="77777777" w:rsidTr="0097371F">
        <w:tc>
          <w:tcPr>
            <w:tcW w:w="2941" w:type="dxa"/>
          </w:tcPr>
          <w:p w14:paraId="5FA69E97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 xml:space="preserve">CAU/BR </w:t>
            </w:r>
          </w:p>
        </w:tc>
        <w:tc>
          <w:tcPr>
            <w:tcW w:w="2617" w:type="dxa"/>
          </w:tcPr>
          <w:p w14:paraId="161EED49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R$ 30.000,00</w:t>
            </w:r>
          </w:p>
        </w:tc>
        <w:tc>
          <w:tcPr>
            <w:tcW w:w="2936" w:type="dxa"/>
          </w:tcPr>
          <w:p w14:paraId="3B81C89C" w14:textId="77777777" w:rsidR="003A4311" w:rsidRPr="003A4311" w:rsidRDefault="003A4311" w:rsidP="0097371F">
            <w:pPr>
              <w:rPr>
                <w:rFonts w:ascii="Times New Roman" w:hAnsi="Times New Roman" w:cs="Times New Roman"/>
                <w:color w:val="FF0000"/>
              </w:rPr>
            </w:pPr>
            <w:r w:rsidRPr="003A4311">
              <w:rPr>
                <w:rFonts w:ascii="Times New Roman" w:hAnsi="Times New Roman" w:cs="Times New Roman"/>
                <w:color w:val="FF0000"/>
              </w:rPr>
              <w:t>R$ 35.110,00</w:t>
            </w:r>
          </w:p>
        </w:tc>
      </w:tr>
      <w:tr w:rsidR="003A4311" w:rsidRPr="003A4311" w14:paraId="457FB394" w14:textId="77777777" w:rsidTr="0097371F">
        <w:tc>
          <w:tcPr>
            <w:tcW w:w="2941" w:type="dxa"/>
          </w:tcPr>
          <w:p w14:paraId="191D5125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Outras parcerias firmadas</w:t>
            </w:r>
          </w:p>
        </w:tc>
        <w:tc>
          <w:tcPr>
            <w:tcW w:w="2617" w:type="dxa"/>
          </w:tcPr>
          <w:p w14:paraId="14BEB403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R$ 39.023,50</w:t>
            </w:r>
          </w:p>
        </w:tc>
        <w:tc>
          <w:tcPr>
            <w:tcW w:w="2936" w:type="dxa"/>
          </w:tcPr>
          <w:p w14:paraId="730C9A13" w14:textId="77777777" w:rsidR="003A4311" w:rsidRPr="003A4311" w:rsidRDefault="003A4311" w:rsidP="0097371F">
            <w:pPr>
              <w:rPr>
                <w:rFonts w:ascii="Times New Roman" w:hAnsi="Times New Roman" w:cs="Times New Roman"/>
                <w:color w:val="FF0000"/>
              </w:rPr>
            </w:pPr>
            <w:r w:rsidRPr="003A4311">
              <w:rPr>
                <w:rFonts w:ascii="Times New Roman" w:hAnsi="Times New Roman" w:cs="Times New Roman"/>
                <w:color w:val="FF0000"/>
              </w:rPr>
              <w:t>R$ 33.913,50</w:t>
            </w:r>
          </w:p>
        </w:tc>
      </w:tr>
      <w:tr w:rsidR="003A4311" w:rsidRPr="003A4311" w14:paraId="23452315" w14:textId="77777777" w:rsidTr="0097371F">
        <w:tc>
          <w:tcPr>
            <w:tcW w:w="2941" w:type="dxa"/>
          </w:tcPr>
          <w:p w14:paraId="4F19052A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17" w:type="dxa"/>
          </w:tcPr>
          <w:p w14:paraId="0DE7F247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R$ 69.023,50</w:t>
            </w:r>
          </w:p>
        </w:tc>
        <w:tc>
          <w:tcPr>
            <w:tcW w:w="2936" w:type="dxa"/>
          </w:tcPr>
          <w:p w14:paraId="1646555A" w14:textId="77777777" w:rsidR="003A4311" w:rsidRPr="003A4311" w:rsidRDefault="003A4311" w:rsidP="0097371F">
            <w:pPr>
              <w:rPr>
                <w:rFonts w:ascii="Times New Roman" w:hAnsi="Times New Roman" w:cs="Times New Roman"/>
              </w:rPr>
            </w:pPr>
            <w:r w:rsidRPr="003A4311">
              <w:rPr>
                <w:rFonts w:ascii="Times New Roman" w:hAnsi="Times New Roman" w:cs="Times New Roman"/>
              </w:rPr>
              <w:t>R$ 69.023,50</w:t>
            </w:r>
          </w:p>
        </w:tc>
      </w:tr>
    </w:tbl>
    <w:p w14:paraId="2E5F97C0" w14:textId="77777777" w:rsidR="003A4311" w:rsidRPr="003A4311" w:rsidRDefault="003A4311" w:rsidP="003A4311">
      <w:pPr>
        <w:rPr>
          <w:rFonts w:ascii="Times New Roman" w:hAnsi="Times New Roman" w:cs="Times New Roman"/>
        </w:rPr>
      </w:pPr>
    </w:p>
    <w:p w14:paraId="244D604B" w14:textId="77777777" w:rsidR="003A4311" w:rsidRPr="003A4311" w:rsidRDefault="003A4311" w:rsidP="003A4311">
      <w:pPr>
        <w:rPr>
          <w:rFonts w:ascii="Times New Roman" w:hAnsi="Times New Roman" w:cs="Times New Roman"/>
          <w:b/>
          <w:bCs/>
        </w:rPr>
      </w:pPr>
      <w:r w:rsidRPr="003A4311">
        <w:rPr>
          <w:rFonts w:ascii="Times New Roman" w:hAnsi="Times New Roman" w:cs="Times New Roman"/>
          <w:b/>
          <w:bCs/>
        </w:rPr>
        <w:t>RENDIMENTOS DE APLICAÇÃO FINANCEIRA</w:t>
      </w:r>
    </w:p>
    <w:p w14:paraId="4773D1EC" w14:textId="77777777" w:rsidR="003A4311" w:rsidRPr="003A4311" w:rsidRDefault="003A4311" w:rsidP="003A4311">
      <w:pPr>
        <w:ind w:firstLine="708"/>
        <w:rPr>
          <w:rFonts w:ascii="Times New Roman" w:hAnsi="Times New Roman" w:cs="Times New Roman"/>
        </w:rPr>
      </w:pPr>
      <w:r w:rsidRPr="003A4311">
        <w:rPr>
          <w:rFonts w:ascii="Times New Roman" w:hAnsi="Times New Roman" w:cs="Times New Roman"/>
        </w:rPr>
        <w:t>Não foi enviado o extrato da conta aplicação referente aos meses de fevereiro e março/22.</w:t>
      </w:r>
    </w:p>
    <w:p w14:paraId="414918CF" w14:textId="77777777" w:rsidR="003A4311" w:rsidRPr="003A4311" w:rsidRDefault="003A4311" w:rsidP="003A4311">
      <w:pPr>
        <w:ind w:firstLine="708"/>
        <w:rPr>
          <w:rFonts w:ascii="Times New Roman" w:hAnsi="Times New Roman" w:cs="Times New Roman"/>
        </w:rPr>
      </w:pPr>
      <w:r w:rsidRPr="003A4311">
        <w:rPr>
          <w:rFonts w:ascii="Times New Roman" w:hAnsi="Times New Roman" w:cs="Times New Roman"/>
        </w:rPr>
        <w:t>O Relatório da execução das receitas e despesas demonstra que não houve rendimentos de aplicação financeira, porém os recursos foram aplicados. Recordo que todo rendimento de aplicação dos recursos do CAU/BR deve ser integralmente aplicado ao projeto, conforme estabelece o art. 51, parágrafo único, da Lei 13.019/14:</w:t>
      </w:r>
    </w:p>
    <w:p w14:paraId="2C49A161" w14:textId="77777777" w:rsidR="003A4311" w:rsidRPr="003A4311" w:rsidRDefault="003A4311" w:rsidP="003A4311">
      <w:pPr>
        <w:ind w:left="3969"/>
        <w:rPr>
          <w:rFonts w:ascii="Times New Roman" w:hAnsi="Times New Roman" w:cs="Times New Roman"/>
          <w:sz w:val="20"/>
          <w:szCs w:val="20"/>
        </w:rPr>
      </w:pPr>
      <w:r w:rsidRPr="003A4311">
        <w:rPr>
          <w:rFonts w:ascii="Times New Roman" w:hAnsi="Times New Roman" w:cs="Times New Roman"/>
          <w:sz w:val="20"/>
          <w:szCs w:val="20"/>
        </w:rPr>
        <w:t xml:space="preserve">Os rendimentos de ativos financeiros serão aplicados no objeto da parceria, estando sujeitos às mesmas condições de prestação de contas exigidas para os recursos transferidos. </w:t>
      </w:r>
    </w:p>
    <w:p w14:paraId="275F1C2F" w14:textId="77777777" w:rsidR="00AD23BD" w:rsidRDefault="00AD23BD" w:rsidP="009E3C9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A4D28FA" w14:textId="3AAD59E9" w:rsidR="009E3C94" w:rsidRPr="009E3C94" w:rsidRDefault="009E3C94" w:rsidP="009E3C9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DECLARAÇÃO DE </w:t>
      </w:r>
      <w:r w:rsidRPr="009E3C94">
        <w:rPr>
          <w:rFonts w:ascii="Times New Roman" w:hAnsi="Times New Roman" w:cs="Times New Roman"/>
          <w:b/>
        </w:rPr>
        <w:t>CONTRAPARTIDA</w:t>
      </w:r>
    </w:p>
    <w:p w14:paraId="6EF9DBD6" w14:textId="54F638A7" w:rsidR="00C947F9" w:rsidRDefault="009E3C94" w:rsidP="009E3C94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9E3C94">
        <w:rPr>
          <w:rFonts w:ascii="Times New Roman" w:hAnsi="Times New Roman" w:cs="Times New Roman"/>
          <w:bCs/>
        </w:rPr>
        <w:t>A Declaração de Contrapartida do Instituto Pólis expressa que “utilizou os recursos provenientes de sua Contrapartida no valor de R$ 9.187,75”. No entanto, se os valores discriminados na tabela forem somados, é atingido o montante de R$ 9.212,75, evidenciando uma diferença de R$ 25,00 no total da contrapartida.</w:t>
      </w:r>
    </w:p>
    <w:p w14:paraId="04E842DA" w14:textId="77777777" w:rsidR="009E3C94" w:rsidRDefault="009E3C94" w:rsidP="009E3C94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14:paraId="61D1DAB1" w14:textId="77777777" w:rsidR="009E3C94" w:rsidRPr="009E3C94" w:rsidRDefault="009E3C94" w:rsidP="009E3C94">
      <w:pPr>
        <w:rPr>
          <w:rFonts w:ascii="Times New Roman" w:hAnsi="Times New Roman" w:cs="Times New Roman"/>
          <w:b/>
          <w:bCs/>
        </w:rPr>
      </w:pPr>
      <w:r w:rsidRPr="009E3C94">
        <w:rPr>
          <w:rFonts w:ascii="Times New Roman" w:hAnsi="Times New Roman" w:cs="Times New Roman"/>
          <w:b/>
          <w:bCs/>
        </w:rPr>
        <w:t>EMPRESA INAPTA</w:t>
      </w:r>
    </w:p>
    <w:p w14:paraId="4ABF9F7A" w14:textId="77777777" w:rsidR="009E3C94" w:rsidRPr="009E3C94" w:rsidRDefault="009E3C94" w:rsidP="009E3C94">
      <w:pPr>
        <w:ind w:firstLine="708"/>
        <w:jc w:val="both"/>
        <w:rPr>
          <w:rFonts w:ascii="Times New Roman" w:hAnsi="Times New Roman" w:cs="Times New Roman"/>
        </w:rPr>
      </w:pPr>
      <w:r w:rsidRPr="009E3C94">
        <w:rPr>
          <w:rFonts w:ascii="Times New Roman" w:hAnsi="Times New Roman" w:cs="Times New Roman"/>
        </w:rPr>
        <w:t xml:space="preserve">Em relação à NF 393, cabe ressaltar que a empresa KLINTOWITZ COMUNICACAO LTDA consta como INAPTA perante a receita federal desde 10/01/2022. Conforme IN RFB nº 1.863, de 2018, art. 46, inciso II, alínea b), “a pessoa jurídica cuja inscrição no CNPJ tenha sido </w:t>
      </w:r>
      <w:r w:rsidRPr="009E3C94">
        <w:rPr>
          <w:rFonts w:ascii="Times New Roman" w:hAnsi="Times New Roman" w:cs="Times New Roman"/>
          <w:u w:val="single"/>
        </w:rPr>
        <w:t>declarada inapta é impedida de celebrar</w:t>
      </w:r>
      <w:r w:rsidRPr="009E3C94">
        <w:rPr>
          <w:rFonts w:ascii="Times New Roman" w:hAnsi="Times New Roman" w:cs="Times New Roman"/>
        </w:rPr>
        <w:t xml:space="preserve"> convênios, acordos, ajustes ou </w:t>
      </w:r>
      <w:r w:rsidRPr="009E3C94">
        <w:rPr>
          <w:rFonts w:ascii="Times New Roman" w:hAnsi="Times New Roman" w:cs="Times New Roman"/>
          <w:u w:val="single"/>
        </w:rPr>
        <w:t>contratos que envolvam desembolso, a qualquer título, de recursos públicos</w:t>
      </w:r>
      <w:r w:rsidRPr="009E3C94">
        <w:rPr>
          <w:rFonts w:ascii="Times New Roman" w:hAnsi="Times New Roman" w:cs="Times New Roman"/>
        </w:rPr>
        <w:t>, e respectivos aditamentos”.</w:t>
      </w:r>
    </w:p>
    <w:p w14:paraId="42D5FCB9" w14:textId="77777777" w:rsidR="003A4311" w:rsidRPr="003A4311" w:rsidRDefault="003A4311" w:rsidP="00976EC9">
      <w:pPr>
        <w:tabs>
          <w:tab w:val="left" w:pos="5112"/>
        </w:tabs>
        <w:jc w:val="both"/>
        <w:rPr>
          <w:rFonts w:ascii="Times New Roman" w:hAnsi="Times New Roman" w:cs="Times New Roman"/>
          <w:bCs/>
        </w:rPr>
      </w:pPr>
    </w:p>
    <w:p w14:paraId="4B1B9C3A" w14:textId="665ECA4E" w:rsidR="00976EC9" w:rsidRPr="0093183E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V - Análise de eventuais auditorias realizadas pelos controles interno e externo, no âmbito da fiscalização preventiva, bem como de suas conclusões e das medidas que tomaram em decorrência dessas auditorias.</w:t>
      </w:r>
    </w:p>
    <w:p w14:paraId="1B06A75E" w14:textId="66BAFF4C" w:rsidR="003A4311" w:rsidRPr="00C947F9" w:rsidRDefault="009E3C94" w:rsidP="003A4311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A4311" w:rsidRPr="00C947F9">
        <w:rPr>
          <w:rFonts w:ascii="Times New Roman" w:hAnsi="Times New Roman" w:cs="Times New Roman"/>
          <w:bCs/>
        </w:rPr>
        <w:t>A Auditoria interna do CAU/BR também analisou a documentação da 1ª Prestação de Contas Parcial enviada pela Associação Futuro Melhor e emitiu a NOTA TÉCNICA Nº 00</w:t>
      </w:r>
      <w:r w:rsidR="00AD23BD">
        <w:rPr>
          <w:rFonts w:ascii="Times New Roman" w:hAnsi="Times New Roman" w:cs="Times New Roman"/>
          <w:bCs/>
        </w:rPr>
        <w:t>2</w:t>
      </w:r>
      <w:r w:rsidR="003A4311" w:rsidRPr="00C947F9">
        <w:rPr>
          <w:rFonts w:ascii="Times New Roman" w:hAnsi="Times New Roman" w:cs="Times New Roman"/>
          <w:bCs/>
        </w:rPr>
        <w:t>/2022, na qual fez os seguintes apontamentos:</w:t>
      </w:r>
    </w:p>
    <w:p w14:paraId="694F852E" w14:textId="77777777" w:rsidR="003A4311" w:rsidRPr="00C947F9" w:rsidRDefault="003A4311" w:rsidP="003A4311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iCs/>
        </w:rPr>
      </w:pPr>
      <w:r w:rsidRPr="00AD23BD">
        <w:rPr>
          <w:rFonts w:ascii="Times New Roman" w:hAnsi="Times New Roman" w:cs="Times New Roman"/>
          <w:bCs/>
          <w:i/>
          <w:iCs/>
        </w:rPr>
        <w:t xml:space="preserve">3.1 </w:t>
      </w:r>
      <w:r w:rsidRPr="00C947F9">
        <w:rPr>
          <w:rFonts w:ascii="Times New Roman" w:hAnsi="Times New Roman" w:cs="Times New Roman"/>
          <w:bCs/>
          <w:i/>
          <w:iCs/>
        </w:rPr>
        <w:t>Em relação à prestação de contas das contrapartidas financeiras pelo Patrocinado, os documentos comprobatórios de despesas apresentados encontram-se em desacordo com os relacionados na “Declaração de Contrapartida”, inclusive com indicação nas notas fiscais, de termo diverso ao firmado com o CAU/BR, a saber: 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30"/>
        <w:gridCol w:w="1090"/>
        <w:gridCol w:w="1253"/>
        <w:gridCol w:w="4406"/>
      </w:tblGrid>
      <w:tr w:rsidR="003A4311" w:rsidRPr="00C947F9" w14:paraId="5B614E01" w14:textId="77777777" w:rsidTr="0097371F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53338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t-BR"/>
              </w:rPr>
              <w:t>NF n°</w:t>
            </w: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AA857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t-BR"/>
              </w:rPr>
              <w:t>Emitente</w:t>
            </w: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8BF89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8D1DF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declarado</w:t>
            </w: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82F75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t-BR"/>
              </w:rPr>
              <w:t>Observação</w:t>
            </w: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A4311" w:rsidRPr="00C947F9" w14:paraId="0CB2F6CD" w14:textId="77777777" w:rsidTr="0097371F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A6689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13 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C7E5F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6C8CBDE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Lara Aguiar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D6D1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2.250,00 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B0198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4D8ECD2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2.925,00 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234DE" w14:textId="77777777" w:rsidR="003A4311" w:rsidRPr="00C947F9" w:rsidRDefault="003A4311" w:rsidP="00973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Na NF consta: “apoiado pelo Instituto Clima e Sociedade”. </w:t>
            </w:r>
          </w:p>
        </w:tc>
      </w:tr>
      <w:tr w:rsidR="003A4311" w:rsidRPr="00C947F9" w14:paraId="419FBE5C" w14:textId="77777777" w:rsidTr="0097371F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2DB42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14 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24314" w14:textId="77777777" w:rsidR="003A4311" w:rsidRPr="00C947F9" w:rsidRDefault="003A4311" w:rsidP="0097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41069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2.250,00 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66430" w14:textId="77777777" w:rsidR="003A4311" w:rsidRPr="00C947F9" w:rsidRDefault="003A4311" w:rsidP="0097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4952" w14:textId="77777777" w:rsidR="003A4311" w:rsidRPr="00C947F9" w:rsidRDefault="003A4311" w:rsidP="00973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Na NF consta: “consultoria realizada por este ao Instituto BEI”. </w:t>
            </w:r>
          </w:p>
        </w:tc>
      </w:tr>
      <w:tr w:rsidR="003A4311" w:rsidRPr="00C947F9" w14:paraId="7378B3A0" w14:textId="77777777" w:rsidTr="0097371F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694A8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1C91C494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189 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F298D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F59BA25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04718EC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VRAH Asses.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3FCC3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2549551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5.000,00 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0FB0D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34DBE529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4.062,50 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31BA6" w14:textId="77777777" w:rsidR="003A4311" w:rsidRPr="00C947F9" w:rsidRDefault="003A4311" w:rsidP="00973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Na NF consta: “apoiado por Pão para o Mundo – Convênio de Cooperação L-BRA-2020-0358”.  </w:t>
            </w:r>
          </w:p>
        </w:tc>
      </w:tr>
      <w:tr w:rsidR="003A4311" w:rsidRPr="00C947F9" w14:paraId="016E5DFA" w14:textId="77777777" w:rsidTr="0097371F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F8EF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464DD3BF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193 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12805" w14:textId="77777777" w:rsidR="003A4311" w:rsidRPr="00C947F9" w:rsidRDefault="003A4311" w:rsidP="0097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9154B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3E22B10B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1.000,00 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EC1D2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98E726E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650,00 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90F8" w14:textId="77777777" w:rsidR="003A4311" w:rsidRPr="00C947F9" w:rsidRDefault="003A4311" w:rsidP="00973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Na NF consta: “apoio de GAIA – Global Alliance for Incinerator Alternatives”. </w:t>
            </w:r>
          </w:p>
        </w:tc>
      </w:tr>
      <w:tr w:rsidR="003A4311" w:rsidRPr="00C947F9" w14:paraId="429409C3" w14:textId="77777777" w:rsidTr="0097371F"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7F82C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6C9853E0" w14:textId="77777777" w:rsidR="003A4311" w:rsidRPr="00C947F9" w:rsidRDefault="003A4311" w:rsidP="009737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386 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69DF1" w14:textId="77777777" w:rsidR="003A4311" w:rsidRPr="00C947F9" w:rsidRDefault="003A4311" w:rsidP="009737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Klintowitz Comunicação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DE87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2E68874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10.000,00 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8D0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677C1FA" w14:textId="77777777" w:rsidR="003A4311" w:rsidRPr="00C947F9" w:rsidRDefault="003A4311" w:rsidP="0097371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1.550,25 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9796C" w14:textId="77777777" w:rsidR="003A4311" w:rsidRPr="00C947F9" w:rsidRDefault="003A4311" w:rsidP="009737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47F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BR"/>
              </w:rPr>
              <w:t>Na NF consta: “apoiado por Pão para o Mundo convenio de cooperação (BRA-2020-0338)”. </w:t>
            </w:r>
          </w:p>
        </w:tc>
      </w:tr>
    </w:tbl>
    <w:p w14:paraId="44475C66" w14:textId="77777777" w:rsidR="003A4311" w:rsidRDefault="003A4311" w:rsidP="003A4311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</w:p>
    <w:p w14:paraId="00B097BD" w14:textId="77777777" w:rsidR="003A4311" w:rsidRDefault="003A4311" w:rsidP="003A4311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A4311">
        <w:rPr>
          <w:rFonts w:ascii="Times New Roman" w:hAnsi="Times New Roman" w:cs="Times New Roman"/>
          <w:bCs/>
        </w:rPr>
        <w:t xml:space="preserve">Em face dos apontamentos supramencionados, a Auditoria Interna concluiu que “a referida prestação de contas financeira </w:t>
      </w:r>
      <w:r w:rsidRPr="003A4311">
        <w:rPr>
          <w:rFonts w:ascii="Times New Roman" w:hAnsi="Times New Roman" w:cs="Times New Roman"/>
          <w:b/>
        </w:rPr>
        <w:t>não reúne condições de aprovação</w:t>
      </w:r>
      <w:r w:rsidRPr="003A4311">
        <w:rPr>
          <w:rFonts w:ascii="Times New Roman" w:hAnsi="Times New Roman" w:cs="Times New Roman"/>
          <w:bCs/>
        </w:rPr>
        <w:t>, enquanto não saneados os apontamentos”.</w:t>
      </w:r>
    </w:p>
    <w:p w14:paraId="395B6B44" w14:textId="098C894C" w:rsidR="00976EC9" w:rsidRDefault="00976EC9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</w:p>
    <w:p w14:paraId="7FEA7050" w14:textId="77777777" w:rsidR="00AE34F5" w:rsidRPr="0093183E" w:rsidRDefault="00AE34F5" w:rsidP="00AE34F5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– Manifestação final</w:t>
      </w:r>
    </w:p>
    <w:p w14:paraId="5FE3AADE" w14:textId="2965CE3F" w:rsidR="00AE34F5" w:rsidRDefault="00AE34F5" w:rsidP="00AE34F5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B8650E">
        <w:rPr>
          <w:rFonts w:ascii="Times New Roman" w:hAnsi="Times New Roman" w:cs="Times New Roman"/>
          <w:bCs/>
        </w:rPr>
        <w:t>Após análise do projeto, plano de trabalho, prestação de contas, diligências e, nos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termos avaliados e apresentados no presente parecer, esta Comissão manifesta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entendimento de que a presente parceria realizada através do Termo de Fomento</w:t>
      </w:r>
      <w:r>
        <w:rPr>
          <w:rFonts w:ascii="Times New Roman" w:hAnsi="Times New Roman" w:cs="Times New Roman"/>
          <w:bCs/>
        </w:rPr>
        <w:t xml:space="preserve"> </w:t>
      </w:r>
      <w:r w:rsidRPr="00B8650E">
        <w:rPr>
          <w:rFonts w:ascii="Times New Roman" w:hAnsi="Times New Roman" w:cs="Times New Roman"/>
          <w:bCs/>
        </w:rPr>
        <w:t>nº 0</w:t>
      </w:r>
      <w:r>
        <w:rPr>
          <w:rFonts w:ascii="Times New Roman" w:hAnsi="Times New Roman" w:cs="Times New Roman"/>
          <w:bCs/>
        </w:rPr>
        <w:t>5</w:t>
      </w:r>
      <w:r w:rsidRPr="00B8650E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21</w:t>
      </w:r>
      <w:r w:rsidRPr="00B8650E">
        <w:rPr>
          <w:rFonts w:ascii="Times New Roman" w:hAnsi="Times New Roman" w:cs="Times New Roman"/>
          <w:bCs/>
        </w:rPr>
        <w:t xml:space="preserve">, com </w:t>
      </w:r>
      <w:r>
        <w:rPr>
          <w:rFonts w:ascii="Times New Roman" w:hAnsi="Times New Roman" w:cs="Times New Roman"/>
          <w:bCs/>
        </w:rPr>
        <w:t>Instituto Pólis</w:t>
      </w:r>
      <w:r w:rsidRPr="00B8650E">
        <w:rPr>
          <w:rFonts w:ascii="Times New Roman" w:hAnsi="Times New Roman" w:cs="Times New Roman"/>
          <w:bCs/>
        </w:rPr>
        <w:t xml:space="preserve">, </w:t>
      </w:r>
      <w:r w:rsidRPr="00350FAA">
        <w:rPr>
          <w:rFonts w:ascii="Times New Roman" w:hAnsi="Times New Roman" w:cs="Times New Roman"/>
          <w:bCs/>
        </w:rPr>
        <w:t>cumpriu sua função e as obrigações previstas no instrumento foram executadas pela Proponente no período estabelecido.</w:t>
      </w:r>
    </w:p>
    <w:p w14:paraId="3C1EDF97" w14:textId="04574A38" w:rsidR="00AE34F5" w:rsidRDefault="00AE34F5" w:rsidP="00AE34F5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50FAA">
        <w:rPr>
          <w:rFonts w:ascii="Times New Roman" w:hAnsi="Times New Roman" w:cs="Times New Roman"/>
          <w:bCs/>
        </w:rPr>
        <w:t>Contudo, no intuito de aprimoramento dos procedimentos de seleção dos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projetos para fomento e facilitação do processo de monitoramento e avaliação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do cumprimento das metas, esta Comissão recomenda</w:t>
      </w:r>
      <w:r>
        <w:rPr>
          <w:rFonts w:ascii="Times New Roman" w:hAnsi="Times New Roman" w:cs="Times New Roman"/>
          <w:bCs/>
        </w:rPr>
        <w:t xml:space="preserve"> que a OSC</w:t>
      </w:r>
      <w:r w:rsidRPr="00350FAA">
        <w:rPr>
          <w:rFonts w:ascii="Times New Roman" w:hAnsi="Times New Roman" w:cs="Times New Roman"/>
          <w:bCs/>
        </w:rPr>
        <w:t>: a</w:t>
      </w:r>
      <w:r w:rsidRPr="00AE34F5">
        <w:rPr>
          <w:rFonts w:ascii="Times New Roman" w:hAnsi="Times New Roman" w:cs="Times New Roman"/>
          <w:bCs/>
        </w:rPr>
        <w:t xml:space="preserve">) reformule o Plano de Trabalho de maneira a compatibilizar os valores do projeto de acordo com o que foi pactuado no Termo de Fomento; b) apresente os extratos da conta </w:t>
      </w:r>
      <w:r w:rsidRPr="0090018C">
        <w:rPr>
          <w:rFonts w:ascii="Times New Roman" w:hAnsi="Times New Roman" w:cs="Times New Roman"/>
          <w:bCs/>
        </w:rPr>
        <w:t xml:space="preserve">aplicação referentes ao período desta 1ª prestação de contas parcial para apuração dos rendimentos; c) </w:t>
      </w:r>
      <w:r w:rsidR="0090018C" w:rsidRPr="0090018C">
        <w:rPr>
          <w:rFonts w:ascii="Times New Roman" w:hAnsi="Times New Roman" w:cs="Times New Roman"/>
          <w:bCs/>
        </w:rPr>
        <w:t xml:space="preserve">informe no </w:t>
      </w:r>
      <w:r w:rsidR="0090018C" w:rsidRPr="0090018C">
        <w:rPr>
          <w:rFonts w:ascii="Times New Roman" w:hAnsi="Times New Roman" w:cs="Times New Roman"/>
        </w:rPr>
        <w:t xml:space="preserve">Relatório da execução das receitas e despesas </w:t>
      </w:r>
      <w:r w:rsidR="00AD23BD">
        <w:rPr>
          <w:rFonts w:ascii="Times New Roman" w:hAnsi="Times New Roman" w:cs="Times New Roman"/>
        </w:rPr>
        <w:t>o</w:t>
      </w:r>
      <w:r w:rsidR="0090018C" w:rsidRPr="0090018C">
        <w:rPr>
          <w:rFonts w:ascii="Times New Roman" w:hAnsi="Times New Roman" w:cs="Times New Roman"/>
        </w:rPr>
        <w:t xml:space="preserve"> valor apurado </w:t>
      </w:r>
      <w:r w:rsidR="00AD23BD">
        <w:rPr>
          <w:rFonts w:ascii="Times New Roman" w:hAnsi="Times New Roman" w:cs="Times New Roman"/>
        </w:rPr>
        <w:t>c</w:t>
      </w:r>
      <w:r w:rsidR="0090018C" w:rsidRPr="0090018C">
        <w:rPr>
          <w:rFonts w:ascii="Times New Roman" w:hAnsi="Times New Roman" w:cs="Times New Roman"/>
        </w:rPr>
        <w:t>om rendimentos de aplicação</w:t>
      </w:r>
      <w:r w:rsidR="0090018C">
        <w:rPr>
          <w:rFonts w:ascii="Times New Roman" w:hAnsi="Times New Roman" w:cs="Times New Roman"/>
        </w:rPr>
        <w:t xml:space="preserve"> </w:t>
      </w:r>
      <w:r w:rsidR="0090018C" w:rsidRPr="0090018C">
        <w:rPr>
          <w:rFonts w:ascii="Times New Roman" w:hAnsi="Times New Roman" w:cs="Times New Roman"/>
        </w:rPr>
        <w:t>financeira</w:t>
      </w:r>
      <w:r w:rsidRPr="0090018C">
        <w:rPr>
          <w:rFonts w:ascii="Times New Roman" w:hAnsi="Times New Roman" w:cs="Times New Roman"/>
          <w:bCs/>
        </w:rPr>
        <w:t xml:space="preserve">; d) </w:t>
      </w:r>
      <w:r w:rsidR="0090018C" w:rsidRPr="0090018C">
        <w:rPr>
          <w:rFonts w:ascii="Times New Roman" w:hAnsi="Times New Roman" w:cs="Times New Roman"/>
          <w:bCs/>
        </w:rPr>
        <w:t>promova as diligências necessárias para apresentação de contrapartidas; e e) regularize a</w:t>
      </w:r>
      <w:r w:rsidR="0090018C">
        <w:rPr>
          <w:rFonts w:ascii="Times New Roman" w:hAnsi="Times New Roman" w:cs="Times New Roman"/>
          <w:bCs/>
        </w:rPr>
        <w:t xml:space="preserve"> situação cadastral da </w:t>
      </w:r>
      <w:r w:rsidR="0090018C" w:rsidRPr="009E3C94">
        <w:rPr>
          <w:rFonts w:ascii="Times New Roman" w:hAnsi="Times New Roman" w:cs="Times New Roman"/>
        </w:rPr>
        <w:t>empresa KLINTOWITZ COMUNICACAO LTDA</w:t>
      </w:r>
      <w:r w:rsidR="0090018C">
        <w:rPr>
          <w:rFonts w:ascii="Times New Roman" w:hAnsi="Times New Roman" w:cs="Times New Roman"/>
        </w:rPr>
        <w:t xml:space="preserve"> perante a Receita Federal.</w:t>
      </w:r>
    </w:p>
    <w:p w14:paraId="07746EA3" w14:textId="77777777" w:rsidR="00AE34F5" w:rsidRDefault="00AE34F5" w:rsidP="00AE34F5">
      <w:p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50FAA">
        <w:rPr>
          <w:rFonts w:ascii="Times New Roman" w:hAnsi="Times New Roman" w:cs="Times New Roman"/>
          <w:bCs/>
        </w:rPr>
        <w:t>Por fim, encaminhe-se à Gestora da Parceria para emissão de parecer</w:t>
      </w:r>
      <w:r>
        <w:rPr>
          <w:rFonts w:ascii="Times New Roman" w:hAnsi="Times New Roman" w:cs="Times New Roman"/>
          <w:bCs/>
        </w:rPr>
        <w:t xml:space="preserve"> </w:t>
      </w:r>
      <w:r w:rsidRPr="00350FAA">
        <w:rPr>
          <w:rFonts w:ascii="Times New Roman" w:hAnsi="Times New Roman" w:cs="Times New Roman"/>
          <w:bCs/>
        </w:rPr>
        <w:t>técnico conclusivo.</w:t>
      </w:r>
    </w:p>
    <w:p w14:paraId="6F7BEAC5" w14:textId="77777777" w:rsidR="00AE34F5" w:rsidRPr="0093183E" w:rsidRDefault="00AE34F5" w:rsidP="00976EC9">
      <w:pPr>
        <w:tabs>
          <w:tab w:val="left" w:pos="5112"/>
        </w:tabs>
        <w:jc w:val="both"/>
        <w:rPr>
          <w:rFonts w:ascii="Times New Roman" w:hAnsi="Times New Roman" w:cs="Times New Roman"/>
          <w:b/>
        </w:rPr>
      </w:pPr>
    </w:p>
    <w:p w14:paraId="05331252" w14:textId="07D232CA" w:rsidR="00976EC9" w:rsidRPr="0093183E" w:rsidRDefault="00976EC9" w:rsidP="00976EC9">
      <w:pPr>
        <w:tabs>
          <w:tab w:val="left" w:pos="5112"/>
        </w:tabs>
        <w:jc w:val="right"/>
        <w:rPr>
          <w:rFonts w:ascii="Times New Roman" w:hAnsi="Times New Roman" w:cs="Times New Roman"/>
          <w:b/>
        </w:rPr>
      </w:pPr>
      <w:r w:rsidRPr="0093183E">
        <w:rPr>
          <w:rFonts w:ascii="Times New Roman" w:hAnsi="Times New Roman" w:cs="Times New Roman"/>
          <w:b/>
        </w:rPr>
        <w:t>Brasília, 2</w:t>
      </w:r>
      <w:r w:rsidR="008C7427">
        <w:rPr>
          <w:rFonts w:ascii="Times New Roman" w:hAnsi="Times New Roman" w:cs="Times New Roman"/>
          <w:b/>
        </w:rPr>
        <w:t>9</w:t>
      </w:r>
      <w:r w:rsidRPr="0093183E">
        <w:rPr>
          <w:rFonts w:ascii="Times New Roman" w:hAnsi="Times New Roman" w:cs="Times New Roman"/>
          <w:b/>
        </w:rPr>
        <w:t xml:space="preserve"> de junho de 2022.</w:t>
      </w:r>
    </w:p>
    <w:p w14:paraId="72C2F80F" w14:textId="4FB0741B" w:rsidR="00976EC9" w:rsidRDefault="00976EC9" w:rsidP="00976EC9">
      <w:pPr>
        <w:tabs>
          <w:tab w:val="left" w:pos="5112"/>
        </w:tabs>
        <w:jc w:val="right"/>
        <w:rPr>
          <w:b/>
        </w:rPr>
      </w:pPr>
    </w:p>
    <w:p w14:paraId="3F6314AA" w14:textId="05A363B5" w:rsidR="005A5A12" w:rsidRDefault="005A5A12" w:rsidP="00976EC9">
      <w:pPr>
        <w:tabs>
          <w:tab w:val="left" w:pos="5112"/>
        </w:tabs>
        <w:jc w:val="right"/>
        <w:rPr>
          <w:b/>
        </w:rPr>
      </w:pPr>
    </w:p>
    <w:p w14:paraId="6834BA6B" w14:textId="77777777" w:rsidR="005A5A12" w:rsidRDefault="005A5A12" w:rsidP="00976EC9">
      <w:pPr>
        <w:tabs>
          <w:tab w:val="left" w:pos="5112"/>
        </w:tabs>
        <w:jc w:val="right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76EC9" w14:paraId="3F44FE85" w14:textId="77777777" w:rsidTr="001C1949">
        <w:tc>
          <w:tcPr>
            <w:tcW w:w="4530" w:type="dxa"/>
          </w:tcPr>
          <w:p w14:paraId="5D8C1D65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Ricardo Soares Mascarello</w:t>
            </w:r>
          </w:p>
          <w:p w14:paraId="63509B42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531" w:type="dxa"/>
          </w:tcPr>
          <w:p w14:paraId="26611E93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Paula Benitez</w:t>
            </w:r>
          </w:p>
          <w:p w14:paraId="76DEC0F2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Coordenadora-adjunta</w:t>
            </w:r>
          </w:p>
          <w:p w14:paraId="5A9CF20F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F03E3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EC9" w14:paraId="450CB3DF" w14:textId="77777777" w:rsidTr="001C1949">
        <w:tc>
          <w:tcPr>
            <w:tcW w:w="4530" w:type="dxa"/>
          </w:tcPr>
          <w:p w14:paraId="54E5131A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1A9DAA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F7F10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Zaqueu Cunha</w:t>
            </w:r>
          </w:p>
          <w:p w14:paraId="565A6FD6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Membro</w:t>
            </w:r>
          </w:p>
          <w:p w14:paraId="66815B94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</w:p>
          <w:p w14:paraId="0BA319C1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0B1FC48D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</w:rPr>
            </w:pPr>
          </w:p>
          <w:p w14:paraId="5CC41AFB" w14:textId="77777777" w:rsidR="00976EC9" w:rsidRPr="00143D79" w:rsidRDefault="00976EC9" w:rsidP="001C1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12B093" w14:textId="77777777" w:rsidR="00976EC9" w:rsidRPr="00143D79" w:rsidRDefault="00976EC9" w:rsidP="008C7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9B9227F" w14:textId="77777777" w:rsidR="00976EC9" w:rsidRPr="00976EC9" w:rsidRDefault="00976EC9" w:rsidP="005A5A12">
      <w:pPr>
        <w:tabs>
          <w:tab w:val="left" w:pos="5112"/>
        </w:tabs>
        <w:rPr>
          <w:rFonts w:eastAsia="Times New Roman"/>
          <w:b/>
          <w:lang w:eastAsia="pt-BR"/>
        </w:rPr>
      </w:pPr>
      <w:bookmarkStart w:id="0" w:name="_GoBack"/>
      <w:bookmarkEnd w:id="0"/>
    </w:p>
    <w:sectPr w:rsidR="00976EC9" w:rsidRPr="00976EC9" w:rsidSect="00952C88">
      <w:headerReference w:type="default" r:id="rId11"/>
      <w:footerReference w:type="default" r:id="rId12"/>
      <w:pgSz w:w="11906" w:h="16838"/>
      <w:pgMar w:top="1701" w:right="1134" w:bottom="1134" w:left="1701" w:header="99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BDCED" w14:textId="77777777" w:rsidR="00345C3F" w:rsidRDefault="00345C3F" w:rsidP="00EE0A57">
      <w:pPr>
        <w:spacing w:after="0" w:line="240" w:lineRule="auto"/>
      </w:pPr>
      <w:r>
        <w:separator/>
      </w:r>
    </w:p>
  </w:endnote>
  <w:endnote w:type="continuationSeparator" w:id="0">
    <w:p w14:paraId="0A48797C" w14:textId="77777777" w:rsidR="00345C3F" w:rsidRDefault="00345C3F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1935469253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7D41B0C2" w:rsidR="00314C0D" w:rsidRPr="007A55E4" w:rsidRDefault="00314C0D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5A5A12" w:rsidRPr="005A5A12">
          <w:rPr>
            <w:b/>
            <w:bCs/>
            <w:noProof/>
            <w:color w:val="1B6469"/>
          </w:rPr>
          <w:t>4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14" name="Imagem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B65AA" w14:textId="77777777" w:rsidR="00345C3F" w:rsidRDefault="00345C3F" w:rsidP="00EE0A57">
      <w:pPr>
        <w:spacing w:after="0" w:line="240" w:lineRule="auto"/>
      </w:pPr>
      <w:r>
        <w:separator/>
      </w:r>
    </w:p>
  </w:footnote>
  <w:footnote w:type="continuationSeparator" w:id="0">
    <w:p w14:paraId="6A7844C9" w14:textId="77777777" w:rsidR="00345C3F" w:rsidRDefault="00345C3F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6D64EC51">
          <wp:simplePos x="0" y="0"/>
          <wp:positionH relativeFrom="page">
            <wp:align>left</wp:align>
          </wp:positionH>
          <wp:positionV relativeFrom="paragraph">
            <wp:posOffset>-636270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B64"/>
    <w:multiLevelType w:val="hybridMultilevel"/>
    <w:tmpl w:val="A46C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6C29"/>
    <w:multiLevelType w:val="hybridMultilevel"/>
    <w:tmpl w:val="4AE80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6B42DC3"/>
    <w:multiLevelType w:val="hybridMultilevel"/>
    <w:tmpl w:val="78723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243"/>
    <w:multiLevelType w:val="hybridMultilevel"/>
    <w:tmpl w:val="F478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B1FA2"/>
    <w:rsid w:val="000B5EEF"/>
    <w:rsid w:val="000B7ED8"/>
    <w:rsid w:val="000F0C06"/>
    <w:rsid w:val="00113E92"/>
    <w:rsid w:val="001A4101"/>
    <w:rsid w:val="00226D06"/>
    <w:rsid w:val="00235DE8"/>
    <w:rsid w:val="00247F5B"/>
    <w:rsid w:val="00255AD5"/>
    <w:rsid w:val="002858DE"/>
    <w:rsid w:val="0029429B"/>
    <w:rsid w:val="002B1CD9"/>
    <w:rsid w:val="002B686D"/>
    <w:rsid w:val="002C0927"/>
    <w:rsid w:val="002D5701"/>
    <w:rsid w:val="00314C0D"/>
    <w:rsid w:val="0031769F"/>
    <w:rsid w:val="0032781C"/>
    <w:rsid w:val="00345B66"/>
    <w:rsid w:val="00345C3F"/>
    <w:rsid w:val="003A4311"/>
    <w:rsid w:val="003B4087"/>
    <w:rsid w:val="003C403C"/>
    <w:rsid w:val="003D4129"/>
    <w:rsid w:val="003D6CA6"/>
    <w:rsid w:val="003F6B20"/>
    <w:rsid w:val="00403B79"/>
    <w:rsid w:val="004711C3"/>
    <w:rsid w:val="00474FA0"/>
    <w:rsid w:val="004825ED"/>
    <w:rsid w:val="00495363"/>
    <w:rsid w:val="004C091D"/>
    <w:rsid w:val="004C1F77"/>
    <w:rsid w:val="004C44C3"/>
    <w:rsid w:val="004D49F4"/>
    <w:rsid w:val="00503414"/>
    <w:rsid w:val="00514A4F"/>
    <w:rsid w:val="0051573B"/>
    <w:rsid w:val="00517F84"/>
    <w:rsid w:val="005406D7"/>
    <w:rsid w:val="00565076"/>
    <w:rsid w:val="00570C6D"/>
    <w:rsid w:val="005A5A12"/>
    <w:rsid w:val="005C2E15"/>
    <w:rsid w:val="005E7182"/>
    <w:rsid w:val="005F634D"/>
    <w:rsid w:val="005F6C15"/>
    <w:rsid w:val="00623F7E"/>
    <w:rsid w:val="006758DE"/>
    <w:rsid w:val="006A20B8"/>
    <w:rsid w:val="006E5943"/>
    <w:rsid w:val="006F009C"/>
    <w:rsid w:val="00702B94"/>
    <w:rsid w:val="007450D9"/>
    <w:rsid w:val="00756AF0"/>
    <w:rsid w:val="00756D86"/>
    <w:rsid w:val="0078588D"/>
    <w:rsid w:val="007A55E4"/>
    <w:rsid w:val="00840CF4"/>
    <w:rsid w:val="00851604"/>
    <w:rsid w:val="00854073"/>
    <w:rsid w:val="00870256"/>
    <w:rsid w:val="008936F6"/>
    <w:rsid w:val="0089372A"/>
    <w:rsid w:val="008C2D78"/>
    <w:rsid w:val="008C7427"/>
    <w:rsid w:val="008D1D61"/>
    <w:rsid w:val="008D7140"/>
    <w:rsid w:val="008D7A71"/>
    <w:rsid w:val="0090018C"/>
    <w:rsid w:val="009176A0"/>
    <w:rsid w:val="0093183E"/>
    <w:rsid w:val="00931D05"/>
    <w:rsid w:val="009374CE"/>
    <w:rsid w:val="00952C88"/>
    <w:rsid w:val="00976E2D"/>
    <w:rsid w:val="00976EC9"/>
    <w:rsid w:val="00991601"/>
    <w:rsid w:val="009B12BB"/>
    <w:rsid w:val="009E3C94"/>
    <w:rsid w:val="009F5CCC"/>
    <w:rsid w:val="00A141BE"/>
    <w:rsid w:val="00A160B6"/>
    <w:rsid w:val="00A20177"/>
    <w:rsid w:val="00A24667"/>
    <w:rsid w:val="00AB33B4"/>
    <w:rsid w:val="00AC554C"/>
    <w:rsid w:val="00AD23BD"/>
    <w:rsid w:val="00AE34F5"/>
    <w:rsid w:val="00B31F78"/>
    <w:rsid w:val="00B52E79"/>
    <w:rsid w:val="00B64726"/>
    <w:rsid w:val="00BA0A42"/>
    <w:rsid w:val="00BD28A2"/>
    <w:rsid w:val="00BF7C06"/>
    <w:rsid w:val="00C049B1"/>
    <w:rsid w:val="00C07DEB"/>
    <w:rsid w:val="00C56C72"/>
    <w:rsid w:val="00C60C46"/>
    <w:rsid w:val="00C91CA5"/>
    <w:rsid w:val="00C947F9"/>
    <w:rsid w:val="00CA3343"/>
    <w:rsid w:val="00CB5DBC"/>
    <w:rsid w:val="00CB77DA"/>
    <w:rsid w:val="00CE68C1"/>
    <w:rsid w:val="00D07558"/>
    <w:rsid w:val="00D1669C"/>
    <w:rsid w:val="00D21C37"/>
    <w:rsid w:val="00D61D98"/>
    <w:rsid w:val="00DE7279"/>
    <w:rsid w:val="00E0640A"/>
    <w:rsid w:val="00E15833"/>
    <w:rsid w:val="00E25662"/>
    <w:rsid w:val="00E54621"/>
    <w:rsid w:val="00E61A2C"/>
    <w:rsid w:val="00E70729"/>
    <w:rsid w:val="00EA4731"/>
    <w:rsid w:val="00EA6A48"/>
    <w:rsid w:val="00EB66B0"/>
    <w:rsid w:val="00EC24D9"/>
    <w:rsid w:val="00EE0A57"/>
    <w:rsid w:val="00F42952"/>
    <w:rsid w:val="00F80187"/>
    <w:rsid w:val="00F86139"/>
    <w:rsid w:val="00FA1C89"/>
    <w:rsid w:val="00FA7123"/>
    <w:rsid w:val="00FB30E6"/>
    <w:rsid w:val="00FD7870"/>
    <w:rsid w:val="00FF12B4"/>
    <w:rsid w:val="61D9B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7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9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947F9"/>
  </w:style>
  <w:style w:type="character" w:customStyle="1" w:styleId="eop">
    <w:name w:val="eop"/>
    <w:basedOn w:val="Fontepargpadro"/>
    <w:rsid w:val="00C947F9"/>
  </w:style>
  <w:style w:type="paragraph" w:customStyle="1" w:styleId="Default">
    <w:name w:val="Default"/>
    <w:rsid w:val="005A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80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7F4C"/>
    <w:rsid w:val="002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70486B778454D9F1E62045840562B" ma:contentTypeVersion="4" ma:contentTypeDescription="Crie um novo documento." ma:contentTypeScope="" ma:versionID="ea93727bab263909cca14631b7b8b3df">
  <xsd:schema xmlns:xsd="http://www.w3.org/2001/XMLSchema" xmlns:xs="http://www.w3.org/2001/XMLSchema" xmlns:p="http://schemas.microsoft.com/office/2006/metadata/properties" xmlns:ns2="8aadf14c-988c-44cc-9dc0-6a263afe9d30" xmlns:ns3="487ed0c4-e474-42a2-8865-4a80860c075b" targetNamespace="http://schemas.microsoft.com/office/2006/metadata/properties" ma:root="true" ma:fieldsID="8973035518eacda4b980534e44447b4b" ns2:_="" ns3:_="">
    <xsd:import namespace="8aadf14c-988c-44cc-9dc0-6a263afe9d30"/>
    <xsd:import namespace="487ed0c4-e474-42a2-8865-4a80860c0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14c-988c-44cc-9dc0-6a263afe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d0c4-e474-42a2-8865-4a80860c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572F-BC5B-4EB3-93ED-98D11DE7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f14c-988c-44cc-9dc0-6a263afe9d30"/>
    <ds:schemaRef ds:uri="487ed0c4-e474-42a2-8865-4a80860c0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487ed0c4-e474-42a2-8865-4a80860c075b"/>
    <ds:schemaRef ds:uri="http://purl.org/dc/dcmitype/"/>
    <ds:schemaRef ds:uri="8aadf14c-988c-44cc-9dc0-6a263afe9d30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57FDCF0-9E4D-467A-A9FE-0441585C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Luciana Mamede Leite</cp:lastModifiedBy>
  <cp:revision>2</cp:revision>
  <cp:lastPrinted>2020-08-24T19:25:00Z</cp:lastPrinted>
  <dcterms:created xsi:type="dcterms:W3CDTF">2022-08-11T17:51:00Z</dcterms:created>
  <dcterms:modified xsi:type="dcterms:W3CDTF">2022-08-11T17:51:00Z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0x01010070970486B778454D9F1E62045840562B</vt:lpwstr>
  </property>
</Properties>
</file>