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DA94" w14:textId="75723912" w:rsidR="008F7BA4" w:rsidRPr="00255CD0" w:rsidRDefault="008F7BA4" w:rsidP="00255CD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255CD0">
        <w:rPr>
          <w:rFonts w:ascii="Calibri" w:eastAsia="Times New Roman" w:hAnsi="Calibri" w:cs="Calibri"/>
          <w:sz w:val="24"/>
          <w:szCs w:val="24"/>
          <w:lang w:eastAsia="pt-BR"/>
        </w:rPr>
        <w:t>PORTARIA PRES N° 311, DE 3 DE AGOSTO DE 2020</w:t>
      </w:r>
    </w:p>
    <w:p w14:paraId="76E413B0" w14:textId="77777777" w:rsidR="008F7BA4" w:rsidRPr="00255CD0" w:rsidRDefault="008F7BA4" w:rsidP="00255CD0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26D4426C" w14:textId="66121E4B" w:rsidR="008F7BA4" w:rsidRPr="00255CD0" w:rsidRDefault="008F7BA4" w:rsidP="00255CD0">
      <w:pPr>
        <w:spacing w:after="0" w:line="240" w:lineRule="auto"/>
        <w:ind w:left="4253"/>
        <w:jc w:val="both"/>
        <w:rPr>
          <w:rFonts w:ascii="Calibri" w:eastAsia="Times New Roman" w:hAnsi="Calibri"/>
          <w:b w:val="0"/>
          <w:sz w:val="24"/>
          <w:szCs w:val="24"/>
          <w:lang w:eastAsia="pt-BR"/>
        </w:rPr>
      </w:pPr>
      <w:r w:rsidRPr="00255CD0">
        <w:rPr>
          <w:rFonts w:ascii="Calibri" w:eastAsia="Times New Roman" w:hAnsi="Calibri" w:cs="Calibri"/>
          <w:b w:val="0"/>
          <w:spacing w:val="-4"/>
          <w:sz w:val="24"/>
          <w:szCs w:val="24"/>
          <w:lang w:eastAsia="pt-BR"/>
        </w:rPr>
        <w:t>Altera a Portaria PRES n° 305, de</w:t>
      </w:r>
      <w:r w:rsidR="009472AF">
        <w:rPr>
          <w:rFonts w:ascii="Calibri" w:eastAsia="Times New Roman" w:hAnsi="Calibri" w:cs="Calibri"/>
          <w:b w:val="0"/>
          <w:spacing w:val="-4"/>
          <w:sz w:val="24"/>
          <w:szCs w:val="24"/>
          <w:lang w:eastAsia="pt-BR"/>
        </w:rPr>
        <w:t xml:space="preserve"> 30 de junho de 2</w:t>
      </w:r>
      <w:r w:rsidRPr="00255CD0">
        <w:rPr>
          <w:rFonts w:ascii="Calibri" w:eastAsia="Times New Roman" w:hAnsi="Calibri" w:cs="Calibri"/>
          <w:b w:val="0"/>
          <w:spacing w:val="-4"/>
          <w:sz w:val="24"/>
          <w:szCs w:val="24"/>
          <w:lang w:eastAsia="pt-BR"/>
        </w:rPr>
        <w:t xml:space="preserve">020, e </w:t>
      </w:r>
      <w:r w:rsidRPr="00255CD0">
        <w:rPr>
          <w:rFonts w:ascii="Calibri" w:eastAsia="Times New Roman" w:hAnsi="Calibri"/>
          <w:b w:val="0"/>
          <w:sz w:val="24"/>
          <w:szCs w:val="24"/>
          <w:lang w:eastAsia="pt-BR"/>
        </w:rPr>
        <w:t>dá outras providências.</w:t>
      </w:r>
    </w:p>
    <w:p w14:paraId="3804E9E6" w14:textId="77777777" w:rsidR="008F7BA4" w:rsidRPr="00255CD0" w:rsidRDefault="008F7BA4" w:rsidP="00255CD0">
      <w:pPr>
        <w:spacing w:after="0" w:line="240" w:lineRule="auto"/>
        <w:jc w:val="both"/>
        <w:rPr>
          <w:rFonts w:ascii="Calibri" w:eastAsia="Times New Roman" w:hAnsi="Calibri" w:cs="Calibri"/>
          <w:b w:val="0"/>
          <w:sz w:val="24"/>
          <w:szCs w:val="24"/>
          <w:lang w:eastAsia="pt-BR"/>
        </w:rPr>
      </w:pPr>
    </w:p>
    <w:p w14:paraId="6C29E12D" w14:textId="77777777" w:rsidR="003E7E66" w:rsidRPr="00255CD0" w:rsidRDefault="003E7E66" w:rsidP="00255CD0">
      <w:pPr>
        <w:spacing w:after="0" w:line="240" w:lineRule="auto"/>
        <w:jc w:val="both"/>
        <w:rPr>
          <w:rFonts w:ascii="Calibri" w:hAnsi="Calibri"/>
          <w:b w:val="0"/>
          <w:sz w:val="24"/>
          <w:szCs w:val="24"/>
        </w:rPr>
      </w:pPr>
      <w:r w:rsidRPr="00255CD0">
        <w:rPr>
          <w:rFonts w:ascii="Calibri" w:eastAsia="Times New Roman" w:hAnsi="Calibri" w:cs="Calibri"/>
          <w:b w:val="0"/>
          <w:sz w:val="24"/>
          <w:szCs w:val="24"/>
          <w:lang w:eastAsia="pt-BR"/>
        </w:rPr>
        <w:t xml:space="preserve">O Presidente do Conselho de Arquitetura e Urbanismo do Brasil (CAU/BR), no uso das atribuições que lhe conferem o art. 29, inciso III da Lei n° 12.378, de 31 de dezembro de 2010, o art. 159, incisos II e LIII </w:t>
      </w:r>
      <w:r w:rsidRPr="00255CD0">
        <w:rPr>
          <w:rFonts w:ascii="Calibri" w:hAnsi="Calibri" w:cs="Calibri"/>
          <w:b w:val="0"/>
          <w:sz w:val="24"/>
          <w:szCs w:val="24"/>
          <w:lang w:eastAsia="pt-BR"/>
        </w:rPr>
        <w:t xml:space="preserve">do Regimento Interno aprovado pela Deliberação Plenária DPOBR n° 0065-05/2017, de 28 de abril de 2017, e instituído pela Resolução CAU/BR n° 139, de 28 de abril de 2017, </w:t>
      </w:r>
      <w:r w:rsidRPr="00255CD0">
        <w:rPr>
          <w:rFonts w:ascii="Calibri" w:eastAsia="Times New Roman" w:hAnsi="Calibri"/>
          <w:b w:val="0"/>
          <w:sz w:val="24"/>
          <w:szCs w:val="24"/>
          <w:lang w:eastAsia="pt-BR"/>
        </w:rPr>
        <w:t xml:space="preserve">e as disposições contidas na Deliberação Plenária n° 22, de 6 de setembro de 2013, alterada pelas Deliberações Plenárias n° 24, de 8 de novembro de 2013,  n° 38, de 9 de outubro de 2014, DPABR n° 0014-01/2015, de 28 de agosto de 2015, DPOBR n° 0070-09/2017, de 22 de setembro de 2017, </w:t>
      </w:r>
      <w:r w:rsidRPr="00255CD0">
        <w:rPr>
          <w:rFonts w:ascii="Calibri" w:hAnsi="Calibri"/>
          <w:b w:val="0"/>
          <w:color w:val="000000"/>
          <w:sz w:val="24"/>
          <w:szCs w:val="24"/>
          <w:shd w:val="clear" w:color="auto" w:fill="FFFFFF"/>
        </w:rPr>
        <w:t xml:space="preserve">DPOBR n° 0073-09/2017, de 14 de dezembro de 2017, e </w:t>
      </w:r>
      <w:r w:rsidRPr="00255CD0">
        <w:rPr>
          <w:rFonts w:ascii="Calibri" w:hAnsi="Calibri"/>
          <w:b w:val="0"/>
          <w:sz w:val="24"/>
          <w:szCs w:val="24"/>
        </w:rPr>
        <w:t>DPOBR n° 0096-07/2019, de 21 de novembro de 2019;</w:t>
      </w:r>
    </w:p>
    <w:p w14:paraId="12EBB98A" w14:textId="77777777" w:rsidR="003E7E66" w:rsidRPr="00255CD0" w:rsidRDefault="003E7E66" w:rsidP="00255CD0">
      <w:pPr>
        <w:spacing w:after="0" w:line="240" w:lineRule="auto"/>
        <w:jc w:val="both"/>
        <w:rPr>
          <w:rFonts w:ascii="Calibri" w:hAnsi="Calibri"/>
          <w:b w:val="0"/>
          <w:sz w:val="24"/>
          <w:szCs w:val="24"/>
        </w:rPr>
      </w:pPr>
    </w:p>
    <w:p w14:paraId="616DCA3A" w14:textId="1DB063A7" w:rsidR="008F7BA4" w:rsidRPr="00255CD0" w:rsidRDefault="008F7BA4" w:rsidP="00255C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255CD0">
        <w:rPr>
          <w:rFonts w:ascii="Calibri" w:eastAsia="Times New Roman" w:hAnsi="Calibri" w:cs="Calibri"/>
          <w:sz w:val="24"/>
          <w:szCs w:val="24"/>
          <w:lang w:eastAsia="pt-BR"/>
        </w:rPr>
        <w:t>RESOLVE:</w:t>
      </w:r>
    </w:p>
    <w:p w14:paraId="68757112" w14:textId="77777777" w:rsidR="008F7BA4" w:rsidRPr="00255CD0" w:rsidRDefault="008F7BA4" w:rsidP="00255CD0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sz w:val="24"/>
          <w:szCs w:val="24"/>
          <w:lang w:eastAsia="pt-BR"/>
        </w:rPr>
      </w:pPr>
    </w:p>
    <w:p w14:paraId="7C7FBEB0" w14:textId="71E24737" w:rsidR="008F7BA4" w:rsidRPr="00255CD0" w:rsidRDefault="008F7BA4" w:rsidP="00255CD0">
      <w:pPr>
        <w:pStyle w:val="Default"/>
        <w:jc w:val="both"/>
        <w:rPr>
          <w:rFonts w:eastAsia="Times New Roman"/>
          <w:color w:val="auto"/>
          <w:spacing w:val="-2"/>
        </w:rPr>
      </w:pPr>
      <w:r w:rsidRPr="00255CD0">
        <w:rPr>
          <w:rFonts w:eastAsia="Times New Roman"/>
          <w:color w:val="auto"/>
          <w:spacing w:val="-2"/>
        </w:rPr>
        <w:t>Art. 1° O art. 1° da Portaria PRES n° 305, de 30 de junho de 2020, que designa a</w:t>
      </w:r>
      <w:r w:rsidRPr="00255CD0">
        <w:rPr>
          <w:rFonts w:eastAsia="Times New Roman"/>
          <w:bCs/>
        </w:rPr>
        <w:t xml:space="preserve"> </w:t>
      </w:r>
      <w:r w:rsidRPr="00255CD0">
        <w:rPr>
          <w:rFonts w:eastAsia="Times New Roman"/>
          <w:color w:val="auto"/>
          <w:spacing w:val="-2"/>
        </w:rPr>
        <w:t xml:space="preserve">Profissional Analista Superior (PAS), </w:t>
      </w:r>
      <w:r w:rsidRPr="00255CD0">
        <w:t>Analista Técnica BRUNA RODRIGUES FEITOSA</w:t>
      </w:r>
      <w:r w:rsidRPr="00255CD0">
        <w:rPr>
          <w:rFonts w:eastAsia="Times New Roman"/>
          <w:bCs/>
        </w:rPr>
        <w:t xml:space="preserve">, para exercer o Emprego de Livre Provimento e Demissão de </w:t>
      </w:r>
      <w:r w:rsidRPr="00255CD0">
        <w:t>Coordenadora de Recursos Humanos da Gerência Administrativa</w:t>
      </w:r>
      <w:r w:rsidRPr="00255CD0">
        <w:rPr>
          <w:rFonts w:eastAsia="Times New Roman"/>
          <w:bCs/>
        </w:rPr>
        <w:t xml:space="preserve"> do CAU/BR</w:t>
      </w:r>
      <w:r w:rsidRPr="00255CD0">
        <w:rPr>
          <w:rFonts w:eastAsia="Times New Roman"/>
          <w:color w:val="auto"/>
        </w:rPr>
        <w:t xml:space="preserve">, </w:t>
      </w:r>
      <w:r w:rsidRPr="00255CD0">
        <w:rPr>
          <w:rFonts w:eastAsia="Times New Roman"/>
          <w:color w:val="auto"/>
          <w:spacing w:val="-2"/>
        </w:rPr>
        <w:t>passa a vigorar com a seguinte redação:</w:t>
      </w:r>
    </w:p>
    <w:p w14:paraId="4BC36F81" w14:textId="77777777" w:rsidR="008F7BA4" w:rsidRPr="00255CD0" w:rsidRDefault="008F7BA4" w:rsidP="00255CD0">
      <w:pPr>
        <w:pStyle w:val="Default"/>
        <w:jc w:val="both"/>
        <w:rPr>
          <w:rFonts w:eastAsia="Times New Roman"/>
          <w:color w:val="auto"/>
          <w:spacing w:val="-2"/>
        </w:rPr>
      </w:pPr>
    </w:p>
    <w:p w14:paraId="0065EB4D" w14:textId="5E80350C" w:rsidR="00A51C62" w:rsidRPr="00255CD0" w:rsidRDefault="008F7BA4" w:rsidP="00255CD0">
      <w:pPr>
        <w:spacing w:after="0" w:line="240" w:lineRule="auto"/>
        <w:ind w:left="1440"/>
        <w:jc w:val="both"/>
        <w:rPr>
          <w:rFonts w:ascii="Calibri" w:hAnsi="Calibri"/>
          <w:b w:val="0"/>
          <w:color w:val="000000"/>
          <w:sz w:val="24"/>
          <w:szCs w:val="24"/>
          <w:shd w:val="clear" w:color="auto" w:fill="FFFFFF"/>
        </w:rPr>
      </w:pPr>
      <w:r w:rsidRPr="00255CD0">
        <w:rPr>
          <w:rFonts w:ascii="Calibri" w:hAnsi="Calibri"/>
          <w:b w:val="0"/>
          <w:color w:val="000000"/>
          <w:sz w:val="24"/>
          <w:szCs w:val="24"/>
          <w:shd w:val="clear" w:color="auto" w:fill="FFFFFF"/>
        </w:rPr>
        <w:t xml:space="preserve">“Art. 1° Designar, </w:t>
      </w:r>
      <w:r w:rsidRPr="00255CD0">
        <w:rPr>
          <w:rFonts w:ascii="Calibri" w:eastAsia="Times New Roman" w:hAnsi="Calibri" w:cs="Calibri"/>
          <w:b w:val="0"/>
          <w:spacing w:val="-2"/>
          <w:sz w:val="24"/>
          <w:szCs w:val="24"/>
          <w:lang w:eastAsia="pt-BR"/>
        </w:rPr>
        <w:t xml:space="preserve">em conformidade com o art. 1° da Portaria Normativa n° 31, de 12 de janeiro de 2015, alterada pela Portaria Normativa n° 48, de 11 de agosto de 2016, </w:t>
      </w:r>
      <w:r w:rsidRPr="00255CD0">
        <w:rPr>
          <w:rFonts w:ascii="Calibri" w:hAnsi="Calibri"/>
          <w:b w:val="0"/>
          <w:color w:val="000000"/>
          <w:sz w:val="24"/>
          <w:szCs w:val="24"/>
          <w:shd w:val="clear" w:color="auto" w:fill="FFFFFF"/>
        </w:rPr>
        <w:t xml:space="preserve">para exercer o </w:t>
      </w:r>
      <w:r w:rsidR="00A51C62" w:rsidRPr="00255CD0">
        <w:rPr>
          <w:rFonts w:ascii="Calibri" w:eastAsia="Times New Roman" w:hAnsi="Calibri"/>
          <w:b w:val="0"/>
          <w:bCs/>
          <w:sz w:val="24"/>
          <w:szCs w:val="24"/>
        </w:rPr>
        <w:t xml:space="preserve">Emprego de Livre Provimento e Demissão de </w:t>
      </w:r>
      <w:r w:rsidR="00A51C62" w:rsidRPr="00255CD0">
        <w:rPr>
          <w:rFonts w:ascii="Calibri" w:hAnsi="Calibri"/>
          <w:b w:val="0"/>
          <w:sz w:val="24"/>
          <w:szCs w:val="24"/>
        </w:rPr>
        <w:t>Coordenadora de Recursos Humanos da Gerência Administrativa</w:t>
      </w:r>
      <w:r w:rsidR="00A51C62" w:rsidRPr="00255CD0">
        <w:rPr>
          <w:rFonts w:ascii="Calibri" w:eastAsia="Times New Roman" w:hAnsi="Calibri"/>
          <w:b w:val="0"/>
          <w:bCs/>
          <w:sz w:val="24"/>
          <w:szCs w:val="24"/>
        </w:rPr>
        <w:t xml:space="preserve"> do CAU/BR</w:t>
      </w:r>
      <w:r w:rsidRPr="00255CD0">
        <w:rPr>
          <w:rFonts w:ascii="Calibri" w:hAnsi="Calibri"/>
          <w:b w:val="0"/>
          <w:color w:val="000000"/>
          <w:sz w:val="24"/>
          <w:szCs w:val="24"/>
          <w:shd w:val="clear" w:color="auto" w:fill="FFFFFF"/>
        </w:rPr>
        <w:t xml:space="preserve">, do Quadro de Pessoal do Conselho de Arquitetura e Urbanismo do Brasil (CAU/BR), previsto no Anexo I da </w:t>
      </w:r>
      <w:r w:rsidR="00A51C62" w:rsidRPr="00255CD0">
        <w:rPr>
          <w:rFonts w:ascii="Calibri" w:eastAsia="Times New Roman" w:hAnsi="Calibri"/>
          <w:b w:val="0"/>
          <w:color w:val="auto"/>
          <w:sz w:val="24"/>
          <w:szCs w:val="24"/>
        </w:rPr>
        <w:t xml:space="preserve">Deliberação Plenária n° 22, de 6 de setembro de 2013, alterada pelas Deliberações Plenárias n° 24, de 8 de novembro de 2013,  n° 38, de 9 de outubro de 2014, DPABR n° 0014-01/2015, de 28 de agosto de 2015, DPOBR n° 0070-09/2017, de 22 de setembro de 2017, </w:t>
      </w:r>
      <w:r w:rsidR="00A51C62" w:rsidRPr="00255CD0">
        <w:rPr>
          <w:rFonts w:ascii="Calibri" w:hAnsi="Calibri"/>
          <w:b w:val="0"/>
          <w:color w:val="auto"/>
          <w:sz w:val="24"/>
          <w:szCs w:val="24"/>
        </w:rPr>
        <w:t xml:space="preserve">DPOBR n° 0073-09/2017, de 14 de dezembro de 2017, e </w:t>
      </w:r>
      <w:r w:rsidR="00A51C62" w:rsidRPr="00255CD0">
        <w:rPr>
          <w:rFonts w:ascii="Calibri" w:hAnsi="Calibri"/>
          <w:b w:val="0"/>
          <w:sz w:val="24"/>
          <w:szCs w:val="24"/>
        </w:rPr>
        <w:t xml:space="preserve">DPOBR n° 0096-07/2019, de 21 de novembro de 2019, </w:t>
      </w:r>
      <w:r w:rsidR="00A51C62" w:rsidRPr="00255CD0">
        <w:rPr>
          <w:rFonts w:ascii="Calibri" w:eastAsia="Times New Roman" w:hAnsi="Calibri"/>
          <w:b w:val="0"/>
          <w:sz w:val="24"/>
          <w:szCs w:val="24"/>
          <w:lang w:eastAsia="pt-BR"/>
        </w:rPr>
        <w:t xml:space="preserve">sem cumulatividade com os encargos do emprego efetivo ocupado, </w:t>
      </w:r>
      <w:r w:rsidR="00A51C62" w:rsidRPr="00255CD0">
        <w:rPr>
          <w:rFonts w:ascii="Calibri" w:hAnsi="Calibri"/>
          <w:b w:val="0"/>
          <w:sz w:val="24"/>
          <w:szCs w:val="24"/>
        </w:rPr>
        <w:t xml:space="preserve">a </w:t>
      </w:r>
      <w:r w:rsidR="00A51C62" w:rsidRPr="00255CD0">
        <w:rPr>
          <w:rFonts w:ascii="Calibri" w:eastAsia="Times New Roman" w:hAnsi="Calibri"/>
          <w:b w:val="0"/>
          <w:color w:val="auto"/>
          <w:spacing w:val="-2"/>
          <w:sz w:val="24"/>
          <w:szCs w:val="24"/>
        </w:rPr>
        <w:t xml:space="preserve">Profissional Analista Superior (PAS), </w:t>
      </w:r>
      <w:r w:rsidR="00A51C62" w:rsidRPr="00255CD0">
        <w:rPr>
          <w:rFonts w:ascii="Calibri" w:hAnsi="Calibri"/>
          <w:b w:val="0"/>
          <w:sz w:val="24"/>
          <w:szCs w:val="24"/>
        </w:rPr>
        <w:t xml:space="preserve">Analista Técnica BRUNA RODRIGUES FEITOSA, </w:t>
      </w:r>
      <w:r w:rsidR="00A51C62" w:rsidRPr="00255CD0">
        <w:rPr>
          <w:rFonts w:ascii="Calibri" w:eastAsia="Times New Roman" w:hAnsi="Calibri"/>
          <w:b w:val="0"/>
          <w:color w:val="auto"/>
          <w:sz w:val="24"/>
          <w:szCs w:val="24"/>
        </w:rPr>
        <w:t>a partir de 1° de julho de 2020.”</w:t>
      </w:r>
    </w:p>
    <w:p w14:paraId="05AD2D90" w14:textId="77777777" w:rsidR="00A51C62" w:rsidRPr="00255CD0" w:rsidRDefault="00A51C62" w:rsidP="00255CD0">
      <w:pPr>
        <w:spacing w:after="0" w:line="240" w:lineRule="auto"/>
        <w:ind w:left="1440"/>
        <w:jc w:val="both"/>
        <w:rPr>
          <w:rFonts w:ascii="Calibri" w:hAnsi="Calibri"/>
          <w:b w:val="0"/>
          <w:color w:val="000000"/>
          <w:sz w:val="24"/>
          <w:szCs w:val="24"/>
          <w:shd w:val="clear" w:color="auto" w:fill="FFFFFF"/>
        </w:rPr>
      </w:pPr>
    </w:p>
    <w:p w14:paraId="74B983A5" w14:textId="536880A4" w:rsidR="008F7BA4" w:rsidRPr="00255CD0" w:rsidRDefault="008F7BA4" w:rsidP="00255CD0">
      <w:pPr>
        <w:pStyle w:val="SombreamentoMdio1-nfase11"/>
        <w:jc w:val="both"/>
        <w:rPr>
          <w:rFonts w:cs="Arial"/>
          <w:sz w:val="24"/>
          <w:szCs w:val="24"/>
        </w:rPr>
      </w:pPr>
      <w:r w:rsidRPr="00255CD0">
        <w:rPr>
          <w:rFonts w:eastAsia="Times New Roman" w:cs="Calibri"/>
          <w:sz w:val="24"/>
          <w:szCs w:val="24"/>
          <w:lang w:eastAsia="pt-BR"/>
        </w:rPr>
        <w:t xml:space="preserve">Art. 2° </w:t>
      </w:r>
      <w:r w:rsidRPr="00255CD0">
        <w:rPr>
          <w:rFonts w:cs="Arial"/>
          <w:sz w:val="24"/>
          <w:szCs w:val="24"/>
        </w:rPr>
        <w:t xml:space="preserve">Esta Portaria entra em vigor na data de sua publicação no sítio eletrônico do CAU/BR na Rede Mundial de Computadores (Internet), no endereço </w:t>
      </w:r>
      <w:r w:rsidRPr="002E5F2B">
        <w:rPr>
          <w:rFonts w:cs="Arial"/>
          <w:sz w:val="24"/>
          <w:szCs w:val="24"/>
        </w:rPr>
        <w:t>www.caubr.gov.br</w:t>
      </w:r>
      <w:r w:rsidRPr="00255CD0">
        <w:rPr>
          <w:rFonts w:cs="Arial"/>
          <w:sz w:val="24"/>
          <w:szCs w:val="24"/>
        </w:rPr>
        <w:t xml:space="preserve">, com efeitos a partir de </w:t>
      </w:r>
      <w:r w:rsidR="00A51C62" w:rsidRPr="00255CD0">
        <w:rPr>
          <w:rFonts w:cs="Arial"/>
          <w:sz w:val="24"/>
          <w:szCs w:val="24"/>
        </w:rPr>
        <w:t>3</w:t>
      </w:r>
      <w:r w:rsidRPr="00255CD0">
        <w:rPr>
          <w:rFonts w:cs="Arial"/>
          <w:sz w:val="24"/>
          <w:szCs w:val="24"/>
        </w:rPr>
        <w:t xml:space="preserve"> de </w:t>
      </w:r>
      <w:r w:rsidR="00A51C62" w:rsidRPr="00255CD0">
        <w:rPr>
          <w:rFonts w:cs="Arial"/>
          <w:sz w:val="24"/>
          <w:szCs w:val="24"/>
        </w:rPr>
        <w:t>agosto de 2020</w:t>
      </w:r>
      <w:r w:rsidRPr="00255CD0">
        <w:rPr>
          <w:rFonts w:cs="Arial"/>
          <w:sz w:val="24"/>
          <w:szCs w:val="24"/>
        </w:rPr>
        <w:t>.</w:t>
      </w:r>
    </w:p>
    <w:p w14:paraId="0BFC5737" w14:textId="77777777" w:rsidR="008F7BA4" w:rsidRPr="00255CD0" w:rsidRDefault="008F7BA4" w:rsidP="00255CD0">
      <w:pPr>
        <w:spacing w:after="0" w:line="240" w:lineRule="auto"/>
        <w:jc w:val="both"/>
        <w:rPr>
          <w:rFonts w:ascii="Calibri" w:eastAsia="Times New Roman" w:hAnsi="Calibri" w:cs="Calibri"/>
          <w:b w:val="0"/>
          <w:sz w:val="24"/>
          <w:szCs w:val="24"/>
          <w:lang w:eastAsia="pt-BR"/>
        </w:rPr>
      </w:pPr>
    </w:p>
    <w:p w14:paraId="6AAA9FA3" w14:textId="01B5D1BE" w:rsidR="008F7BA4" w:rsidRPr="00255CD0" w:rsidRDefault="008F7BA4" w:rsidP="00255CD0">
      <w:pPr>
        <w:spacing w:after="0" w:line="240" w:lineRule="auto"/>
        <w:jc w:val="center"/>
        <w:rPr>
          <w:rFonts w:ascii="Calibri" w:eastAsia="Times New Roman" w:hAnsi="Calibri" w:cs="Calibri"/>
          <w:b w:val="0"/>
          <w:sz w:val="24"/>
          <w:szCs w:val="24"/>
          <w:lang w:eastAsia="pt-BR"/>
        </w:rPr>
      </w:pPr>
      <w:r w:rsidRPr="00255CD0">
        <w:rPr>
          <w:rFonts w:ascii="Calibri" w:eastAsia="Times New Roman" w:hAnsi="Calibri" w:cs="Calibri"/>
          <w:b w:val="0"/>
          <w:sz w:val="24"/>
          <w:szCs w:val="24"/>
          <w:lang w:eastAsia="pt-BR"/>
        </w:rPr>
        <w:t xml:space="preserve">Brasília, </w:t>
      </w:r>
      <w:r w:rsidR="00A51C62" w:rsidRPr="00255CD0">
        <w:rPr>
          <w:rFonts w:ascii="Calibri" w:eastAsia="Times New Roman" w:hAnsi="Calibri" w:cs="Calibri"/>
          <w:b w:val="0"/>
          <w:sz w:val="24"/>
          <w:szCs w:val="24"/>
          <w:lang w:eastAsia="pt-BR"/>
        </w:rPr>
        <w:t>3</w:t>
      </w:r>
      <w:r w:rsidRPr="00255CD0">
        <w:rPr>
          <w:rFonts w:ascii="Calibri" w:eastAsia="Times New Roman" w:hAnsi="Calibri" w:cs="Calibri"/>
          <w:b w:val="0"/>
          <w:sz w:val="24"/>
          <w:szCs w:val="24"/>
          <w:lang w:eastAsia="pt-BR"/>
        </w:rPr>
        <w:t xml:space="preserve"> de </w:t>
      </w:r>
      <w:r w:rsidR="00A51C62" w:rsidRPr="00255CD0">
        <w:rPr>
          <w:rFonts w:ascii="Calibri" w:eastAsia="Times New Roman" w:hAnsi="Calibri" w:cs="Calibri"/>
          <w:b w:val="0"/>
          <w:sz w:val="24"/>
          <w:szCs w:val="24"/>
          <w:lang w:eastAsia="pt-BR"/>
        </w:rPr>
        <w:t>agosto</w:t>
      </w:r>
      <w:r w:rsidRPr="00255CD0">
        <w:rPr>
          <w:rFonts w:ascii="Calibri" w:eastAsia="Times New Roman" w:hAnsi="Calibri" w:cs="Calibri"/>
          <w:b w:val="0"/>
          <w:sz w:val="24"/>
          <w:szCs w:val="24"/>
          <w:lang w:eastAsia="pt-BR"/>
        </w:rPr>
        <w:t xml:space="preserve"> de 20</w:t>
      </w:r>
      <w:r w:rsidR="00A51C62" w:rsidRPr="00255CD0">
        <w:rPr>
          <w:rFonts w:ascii="Calibri" w:eastAsia="Times New Roman" w:hAnsi="Calibri" w:cs="Calibri"/>
          <w:b w:val="0"/>
          <w:sz w:val="24"/>
          <w:szCs w:val="24"/>
          <w:lang w:eastAsia="pt-BR"/>
        </w:rPr>
        <w:t>20</w:t>
      </w:r>
      <w:r w:rsidRPr="00255CD0">
        <w:rPr>
          <w:rFonts w:ascii="Calibri" w:eastAsia="Times New Roman" w:hAnsi="Calibri" w:cs="Calibri"/>
          <w:b w:val="0"/>
          <w:sz w:val="24"/>
          <w:szCs w:val="24"/>
          <w:lang w:eastAsia="pt-BR"/>
        </w:rPr>
        <w:t>.</w:t>
      </w:r>
    </w:p>
    <w:p w14:paraId="2EBB1512" w14:textId="77777777" w:rsidR="008F7BA4" w:rsidRPr="00255CD0" w:rsidRDefault="008F7BA4" w:rsidP="00255CD0">
      <w:pPr>
        <w:spacing w:after="0" w:line="240" w:lineRule="auto"/>
        <w:jc w:val="center"/>
        <w:rPr>
          <w:rFonts w:ascii="Calibri" w:eastAsia="Times New Roman" w:hAnsi="Calibri" w:cs="Calibri"/>
          <w:b w:val="0"/>
          <w:sz w:val="24"/>
          <w:szCs w:val="24"/>
          <w:lang w:eastAsia="pt-BR"/>
        </w:rPr>
      </w:pPr>
    </w:p>
    <w:p w14:paraId="3638AA5F" w14:textId="77777777" w:rsidR="003A4AE7" w:rsidRPr="00255CD0" w:rsidRDefault="003A4AE7" w:rsidP="00255CD0">
      <w:pPr>
        <w:spacing w:after="0" w:line="240" w:lineRule="auto"/>
        <w:jc w:val="center"/>
        <w:rPr>
          <w:rFonts w:ascii="Calibri" w:eastAsia="Times New Roman" w:hAnsi="Calibri" w:cs="Calibri"/>
          <w:b w:val="0"/>
          <w:sz w:val="24"/>
          <w:szCs w:val="24"/>
          <w:lang w:eastAsia="pt-BR"/>
        </w:rPr>
      </w:pPr>
    </w:p>
    <w:p w14:paraId="35FC95CB" w14:textId="5686EFB6" w:rsidR="008F7BA4" w:rsidRPr="009472AF" w:rsidRDefault="00A51C62" w:rsidP="00255CD0">
      <w:pPr>
        <w:spacing w:after="0" w:line="240" w:lineRule="auto"/>
        <w:jc w:val="center"/>
        <w:rPr>
          <w:rFonts w:ascii="Calibri" w:eastAsia="Times New Roman" w:hAnsi="Calibri" w:cs="Calibri"/>
          <w:b w:val="0"/>
          <w:sz w:val="20"/>
          <w:szCs w:val="24"/>
          <w:lang w:eastAsia="pt-BR"/>
        </w:rPr>
      </w:pPr>
      <w:r w:rsidRPr="009472AF">
        <w:rPr>
          <w:rFonts w:ascii="Calibri" w:eastAsia="Times New Roman" w:hAnsi="Calibri" w:cs="Calibri"/>
          <w:b w:val="0"/>
          <w:sz w:val="20"/>
          <w:szCs w:val="24"/>
          <w:lang w:eastAsia="pt-BR"/>
        </w:rPr>
        <w:t>(assinado digitalmente)</w:t>
      </w:r>
    </w:p>
    <w:p w14:paraId="360B6BAE" w14:textId="77777777" w:rsidR="008F7BA4" w:rsidRPr="00255CD0" w:rsidRDefault="008F7BA4" w:rsidP="00255CD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255CD0">
        <w:rPr>
          <w:rFonts w:ascii="Calibri" w:hAnsi="Calibri"/>
          <w:color w:val="000000"/>
          <w:sz w:val="24"/>
          <w:szCs w:val="24"/>
          <w:shd w:val="clear" w:color="auto" w:fill="FFFFFF"/>
        </w:rPr>
        <w:t>LUCIANO GUIMARÃES</w:t>
      </w:r>
    </w:p>
    <w:p w14:paraId="67AAFD98" w14:textId="2E61C951" w:rsidR="007A55E4" w:rsidRPr="00255CD0" w:rsidRDefault="008F7BA4" w:rsidP="00255CD0">
      <w:pPr>
        <w:spacing w:after="0" w:line="240" w:lineRule="auto"/>
        <w:jc w:val="center"/>
        <w:rPr>
          <w:rFonts w:ascii="Calibri" w:eastAsia="Times New Roman" w:hAnsi="Calibri"/>
          <w:b w:val="0"/>
          <w:sz w:val="24"/>
          <w:szCs w:val="24"/>
          <w:lang w:eastAsia="pt-BR"/>
        </w:rPr>
      </w:pPr>
      <w:r w:rsidRPr="00255CD0">
        <w:rPr>
          <w:rFonts w:ascii="Calibri" w:eastAsia="Times New Roman" w:hAnsi="Calibri" w:cs="Calibri"/>
          <w:b w:val="0"/>
          <w:sz w:val="24"/>
          <w:szCs w:val="24"/>
          <w:lang w:eastAsia="pt-BR"/>
        </w:rPr>
        <w:t>Presidente do CAU/BR</w:t>
      </w:r>
    </w:p>
    <w:sectPr w:rsidR="007A55E4" w:rsidRPr="00255CD0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2895" w14:textId="77777777" w:rsidR="00493274" w:rsidRDefault="00493274" w:rsidP="00EE0A57">
      <w:pPr>
        <w:spacing w:after="0" w:line="240" w:lineRule="auto"/>
      </w:pPr>
      <w:r>
        <w:separator/>
      </w:r>
    </w:p>
  </w:endnote>
  <w:endnote w:type="continuationSeparator" w:id="0">
    <w:p w14:paraId="207BB26C" w14:textId="77777777" w:rsidR="00493274" w:rsidRDefault="0049327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CE051" w14:textId="77777777" w:rsidR="00493274" w:rsidRDefault="00493274" w:rsidP="00EE0A57">
      <w:pPr>
        <w:spacing w:after="0" w:line="240" w:lineRule="auto"/>
      </w:pPr>
      <w:r>
        <w:separator/>
      </w:r>
    </w:p>
  </w:footnote>
  <w:footnote w:type="continuationSeparator" w:id="0">
    <w:p w14:paraId="67835016" w14:textId="77777777" w:rsidR="00493274" w:rsidRDefault="0049327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4293B" w14:textId="5C09D377" w:rsidR="00C91CA5" w:rsidRPr="00345B66" w:rsidRDefault="00EA4731" w:rsidP="008F7BA4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572D"/>
    <w:rsid w:val="0001441A"/>
    <w:rsid w:val="000B5EEF"/>
    <w:rsid w:val="000F0C06"/>
    <w:rsid w:val="00113E92"/>
    <w:rsid w:val="00226D06"/>
    <w:rsid w:val="00235DE8"/>
    <w:rsid w:val="00247F5B"/>
    <w:rsid w:val="00255CD0"/>
    <w:rsid w:val="0029429B"/>
    <w:rsid w:val="002B1CD9"/>
    <w:rsid w:val="002C0927"/>
    <w:rsid w:val="002D5701"/>
    <w:rsid w:val="002E5F2B"/>
    <w:rsid w:val="00314C0D"/>
    <w:rsid w:val="0031769F"/>
    <w:rsid w:val="0032781C"/>
    <w:rsid w:val="00345B66"/>
    <w:rsid w:val="003A4AE7"/>
    <w:rsid w:val="003B4087"/>
    <w:rsid w:val="003D4129"/>
    <w:rsid w:val="003D6CA6"/>
    <w:rsid w:val="003E7E66"/>
    <w:rsid w:val="003F6B20"/>
    <w:rsid w:val="00403B79"/>
    <w:rsid w:val="004711C3"/>
    <w:rsid w:val="00474FA0"/>
    <w:rsid w:val="004825ED"/>
    <w:rsid w:val="00493274"/>
    <w:rsid w:val="004C44C3"/>
    <w:rsid w:val="004D49F4"/>
    <w:rsid w:val="00517F84"/>
    <w:rsid w:val="005406D7"/>
    <w:rsid w:val="00565076"/>
    <w:rsid w:val="00570C6D"/>
    <w:rsid w:val="005C2E15"/>
    <w:rsid w:val="005E7182"/>
    <w:rsid w:val="005F6C15"/>
    <w:rsid w:val="00616B3B"/>
    <w:rsid w:val="00623F7E"/>
    <w:rsid w:val="006758DE"/>
    <w:rsid w:val="006E5943"/>
    <w:rsid w:val="006F009C"/>
    <w:rsid w:val="00702B94"/>
    <w:rsid w:val="00756AF0"/>
    <w:rsid w:val="00756D86"/>
    <w:rsid w:val="007A55E4"/>
    <w:rsid w:val="00851604"/>
    <w:rsid w:val="00854073"/>
    <w:rsid w:val="008936F6"/>
    <w:rsid w:val="0089372A"/>
    <w:rsid w:val="008C2D78"/>
    <w:rsid w:val="008D7A71"/>
    <w:rsid w:val="008F7BA4"/>
    <w:rsid w:val="009176A0"/>
    <w:rsid w:val="00931D05"/>
    <w:rsid w:val="009472AF"/>
    <w:rsid w:val="00976E2D"/>
    <w:rsid w:val="00991601"/>
    <w:rsid w:val="009B12BB"/>
    <w:rsid w:val="009F5CCC"/>
    <w:rsid w:val="00A141BE"/>
    <w:rsid w:val="00A160B6"/>
    <w:rsid w:val="00A24667"/>
    <w:rsid w:val="00A51C62"/>
    <w:rsid w:val="00AC554C"/>
    <w:rsid w:val="00AF327F"/>
    <w:rsid w:val="00B31F78"/>
    <w:rsid w:val="00B52E79"/>
    <w:rsid w:val="00B64726"/>
    <w:rsid w:val="00BA0A42"/>
    <w:rsid w:val="00BC21A9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CF655D"/>
    <w:rsid w:val="00D07558"/>
    <w:rsid w:val="00D21C37"/>
    <w:rsid w:val="00D61D98"/>
    <w:rsid w:val="00E0640A"/>
    <w:rsid w:val="00E25662"/>
    <w:rsid w:val="00E54621"/>
    <w:rsid w:val="00E61A2C"/>
    <w:rsid w:val="00E70729"/>
    <w:rsid w:val="00EA4731"/>
    <w:rsid w:val="00EC24D9"/>
    <w:rsid w:val="00EE0A57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616B3B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b w:val="0"/>
      <w:color w:val="000000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616B3B"/>
    <w:pPr>
      <w:spacing w:after="0" w:line="240" w:lineRule="auto"/>
    </w:pPr>
    <w:rPr>
      <w:rFonts w:ascii="Calibri" w:eastAsia="Calibri" w:hAnsi="Calibri" w:cs="Times New Roman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AD207-AE54-4F4B-9E2D-6CFD325F7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7</cp:revision>
  <dcterms:created xsi:type="dcterms:W3CDTF">2020-08-03T15:32:00Z</dcterms:created>
  <dcterms:modified xsi:type="dcterms:W3CDTF">2020-08-07T21:57:00Z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