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39D2D6E6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 xml:space="preserve">ORTARIA </w:t>
      </w:r>
      <w:r w:rsidR="00DC1A2A" w:rsidRPr="00DC1A2A">
        <w:rPr>
          <w:rFonts w:asciiTheme="minorHAnsi" w:hAnsiTheme="minorHAnsi" w:cstheme="minorHAnsi"/>
          <w:b/>
          <w:w w:val="105"/>
        </w:rPr>
        <w:t>PRES Nº 245, DE 25 DE FEVEREIRO DE 2019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7A19D478" w14:textId="6AAD9597" w:rsidR="00920AA8" w:rsidRPr="00DC1A2A" w:rsidRDefault="00DC1A2A" w:rsidP="00DC1A2A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DC1A2A">
        <w:rPr>
          <w:rFonts w:asciiTheme="minorHAnsi" w:hAnsiTheme="minorHAnsi" w:cstheme="minorHAnsi"/>
          <w:w w:val="105"/>
        </w:rPr>
        <w:t>Altera a Portaria PRES nº 233, 2018, e dá outras providências.</w:t>
      </w:r>
      <w:r>
        <w:rPr>
          <w:rFonts w:asciiTheme="minorHAnsi" w:hAnsiTheme="minorHAnsi" w:cstheme="minorHAnsi"/>
          <w:w w:val="105"/>
        </w:rPr>
        <w:br/>
      </w:r>
      <w:bookmarkStart w:id="0" w:name="_GoBack"/>
      <w:bookmarkEnd w:id="0"/>
    </w:p>
    <w:p w14:paraId="1E015E3E" w14:textId="3CCC8134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DC1A2A" w:rsidRPr="00DC1A2A">
        <w:rPr>
          <w:rFonts w:asciiTheme="minorHAnsi" w:eastAsia="Times New Roman" w:hAnsiTheme="minorHAnsi" w:cstheme="minorHAnsi"/>
          <w:lang w:eastAsia="pt-BR"/>
        </w:rPr>
        <w:t>do Conselho de Arquitetura e Urbanismo do Brasil (CAU/BR), no uso das atribuições que lhe conferem o art. 29, inciso III da Lei nº 12.378, de 31 de dezembro de 2010, o art. 159, incisos li e LIII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0073-09/2017, de 14 de dezembro de 2017;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456F2C1B" w14:textId="58C1215A" w:rsidR="00DC1A2A" w:rsidRPr="00DC1A2A" w:rsidRDefault="00D43B9C" w:rsidP="00DC1A2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Art. 1</w:t>
      </w:r>
      <w:r w:rsidR="00DA3C93" w:rsidRPr="00DA3C93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DC1A2A" w:rsidRPr="00DC1A2A">
        <w:rPr>
          <w:rFonts w:asciiTheme="minorHAnsi" w:eastAsia="Times New Roman" w:hAnsiTheme="minorHAnsi" w:cstheme="minorHAnsi"/>
          <w:lang w:eastAsia="pt-BR"/>
        </w:rPr>
        <w:t xml:space="preserve">O art. 1º da Portaria PRES nº 233, de 10 de outubro de 2018, que designa a Analista Superior, Arquiteta e Urbanista GISELLE MEDEIROS LIMA para exercer o Emprego de Livre Provimento e Demissão de Coordenadora da Rede Integrada de Atendimento (RIA), passa a </w:t>
      </w:r>
      <w:r w:rsidR="00DC1A2A">
        <w:rPr>
          <w:rFonts w:asciiTheme="minorHAnsi" w:eastAsia="Times New Roman" w:hAnsiTheme="minorHAnsi" w:cstheme="minorHAnsi"/>
          <w:lang w:eastAsia="pt-BR"/>
        </w:rPr>
        <w:t>vigorar com a seguinte redação:</w:t>
      </w:r>
    </w:p>
    <w:p w14:paraId="417EF48B" w14:textId="2996B7EF" w:rsidR="00DC1A2A" w:rsidRDefault="00DC1A2A" w:rsidP="00DC1A2A">
      <w:pPr>
        <w:spacing w:before="100" w:beforeAutospacing="1" w:after="100" w:afterAutospacing="1"/>
        <w:ind w:left="1440"/>
        <w:jc w:val="both"/>
        <w:rPr>
          <w:rFonts w:asciiTheme="minorHAnsi" w:eastAsia="Times New Roman" w:hAnsiTheme="minorHAnsi" w:cstheme="minorHAnsi"/>
          <w:lang w:eastAsia="pt-BR"/>
        </w:rPr>
      </w:pPr>
      <w:r w:rsidRPr="00DC1A2A">
        <w:rPr>
          <w:rFonts w:asciiTheme="minorHAnsi" w:eastAsia="Times New Roman" w:hAnsiTheme="minorHAnsi" w:cstheme="minorHAnsi"/>
          <w:lang w:eastAsia="pt-BR"/>
        </w:rPr>
        <w:t>"Art. 1° Designar, para exercer o Emprego de Livre Provimento e Demissão de Coordenadora da Rede Integrada de Atendimento (RIA) do CAU/BR, previsto no Anexo I da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0073-09/2017, de 14 de dezembro de 2017, sem cumulatividade com os encargos do emprego efetivo ocupado, a Profissional Analista Superior, Arquiteta e Urbanista GISELLE MEDEIROS LIMA, a partir de 25 de fevereiro de 2019."</w:t>
      </w:r>
    </w:p>
    <w:p w14:paraId="22F651DF" w14:textId="161B067F" w:rsidR="00920AA8" w:rsidRPr="0099725E" w:rsidRDefault="00DC1A2A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C1A2A">
        <w:rPr>
          <w:rFonts w:asciiTheme="minorHAnsi" w:eastAsia="Times New Roman" w:hAnsiTheme="minorHAnsi" w:cstheme="minorHAnsi"/>
          <w:lang w:eastAsia="pt-BR"/>
        </w:rPr>
        <w:t>Art. 2º Esta Portaria entra em vigor na data de sua publicação no sítio eletrônico do CAU/BR na Rede Mundial de Computadores (Internet), no endereço www.caubr.gov.br, com efeitos a partir de 25 de fevereiro de 2019.</w:t>
      </w:r>
    </w:p>
    <w:p w14:paraId="77C321E8" w14:textId="755D8ED5" w:rsidR="00920AA8" w:rsidRPr="00920AA8" w:rsidRDefault="00920AA8" w:rsidP="00DC1A2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DC1A2A">
        <w:rPr>
          <w:rFonts w:asciiTheme="minorHAnsi" w:eastAsia="Times New Roman" w:hAnsiTheme="minorHAnsi" w:cstheme="minorHAnsi"/>
          <w:lang w:eastAsia="pt-BR"/>
        </w:rPr>
        <w:t>25 de fevereiro de 2019</w:t>
      </w:r>
    </w:p>
    <w:p w14:paraId="502C5D01" w14:textId="4D877AFC" w:rsidR="00DA4B8D" w:rsidRPr="00A547FC" w:rsidRDefault="00D34134" w:rsidP="00DC1A2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  <w:r w:rsidR="00DC1A2A">
        <w:rPr>
          <w:rFonts w:asciiTheme="minorHAnsi" w:eastAsia="Times New Roman" w:hAnsiTheme="minorHAnsi" w:cstheme="minorHAnsi"/>
          <w:lang w:eastAsia="pt-BR"/>
        </w:rPr>
        <w:br/>
      </w:r>
      <w:r w:rsidR="00920AA8"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A547FC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6505B" w14:textId="77777777" w:rsidR="00002AAF" w:rsidRDefault="00002AAF">
      <w:r>
        <w:separator/>
      </w:r>
    </w:p>
  </w:endnote>
  <w:endnote w:type="continuationSeparator" w:id="0">
    <w:p w14:paraId="591BD797" w14:textId="77777777" w:rsidR="00002AAF" w:rsidRDefault="0000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3DBCD" w14:textId="77777777" w:rsidR="00002AAF" w:rsidRDefault="00002AAF">
      <w:r>
        <w:separator/>
      </w:r>
    </w:p>
  </w:footnote>
  <w:footnote w:type="continuationSeparator" w:id="0">
    <w:p w14:paraId="5F6802AE" w14:textId="77777777" w:rsidR="00002AAF" w:rsidRDefault="00002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2AAF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2D9E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47FC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385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134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C1A2A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EA84-3603-4CF7-9637-9C132BFE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2022-02-11T20:13:00Z</dcterms:created>
  <dcterms:modified xsi:type="dcterms:W3CDTF">2022-02-11T20:13:00Z</dcterms:modified>
</cp:coreProperties>
</file>