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  <w:w w:val="105"/>
        </w:rPr>
        <w:t>PORTARIA PRES Nº 20, DE 14 DE MAIO DE 2012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03E4A84E" w14:textId="77777777" w:rsidR="00366B68" w:rsidRPr="00366B68" w:rsidRDefault="00366B68" w:rsidP="00366B68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366B68">
        <w:rPr>
          <w:rFonts w:asciiTheme="minorHAnsi" w:hAnsiTheme="minorHAnsi" w:cstheme="minorHAnsi"/>
          <w:w w:val="105"/>
        </w:rPr>
        <w:t>Designa a Arquiteta e Urbanista ANA CAROLINA CANUTO COELHO para exercer função de assessora técnica da Presidência do CAU/BR e dá outras providências.</w:t>
      </w:r>
    </w:p>
    <w:p w14:paraId="761971F4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w w:val="105"/>
        </w:rPr>
        <w:t>O</w:t>
      </w:r>
      <w:r w:rsidRPr="00366B68">
        <w:rPr>
          <w:rFonts w:asciiTheme="minorHAnsi" w:eastAsia="Arial" w:hAnsiTheme="minorHAnsi" w:cstheme="minorHAnsi"/>
          <w:spacing w:val="-25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Presidente</w:t>
      </w:r>
      <w:r w:rsidRPr="00366B68">
        <w:rPr>
          <w:rFonts w:asciiTheme="minorHAnsi" w:eastAsia="Arial" w:hAnsiTheme="minorHAnsi" w:cstheme="minorHAnsi"/>
          <w:spacing w:val="-10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do</w:t>
      </w:r>
      <w:r w:rsidRPr="00366B68">
        <w:rPr>
          <w:rFonts w:asciiTheme="minorHAnsi" w:eastAsia="Arial" w:hAnsiTheme="minorHAnsi" w:cstheme="minorHAnsi"/>
          <w:spacing w:val="-3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Conselho</w:t>
      </w:r>
      <w:r w:rsidRPr="00366B68">
        <w:rPr>
          <w:rFonts w:asciiTheme="minorHAnsi" w:eastAsia="Arial" w:hAnsiTheme="minorHAnsi" w:cstheme="minorHAnsi"/>
          <w:spacing w:val="-11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de</w:t>
      </w:r>
      <w:r w:rsidRPr="00366B68">
        <w:rPr>
          <w:rFonts w:asciiTheme="minorHAnsi" w:eastAsia="Arial" w:hAnsiTheme="minorHAnsi" w:cstheme="minorHAnsi"/>
          <w:spacing w:val="-16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Arquitetura</w:t>
      </w:r>
      <w:r w:rsidRPr="00366B68">
        <w:rPr>
          <w:rFonts w:asciiTheme="minorHAnsi" w:eastAsia="Arial" w:hAnsiTheme="minorHAnsi" w:cstheme="minorHAnsi"/>
          <w:spacing w:val="-3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e</w:t>
      </w:r>
      <w:r w:rsidRPr="00366B68">
        <w:rPr>
          <w:rFonts w:asciiTheme="minorHAnsi" w:eastAsia="Arial" w:hAnsiTheme="minorHAnsi" w:cstheme="minorHAnsi"/>
          <w:spacing w:val="-19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Urbanismo</w:t>
      </w:r>
      <w:r w:rsidRPr="00366B68">
        <w:rPr>
          <w:rFonts w:asciiTheme="minorHAnsi" w:eastAsia="Arial" w:hAnsiTheme="minorHAnsi" w:cstheme="minorHAnsi"/>
          <w:spacing w:val="-3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do</w:t>
      </w:r>
      <w:r w:rsidRPr="00366B68">
        <w:rPr>
          <w:rFonts w:asciiTheme="minorHAnsi" w:eastAsia="Arial" w:hAnsiTheme="minorHAnsi" w:cstheme="minorHAnsi"/>
          <w:spacing w:val="-17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Brasil</w:t>
      </w:r>
      <w:r w:rsidRPr="00366B68">
        <w:rPr>
          <w:rFonts w:asciiTheme="minorHAnsi" w:eastAsia="Arial" w:hAnsiTheme="minorHAnsi" w:cstheme="minorHAnsi"/>
          <w:spacing w:val="-21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spacing w:val="-3"/>
          <w:w w:val="105"/>
        </w:rPr>
        <w:t>(CAU/BR),</w:t>
      </w:r>
      <w:r w:rsidRPr="00366B68">
        <w:rPr>
          <w:rFonts w:asciiTheme="minorHAnsi" w:eastAsia="Arial" w:hAnsiTheme="minorHAnsi" w:cstheme="minorHAnsi"/>
          <w:spacing w:val="12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no</w:t>
      </w:r>
      <w:r w:rsidRPr="00366B68">
        <w:rPr>
          <w:rFonts w:asciiTheme="minorHAnsi" w:eastAsia="Arial" w:hAnsiTheme="minorHAnsi" w:cstheme="minorHAnsi"/>
          <w:spacing w:val="43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uso</w:t>
      </w:r>
      <w:r w:rsidRPr="00366B68">
        <w:rPr>
          <w:rFonts w:asciiTheme="minorHAnsi" w:eastAsia="Arial" w:hAnsiTheme="minorHAnsi" w:cstheme="minorHAnsi"/>
          <w:spacing w:val="-21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das</w:t>
      </w:r>
      <w:r w:rsidRPr="00366B68">
        <w:rPr>
          <w:rFonts w:asciiTheme="minorHAnsi" w:eastAsia="Arial" w:hAnsiTheme="minorHAnsi" w:cstheme="minorHAnsi"/>
          <w:spacing w:val="-26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atribuições que lhe conferem o art. 29, inciso III da Lei nº 12.378, de 31 de dezembro de 2010, e o art. 32, inciso VI do Regimento Geral Provisório do</w:t>
      </w:r>
      <w:r w:rsidRPr="00366B68">
        <w:rPr>
          <w:rFonts w:asciiTheme="minorHAnsi" w:eastAsia="Arial" w:hAnsiTheme="minorHAnsi" w:cstheme="minorHAnsi"/>
          <w:spacing w:val="-40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CAU/BR;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0B9D1C3A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2010ADA9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line="290" w:lineRule="auto"/>
        <w:ind w:right="111"/>
        <w:jc w:val="both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w w:val="105"/>
        </w:rPr>
        <w:t xml:space="preserve">Art. </w:t>
      </w:r>
      <w:r w:rsidRPr="00366B68">
        <w:rPr>
          <w:rFonts w:asciiTheme="minorHAnsi" w:eastAsia="Arial" w:hAnsiTheme="minorHAnsi" w:cstheme="minorHAnsi"/>
          <w:spacing w:val="-3"/>
          <w:w w:val="105"/>
        </w:rPr>
        <w:t xml:space="preserve">1º </w:t>
      </w:r>
      <w:r w:rsidRPr="00366B68">
        <w:rPr>
          <w:rFonts w:asciiTheme="minorHAnsi" w:eastAsia="Arial" w:hAnsiTheme="minorHAnsi" w:cstheme="minorHAnsi"/>
          <w:w w:val="105"/>
        </w:rPr>
        <w:t>Designar a Arquiteta e Urbanista, ANA CAROLINA CANUTO COELHO, ocupante do emprego temporário de nível superior de arquiteto do Quadro Provisório de Pessoal do CAU/BR, para exercer a função de Assessora Técnica da Presidência do Conselho de Arquitetura e Urbanismo</w:t>
      </w:r>
      <w:r w:rsidRPr="00366B68">
        <w:rPr>
          <w:rFonts w:asciiTheme="minorHAnsi" w:eastAsia="Arial" w:hAnsiTheme="minorHAnsi" w:cstheme="minorHAnsi"/>
          <w:spacing w:val="-4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do</w:t>
      </w:r>
      <w:r w:rsidRPr="00366B68">
        <w:rPr>
          <w:rFonts w:asciiTheme="minorHAnsi" w:eastAsia="Arial" w:hAnsiTheme="minorHAnsi" w:cstheme="minorHAnsi"/>
          <w:spacing w:val="-14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Brasil</w:t>
      </w:r>
      <w:r w:rsidRPr="00366B68">
        <w:rPr>
          <w:rFonts w:asciiTheme="minorHAnsi" w:eastAsia="Arial" w:hAnsiTheme="minorHAnsi" w:cstheme="minorHAnsi"/>
          <w:spacing w:val="-14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(CAU/BR),</w:t>
      </w:r>
      <w:r w:rsidRPr="00366B68">
        <w:rPr>
          <w:rFonts w:asciiTheme="minorHAnsi" w:eastAsia="Arial" w:hAnsiTheme="minorHAnsi" w:cstheme="minorHAnsi"/>
          <w:spacing w:val="-7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ficando,</w:t>
      </w:r>
      <w:r w:rsidRPr="00366B68">
        <w:rPr>
          <w:rFonts w:asciiTheme="minorHAnsi" w:eastAsia="Arial" w:hAnsiTheme="minorHAnsi" w:cstheme="minorHAnsi"/>
          <w:spacing w:val="-16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em</w:t>
      </w:r>
      <w:r w:rsidRPr="00366B68">
        <w:rPr>
          <w:rFonts w:asciiTheme="minorHAnsi" w:eastAsia="Arial" w:hAnsiTheme="minorHAnsi" w:cstheme="minorHAnsi"/>
          <w:spacing w:val="-17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consequência,</w:t>
      </w:r>
      <w:r w:rsidRPr="00366B68">
        <w:rPr>
          <w:rFonts w:asciiTheme="minorHAnsi" w:eastAsia="Arial" w:hAnsiTheme="minorHAnsi" w:cstheme="minorHAnsi"/>
          <w:spacing w:val="-8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dispensada</w:t>
      </w:r>
      <w:r w:rsidRPr="00366B68">
        <w:rPr>
          <w:rFonts w:asciiTheme="minorHAnsi" w:eastAsia="Arial" w:hAnsiTheme="minorHAnsi" w:cstheme="minorHAnsi"/>
          <w:spacing w:val="-3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das</w:t>
      </w:r>
      <w:r w:rsidRPr="00366B68">
        <w:rPr>
          <w:rFonts w:asciiTheme="minorHAnsi" w:eastAsia="Arial" w:hAnsiTheme="minorHAnsi" w:cstheme="minorHAnsi"/>
          <w:spacing w:val="-17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funções</w:t>
      </w:r>
      <w:r w:rsidRPr="00366B68">
        <w:rPr>
          <w:rFonts w:asciiTheme="minorHAnsi" w:eastAsia="Arial" w:hAnsiTheme="minorHAnsi" w:cstheme="minorHAnsi"/>
          <w:spacing w:val="-9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de</w:t>
      </w:r>
      <w:r w:rsidRPr="00366B68">
        <w:rPr>
          <w:rFonts w:asciiTheme="minorHAnsi" w:eastAsia="Arial" w:hAnsiTheme="minorHAnsi" w:cstheme="minorHAnsi"/>
          <w:spacing w:val="-20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assessoria a</w:t>
      </w:r>
      <w:r w:rsidRPr="00366B68">
        <w:rPr>
          <w:rFonts w:asciiTheme="minorHAnsi" w:eastAsia="Arial" w:hAnsiTheme="minorHAnsi" w:cstheme="minorHAnsi"/>
          <w:spacing w:val="-11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comissões</w:t>
      </w:r>
      <w:r w:rsidRPr="00366B68">
        <w:rPr>
          <w:rFonts w:asciiTheme="minorHAnsi" w:eastAsia="Arial" w:hAnsiTheme="minorHAnsi" w:cstheme="minorHAnsi"/>
          <w:spacing w:val="-7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temáticas</w:t>
      </w:r>
      <w:r w:rsidRPr="00366B68">
        <w:rPr>
          <w:rFonts w:asciiTheme="minorHAnsi" w:eastAsia="Arial" w:hAnsiTheme="minorHAnsi" w:cstheme="minorHAnsi"/>
          <w:spacing w:val="-6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e</w:t>
      </w:r>
      <w:r w:rsidRPr="00366B68">
        <w:rPr>
          <w:rFonts w:asciiTheme="minorHAnsi" w:eastAsia="Arial" w:hAnsiTheme="minorHAnsi" w:cstheme="minorHAnsi"/>
          <w:spacing w:val="-14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grupos</w:t>
      </w:r>
      <w:r w:rsidRPr="00366B68">
        <w:rPr>
          <w:rFonts w:asciiTheme="minorHAnsi" w:eastAsia="Arial" w:hAnsiTheme="minorHAnsi" w:cstheme="minorHAnsi"/>
          <w:spacing w:val="-9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de</w:t>
      </w:r>
      <w:r w:rsidRPr="00366B68">
        <w:rPr>
          <w:rFonts w:asciiTheme="minorHAnsi" w:eastAsia="Arial" w:hAnsiTheme="minorHAnsi" w:cstheme="minorHAnsi"/>
          <w:spacing w:val="-19"/>
          <w:w w:val="105"/>
        </w:rPr>
        <w:t xml:space="preserve"> </w:t>
      </w:r>
      <w:r w:rsidRPr="00366B68">
        <w:rPr>
          <w:rFonts w:asciiTheme="minorHAnsi" w:eastAsia="Arial" w:hAnsiTheme="minorHAnsi" w:cstheme="minorHAnsi"/>
          <w:w w:val="105"/>
        </w:rPr>
        <w:t>trabalho.</w:t>
      </w:r>
    </w:p>
    <w:p w14:paraId="3AE2F839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</w:p>
    <w:p w14:paraId="654A9C5B" w14:textId="77777777" w:rsidR="00366B68" w:rsidRDefault="00366B68" w:rsidP="00366B68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w w:val="105"/>
        </w:rPr>
      </w:pPr>
    </w:p>
    <w:p w14:paraId="69854DE3" w14:textId="3A09DD73" w:rsidR="00366B68" w:rsidRPr="00366B68" w:rsidRDefault="00366B68" w:rsidP="00366B68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w w:val="105"/>
        </w:rPr>
      </w:pPr>
      <w:bookmarkStart w:id="0" w:name="_GoBack"/>
      <w:bookmarkEnd w:id="0"/>
      <w:r w:rsidRPr="00366B68">
        <w:rPr>
          <w:rFonts w:asciiTheme="minorHAnsi" w:eastAsia="Arial" w:hAnsiTheme="minorHAnsi" w:cstheme="minorHAnsi"/>
          <w:w w:val="105"/>
        </w:rPr>
        <w:t>Art. 2º Esta Portaria entra em vigor nesta data.</w:t>
      </w:r>
    </w:p>
    <w:p w14:paraId="27431A27" w14:textId="77777777" w:rsidR="00366B68" w:rsidRPr="00366B68" w:rsidRDefault="00366B68" w:rsidP="00366B6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44F10C0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Brasília, 8 de maio de 2012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0D408" w14:textId="77777777" w:rsidR="00765944" w:rsidRDefault="00765944">
      <w:r>
        <w:separator/>
      </w:r>
    </w:p>
  </w:endnote>
  <w:endnote w:type="continuationSeparator" w:id="0">
    <w:p w14:paraId="1AB9E9EE" w14:textId="77777777" w:rsidR="00765944" w:rsidRDefault="007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10FE" w14:textId="77777777" w:rsidR="00765944" w:rsidRDefault="00765944">
      <w:r>
        <w:separator/>
      </w:r>
    </w:p>
  </w:footnote>
  <w:footnote w:type="continuationSeparator" w:id="0">
    <w:p w14:paraId="1F0A8A8C" w14:textId="77777777" w:rsidR="00765944" w:rsidRDefault="0076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EDA0-A012-4950-876A-A490A2B5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2022-02-04T16:11:00Z</dcterms:created>
  <dcterms:modified xsi:type="dcterms:W3CDTF">2022-02-04T16:11:00Z</dcterms:modified>
</cp:coreProperties>
</file>