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D4E3" w14:textId="77777777" w:rsidR="00920AA8" w:rsidRDefault="00920AA8" w:rsidP="00920AA8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t-BR"/>
        </w:rPr>
      </w:pPr>
    </w:p>
    <w:p w14:paraId="5F892D96" w14:textId="2444DAA4" w:rsidR="00920AA8" w:rsidRPr="0099725E" w:rsidRDefault="00B16823" w:rsidP="0099725E">
      <w:pPr>
        <w:spacing w:before="94"/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P</w:t>
      </w:r>
      <w:r w:rsidR="00702E55" w:rsidRPr="00702E55">
        <w:rPr>
          <w:rFonts w:asciiTheme="minorHAnsi" w:hAnsiTheme="minorHAnsi" w:cstheme="minorHAnsi"/>
          <w:b/>
          <w:w w:val="105"/>
        </w:rPr>
        <w:t>ORTARIA PRES N° 157, DE 21 DE JULHO DE 2016</w:t>
      </w:r>
    </w:p>
    <w:p w14:paraId="4BF8E678" w14:textId="77777777" w:rsidR="00920AA8" w:rsidRPr="0099725E" w:rsidRDefault="00920AA8" w:rsidP="0099725E">
      <w:pPr>
        <w:spacing w:before="94"/>
        <w:jc w:val="both"/>
        <w:rPr>
          <w:rFonts w:asciiTheme="minorHAnsi" w:hAnsiTheme="minorHAnsi" w:cstheme="minorHAnsi"/>
        </w:rPr>
      </w:pPr>
    </w:p>
    <w:p w14:paraId="583F8F6C" w14:textId="02A29B68" w:rsidR="00920AA8" w:rsidRPr="0099725E" w:rsidRDefault="00702E55" w:rsidP="0099725E">
      <w:pPr>
        <w:pStyle w:val="Corpodetexto"/>
        <w:spacing w:before="124" w:line="283" w:lineRule="auto"/>
        <w:ind w:left="4320"/>
        <w:jc w:val="both"/>
        <w:rPr>
          <w:rFonts w:asciiTheme="minorHAnsi" w:hAnsiTheme="minorHAnsi" w:cstheme="minorHAnsi"/>
          <w:w w:val="105"/>
        </w:rPr>
      </w:pPr>
      <w:r w:rsidRPr="00702E55">
        <w:rPr>
          <w:rFonts w:asciiTheme="minorHAnsi" w:hAnsiTheme="minorHAnsi" w:cstheme="minorHAnsi"/>
          <w:w w:val="105"/>
        </w:rPr>
        <w:t>Revoga a Portaria PRES n° 124, de 23 de setembro de 2015, que dispunha sobre a Comissão de Prospecção Imobiliária para escolha de imóvel destinado a sede própria do CAU/BR, e dá outras providências.</w:t>
      </w:r>
    </w:p>
    <w:p w14:paraId="7A19D478" w14:textId="77777777" w:rsidR="00920AA8" w:rsidRPr="0099725E" w:rsidRDefault="00920AA8" w:rsidP="0099725E">
      <w:pPr>
        <w:pStyle w:val="Corpodetexto"/>
        <w:spacing w:before="124" w:line="283" w:lineRule="auto"/>
        <w:ind w:left="6009"/>
        <w:jc w:val="both"/>
        <w:rPr>
          <w:rFonts w:asciiTheme="minorHAnsi" w:hAnsiTheme="minorHAnsi" w:cstheme="minorHAnsi"/>
        </w:rPr>
      </w:pPr>
    </w:p>
    <w:p w14:paraId="1E015E3E" w14:textId="124042AA" w:rsidR="00920AA8" w:rsidRDefault="00C10399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C10399">
        <w:rPr>
          <w:rFonts w:asciiTheme="minorHAnsi" w:eastAsia="Times New Roman" w:hAnsiTheme="minorHAnsi" w:cstheme="minorHAnsi"/>
          <w:lang w:eastAsia="pt-BR"/>
        </w:rPr>
        <w:t xml:space="preserve">O Presidente </w:t>
      </w:r>
      <w:r w:rsidR="00702E55" w:rsidRPr="00702E55">
        <w:rPr>
          <w:rFonts w:asciiTheme="minorHAnsi" w:eastAsia="Times New Roman" w:hAnsiTheme="minorHAnsi" w:cstheme="minorHAnsi"/>
          <w:lang w:eastAsia="pt-BR"/>
        </w:rPr>
        <w:t>do Conselho de Arquitetura e Urbanismo do Brasil (CAU/BR), no uso das atribuições que lhe conferem o art. 29, inciso III da Lei n° 12.378, de 31 de dezembro de 2010, e o art. VII do Regimento Geral aprovado pela Resolução CAU/BR n° 33 de 6 de setembro de 2012; e</w:t>
      </w:r>
    </w:p>
    <w:p w14:paraId="34C7407A" w14:textId="613A2F6C" w:rsidR="00702E55" w:rsidRPr="00702E55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>Considerando que a Comissão de Prospecção Imobiliária do CAU/BR, criada e disciplinada pela Portaria PRES n° 124, de 23 de setembro de 2015, selecionou para negociação de aquisição de interesse do CAU/BR os imóveis localizados no SCN, quadra 1, Edifício Rossi Esplanada Business, Unidades 1401 a 1410 e 1501 a 1516, em Brasíl</w:t>
      </w:r>
      <w:r>
        <w:rPr>
          <w:rFonts w:asciiTheme="minorHAnsi" w:eastAsia="Times New Roman" w:hAnsiTheme="minorHAnsi" w:cstheme="minorHAnsi"/>
          <w:lang w:eastAsia="pt-BR"/>
        </w:rPr>
        <w:t>ia (DF);</w:t>
      </w:r>
    </w:p>
    <w:p w14:paraId="5CC3EBB9" w14:textId="6F9A755C" w:rsidR="00702E55" w:rsidRPr="00702E55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>Considerando que a negociação com as Unidades do Edifício Rossi Esplanada Business não teve seguimento em razão da falta da documentação necessária à efetivação da operação de compra e venda e pelo fato de a proponente não ter admitido a proposta de parcelamento nos</w:t>
      </w:r>
      <w:r>
        <w:rPr>
          <w:rFonts w:asciiTheme="minorHAnsi" w:eastAsia="Times New Roman" w:hAnsiTheme="minorHAnsi" w:cstheme="minorHAnsi"/>
          <w:lang w:eastAsia="pt-BR"/>
        </w:rPr>
        <w:t xml:space="preserve"> termos formulados pelo CAU/BR;</w:t>
      </w:r>
    </w:p>
    <w:p w14:paraId="511563D2" w14:textId="6FC896AA" w:rsidR="00702E55" w:rsidRPr="00702E55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 xml:space="preserve">Considerando que, sucessivamente à frustração das negociações relacionadas às Unidades do Edifício Rossi Esplanada Business, foram promovidas negociações com o Instituto de Arquitetos do brasil – Departamento do Distrito Federal (IAB/DF), com vistas à construção, em terreno de propriedade do IAB/DF, de conjunto arquitetônico destinado a abrigar </w:t>
      </w:r>
      <w:r>
        <w:rPr>
          <w:rFonts w:asciiTheme="minorHAnsi" w:eastAsia="Times New Roman" w:hAnsiTheme="minorHAnsi" w:cstheme="minorHAnsi"/>
          <w:lang w:eastAsia="pt-BR"/>
        </w:rPr>
        <w:t>as sedes do CAU/BR e do IAB/DF;</w:t>
      </w:r>
    </w:p>
    <w:p w14:paraId="5EB50E9C" w14:textId="194214E5" w:rsidR="00702E55" w:rsidRPr="00702E55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>Considerando que, durante a Reunião Plenária Ordinária n° 56, realizada em 21 de julho de 2016, o CAU/BR e o IAB/DF firmaram CONTRATO DE PARCERIA PARA CONSTRUÇÃO CONJUNTA DE SEDES, por meio do qual ajustaram o estabelecimento de direitos e obrigações das partes com vistas à construção, no terreno situado no SGAS, Quadra 603, Lote 21, em Brasília (DF), de propriedade do IAB/DF, de conjunto arquitetônico destinado a abrigar as sedes do CAU/BR e do IAB/DF;</w:t>
      </w:r>
    </w:p>
    <w:p w14:paraId="08DA9DB6" w14:textId="62FE4DD0" w:rsidR="00702E55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>Considerando que com a assinatura do CONTRATO DE PARCERIA PARA CONSTRUÇÃO CONJUNTA DE SEDES ficam prejudicadas as competências previstas no art. 3°, incisos II, III e IV da Portaria PRES n° 124, de 23 de setembro de 2015;</w:t>
      </w:r>
    </w:p>
    <w:p w14:paraId="5345818B" w14:textId="77777777" w:rsidR="00DA3C93" w:rsidRPr="0099725E" w:rsidRDefault="00DA3C93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6C7E1B" w14:textId="2C879288" w:rsidR="00920AA8" w:rsidRPr="0099725E" w:rsidRDefault="00920AA8" w:rsidP="0099725E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b/>
          <w:bCs/>
          <w:lang w:eastAsia="pt-BR"/>
        </w:rPr>
        <w:lastRenderedPageBreak/>
        <w:t>RESOLVE:</w:t>
      </w:r>
      <w:r w:rsidR="00DA3C93">
        <w:rPr>
          <w:rFonts w:asciiTheme="minorHAnsi" w:eastAsia="Times New Roman" w:hAnsiTheme="minorHAnsi" w:cstheme="minorHAnsi"/>
          <w:b/>
          <w:bCs/>
          <w:lang w:eastAsia="pt-BR"/>
        </w:rPr>
        <w:br/>
      </w:r>
    </w:p>
    <w:p w14:paraId="5EE6D822" w14:textId="77777777" w:rsidR="00702E55" w:rsidRPr="00702E55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>Art. 1° Revogar a Portaria PRES n° 124, de setembro de 2015.</w:t>
      </w:r>
    </w:p>
    <w:p w14:paraId="22F651DF" w14:textId="5F1FF816" w:rsidR="00920AA8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r w:rsidRPr="00702E55">
        <w:rPr>
          <w:rFonts w:asciiTheme="minorHAnsi" w:eastAsia="Times New Roman" w:hAnsiTheme="minorHAnsi" w:cstheme="minorHAnsi"/>
          <w:lang w:eastAsia="pt-BR"/>
        </w:rPr>
        <w:t xml:space="preserve">Art. 2° Esta Portaria entra em vigor na data de sua publicação no sitio eletrônico do CAU/BR na Rede Mundial de Computadores (Internet), no endereço </w:t>
      </w:r>
      <w:hyperlink r:id="rId8" w:history="1">
        <w:r w:rsidRPr="0058273A">
          <w:rPr>
            <w:rStyle w:val="Hyperlink"/>
            <w:rFonts w:asciiTheme="minorHAnsi" w:eastAsia="Times New Roman" w:hAnsiTheme="minorHAnsi" w:cstheme="minorHAnsi"/>
            <w:lang w:eastAsia="pt-BR"/>
          </w:rPr>
          <w:t>www.caubr.gov.br</w:t>
        </w:r>
      </w:hyperlink>
      <w:r w:rsidRPr="00702E55">
        <w:rPr>
          <w:rFonts w:asciiTheme="minorHAnsi" w:eastAsia="Times New Roman" w:hAnsiTheme="minorHAnsi" w:cstheme="minorHAnsi"/>
          <w:lang w:eastAsia="pt-BR"/>
        </w:rPr>
        <w:t>, com efeitos a partir de 21 de julho de 2016</w:t>
      </w:r>
    </w:p>
    <w:p w14:paraId="018DA31D" w14:textId="77777777" w:rsidR="00702E55" w:rsidRPr="0099725E" w:rsidRDefault="00702E55" w:rsidP="00702E55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t-BR"/>
        </w:rPr>
      </w:pPr>
      <w:bookmarkStart w:id="0" w:name="_GoBack"/>
      <w:bookmarkEnd w:id="0"/>
    </w:p>
    <w:p w14:paraId="558C4DA1" w14:textId="370979AD" w:rsidR="00920AA8" w:rsidRPr="0099725E" w:rsidRDefault="00920AA8" w:rsidP="006A30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9725E">
        <w:rPr>
          <w:rFonts w:asciiTheme="minorHAnsi" w:eastAsia="Times New Roman" w:hAnsiTheme="minorHAnsi" w:cstheme="minorHAnsi"/>
          <w:lang w:eastAsia="pt-BR"/>
        </w:rPr>
        <w:t>Brasília</w:t>
      </w:r>
      <w:r w:rsidR="00702E55">
        <w:rPr>
          <w:rFonts w:asciiTheme="minorHAnsi" w:eastAsia="Times New Roman" w:hAnsiTheme="minorHAnsi" w:cstheme="minorHAnsi"/>
          <w:lang w:eastAsia="pt-BR"/>
        </w:rPr>
        <w:t>, 21 de julho de 2016</w:t>
      </w:r>
    </w:p>
    <w:p w14:paraId="21814865" w14:textId="77777777" w:rsid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77C321E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</w:p>
    <w:p w14:paraId="028AEF96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b/>
          <w:bCs/>
          <w:lang w:eastAsia="pt-BR"/>
        </w:rPr>
        <w:t>HAROLDO PINHEIRO VILLAR DE QUEIROZ</w:t>
      </w:r>
    </w:p>
    <w:p w14:paraId="2715F5A8" w14:textId="77777777" w:rsidR="00920AA8" w:rsidRPr="00920AA8" w:rsidRDefault="00920AA8" w:rsidP="00920AA8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pt-BR"/>
        </w:rPr>
      </w:pPr>
      <w:r w:rsidRPr="00920AA8">
        <w:rPr>
          <w:rFonts w:asciiTheme="minorHAnsi" w:eastAsia="Times New Roman" w:hAnsiTheme="minorHAnsi" w:cstheme="minorHAnsi"/>
          <w:lang w:eastAsia="pt-BR"/>
        </w:rPr>
        <w:t>Presidente do CAU/BR</w:t>
      </w:r>
    </w:p>
    <w:p w14:paraId="502C5D01" w14:textId="77777777" w:rsidR="00DA4B8D" w:rsidRPr="00920AA8" w:rsidRDefault="00DA4B8D" w:rsidP="00920AA8">
      <w:pPr>
        <w:rPr>
          <w:rFonts w:asciiTheme="minorHAnsi" w:hAnsiTheme="minorHAnsi" w:cstheme="minorHAnsi"/>
        </w:rPr>
      </w:pPr>
    </w:p>
    <w:sectPr w:rsidR="00DA4B8D" w:rsidRPr="00920AA8" w:rsidSect="00B13CBF">
      <w:headerReference w:type="default" r:id="rId9"/>
      <w:footerReference w:type="default" r:id="rId10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2A969" w14:textId="77777777" w:rsidR="00390E21" w:rsidRDefault="00390E21">
      <w:r>
        <w:separator/>
      </w:r>
    </w:p>
  </w:endnote>
  <w:endnote w:type="continuationSeparator" w:id="0">
    <w:p w14:paraId="23B9C158" w14:textId="77777777" w:rsidR="00390E21" w:rsidRDefault="0039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14F1B" w14:textId="77777777" w:rsidR="00390E21" w:rsidRDefault="00390E21">
      <w:r>
        <w:separator/>
      </w:r>
    </w:p>
  </w:footnote>
  <w:footnote w:type="continuationSeparator" w:id="0">
    <w:p w14:paraId="552CD00B" w14:textId="77777777" w:rsidR="00390E21" w:rsidRDefault="0039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950B3F"/>
    <w:multiLevelType w:val="multilevel"/>
    <w:tmpl w:val="2F2E5ECA"/>
    <w:lvl w:ilvl="0">
      <w:start w:val="6"/>
      <w:numFmt w:val="upperRoman"/>
      <w:lvlText w:val="%1"/>
      <w:lvlJc w:val="left"/>
      <w:pPr>
        <w:ind w:left="1449" w:hanging="247"/>
      </w:pPr>
      <w:rPr>
        <w:rFonts w:ascii="Arial" w:eastAsia="Arial" w:hAnsi="Arial" w:cs="Arial"/>
        <w:color w:val="525454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2388" w:hanging="247"/>
      </w:pPr>
    </w:lvl>
    <w:lvl w:ilvl="2">
      <w:numFmt w:val="bullet"/>
      <w:lvlText w:val="•"/>
      <w:lvlJc w:val="left"/>
      <w:pPr>
        <w:ind w:left="3336" w:hanging="247"/>
      </w:pPr>
    </w:lvl>
    <w:lvl w:ilvl="3">
      <w:numFmt w:val="bullet"/>
      <w:lvlText w:val="•"/>
      <w:lvlJc w:val="left"/>
      <w:pPr>
        <w:ind w:left="4284" w:hanging="247"/>
      </w:pPr>
    </w:lvl>
    <w:lvl w:ilvl="4">
      <w:numFmt w:val="bullet"/>
      <w:lvlText w:val="•"/>
      <w:lvlJc w:val="left"/>
      <w:pPr>
        <w:ind w:left="5232" w:hanging="247"/>
      </w:pPr>
    </w:lvl>
    <w:lvl w:ilvl="5">
      <w:numFmt w:val="bullet"/>
      <w:lvlText w:val="•"/>
      <w:lvlJc w:val="left"/>
      <w:pPr>
        <w:ind w:left="6180" w:hanging="247"/>
      </w:pPr>
    </w:lvl>
    <w:lvl w:ilvl="6">
      <w:numFmt w:val="bullet"/>
      <w:lvlText w:val="•"/>
      <w:lvlJc w:val="left"/>
      <w:pPr>
        <w:ind w:left="7128" w:hanging="247"/>
      </w:pPr>
    </w:lvl>
    <w:lvl w:ilvl="7">
      <w:numFmt w:val="bullet"/>
      <w:lvlText w:val="•"/>
      <w:lvlJc w:val="left"/>
      <w:pPr>
        <w:ind w:left="8076" w:hanging="247"/>
      </w:pPr>
    </w:lvl>
    <w:lvl w:ilvl="8">
      <w:numFmt w:val="bullet"/>
      <w:lvlText w:val="•"/>
      <w:lvlJc w:val="left"/>
      <w:pPr>
        <w:ind w:left="9024" w:hanging="247"/>
      </w:pPr>
    </w:lvl>
  </w:abstractNum>
  <w:abstractNum w:abstractNumId="16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7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8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9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1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99B1B7B"/>
    <w:multiLevelType w:val="multilevel"/>
    <w:tmpl w:val="C9A2C388"/>
    <w:lvl w:ilvl="0">
      <w:start w:val="6"/>
      <w:numFmt w:val="upperRoman"/>
      <w:lvlText w:val="%1"/>
      <w:lvlJc w:val="left"/>
      <w:pPr>
        <w:ind w:left="370" w:hanging="247"/>
      </w:pPr>
      <w:rPr>
        <w:rFonts w:ascii="Arial" w:eastAsia="Arial" w:hAnsi="Arial" w:cs="Arial"/>
        <w:color w:val="4F524F"/>
        <w:spacing w:val="-1"/>
        <w:w w:val="107"/>
        <w:sz w:val="21"/>
        <w:szCs w:val="21"/>
      </w:rPr>
    </w:lvl>
    <w:lvl w:ilvl="1">
      <w:numFmt w:val="bullet"/>
      <w:lvlText w:val="•"/>
      <w:lvlJc w:val="left"/>
      <w:pPr>
        <w:ind w:left="1312" w:hanging="247"/>
      </w:pPr>
    </w:lvl>
    <w:lvl w:ilvl="2">
      <w:numFmt w:val="bullet"/>
      <w:lvlText w:val="•"/>
      <w:lvlJc w:val="left"/>
      <w:pPr>
        <w:ind w:left="2244" w:hanging="247"/>
      </w:pPr>
    </w:lvl>
    <w:lvl w:ilvl="3">
      <w:numFmt w:val="bullet"/>
      <w:lvlText w:val="•"/>
      <w:lvlJc w:val="left"/>
      <w:pPr>
        <w:ind w:left="3176" w:hanging="247"/>
      </w:pPr>
    </w:lvl>
    <w:lvl w:ilvl="4">
      <w:numFmt w:val="bullet"/>
      <w:lvlText w:val="•"/>
      <w:lvlJc w:val="left"/>
      <w:pPr>
        <w:ind w:left="4108" w:hanging="247"/>
      </w:pPr>
    </w:lvl>
    <w:lvl w:ilvl="5">
      <w:numFmt w:val="bullet"/>
      <w:lvlText w:val="•"/>
      <w:lvlJc w:val="left"/>
      <w:pPr>
        <w:ind w:left="5040" w:hanging="247"/>
      </w:pPr>
    </w:lvl>
    <w:lvl w:ilvl="6">
      <w:numFmt w:val="bullet"/>
      <w:lvlText w:val="•"/>
      <w:lvlJc w:val="left"/>
      <w:pPr>
        <w:ind w:left="5972" w:hanging="247"/>
      </w:pPr>
    </w:lvl>
    <w:lvl w:ilvl="7">
      <w:numFmt w:val="bullet"/>
      <w:lvlText w:val="•"/>
      <w:lvlJc w:val="left"/>
      <w:pPr>
        <w:ind w:left="6904" w:hanging="247"/>
      </w:pPr>
    </w:lvl>
    <w:lvl w:ilvl="8">
      <w:numFmt w:val="bullet"/>
      <w:lvlText w:val="•"/>
      <w:lvlJc w:val="left"/>
      <w:pPr>
        <w:ind w:left="7836" w:hanging="247"/>
      </w:pPr>
    </w:lvl>
  </w:abstractNum>
  <w:abstractNum w:abstractNumId="23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4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6"/>
  </w:num>
  <w:num w:numId="7">
    <w:abstractNumId w:val="17"/>
  </w:num>
  <w:num w:numId="8">
    <w:abstractNumId w:val="7"/>
  </w:num>
  <w:num w:numId="9">
    <w:abstractNumId w:val="16"/>
  </w:num>
  <w:num w:numId="10">
    <w:abstractNumId w:val="25"/>
  </w:num>
  <w:num w:numId="11">
    <w:abstractNumId w:val="1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1"/>
  </w:num>
  <w:num w:numId="20">
    <w:abstractNumId w:val="3"/>
  </w:num>
  <w:num w:numId="21">
    <w:abstractNumId w:val="4"/>
  </w:num>
  <w:num w:numId="22">
    <w:abstractNumId w:val="1"/>
  </w:num>
  <w:num w:numId="23">
    <w:abstractNumId w:val="24"/>
  </w:num>
  <w:num w:numId="24">
    <w:abstractNumId w:val="8"/>
  </w:num>
  <w:num w:numId="25">
    <w:abstractNumId w:val="22"/>
  </w:num>
  <w:num w:numId="2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672B0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0A3"/>
    <w:rsid w:val="000B7E1A"/>
    <w:rsid w:val="000D6DB2"/>
    <w:rsid w:val="000E1D5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1E15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B1991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58B9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612"/>
    <w:rsid w:val="002E1901"/>
    <w:rsid w:val="002E25D5"/>
    <w:rsid w:val="002E4A91"/>
    <w:rsid w:val="002F47A8"/>
    <w:rsid w:val="002F4954"/>
    <w:rsid w:val="00303B34"/>
    <w:rsid w:val="00303FBC"/>
    <w:rsid w:val="00305A87"/>
    <w:rsid w:val="00306677"/>
    <w:rsid w:val="00312BFE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0E21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67428"/>
    <w:rsid w:val="00471D11"/>
    <w:rsid w:val="00473831"/>
    <w:rsid w:val="00474B77"/>
    <w:rsid w:val="00477659"/>
    <w:rsid w:val="00480049"/>
    <w:rsid w:val="00490E3E"/>
    <w:rsid w:val="0049162C"/>
    <w:rsid w:val="004921AD"/>
    <w:rsid w:val="00492F35"/>
    <w:rsid w:val="00494576"/>
    <w:rsid w:val="004A0C55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4EA3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4587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09B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0CF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02E5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3CE"/>
    <w:rsid w:val="007536EA"/>
    <w:rsid w:val="00756C57"/>
    <w:rsid w:val="00760B6F"/>
    <w:rsid w:val="007613C6"/>
    <w:rsid w:val="00764243"/>
    <w:rsid w:val="00770AFA"/>
    <w:rsid w:val="0077247E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5D45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0AA8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9725E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61D"/>
    <w:rsid w:val="009F0878"/>
    <w:rsid w:val="009F0CDF"/>
    <w:rsid w:val="009F2723"/>
    <w:rsid w:val="009F5AA2"/>
    <w:rsid w:val="00A0535C"/>
    <w:rsid w:val="00A10F60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4B4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16823"/>
    <w:rsid w:val="00B21629"/>
    <w:rsid w:val="00B25110"/>
    <w:rsid w:val="00B25BDE"/>
    <w:rsid w:val="00B27848"/>
    <w:rsid w:val="00B31A06"/>
    <w:rsid w:val="00B31F82"/>
    <w:rsid w:val="00B323CA"/>
    <w:rsid w:val="00B43E4C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72B8A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C55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399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47D0F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2F3D"/>
    <w:rsid w:val="00C835E6"/>
    <w:rsid w:val="00C8789E"/>
    <w:rsid w:val="00C87AC6"/>
    <w:rsid w:val="00C90F0B"/>
    <w:rsid w:val="00C91AFA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24B39"/>
    <w:rsid w:val="00D25618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3C93"/>
    <w:rsid w:val="00DA4646"/>
    <w:rsid w:val="00DA4B8D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6848"/>
    <w:rsid w:val="00EE7266"/>
    <w:rsid w:val="00EF089D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A8E"/>
    <w:rsid w:val="00F33F29"/>
    <w:rsid w:val="00F407C4"/>
    <w:rsid w:val="00F412F1"/>
    <w:rsid w:val="00F44A24"/>
    <w:rsid w:val="00F60812"/>
    <w:rsid w:val="00F608B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39BB"/>
    <w:rsid w:val="00F747B3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DF13-34EA-4A54-84AB-2B29F2A8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Laura Caroline Gomes da Silva</cp:lastModifiedBy>
  <cp:revision>2</cp:revision>
  <cp:lastPrinted>2022-02-04T14:36:00Z</cp:lastPrinted>
  <dcterms:created xsi:type="dcterms:W3CDTF">2022-02-08T20:37:00Z</dcterms:created>
  <dcterms:modified xsi:type="dcterms:W3CDTF">2022-02-08T20:37:00Z</dcterms:modified>
</cp:coreProperties>
</file>